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rFonts w:ascii="Calibri" w:hAnsi="Calibri"/>
          <w:b/>
          <w:i w:val="0"/>
          <w:color w:val="176B52"/>
          <w:sz w:val="60"/>
        </w:rPr>
        <w:t>METABOLIC MISSION</w:t>
      </w:r>
    </w:p>
    <w:p>
      <w:pPr>
        <w:jc w:val="center"/>
      </w:pPr>
      <w:r>
        <w:rPr>
          <w:rFonts w:ascii="Calibri" w:hAnsi="Calibri"/>
          <w:b/>
          <w:i w:val="0"/>
          <w:color w:val="17332D"/>
          <w:sz w:val="34"/>
        </w:rPr>
        <w:t>From ATP to the Glyoxylate Cycle</w:t>
      </w:r>
    </w:p>
    <w:p>
      <w:pPr>
        <w:spacing w:after="500"/>
        <w:jc w:val="center"/>
      </w:pPr>
      <w:r>
        <w:rPr>
          <w:rFonts w:ascii="Calibri" w:hAnsi="Calibri"/>
          <w:b w:val="0"/>
          <w:i w:val="0"/>
          <w:color w:val="5A6763"/>
          <w:sz w:val="24"/>
        </w:rPr>
        <w:t>Second-Year SBIA022 Quiz Pack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EAF5F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6B52"/>
                <w:sz w:val="20"/>
              </w:rPr>
              <w:t>Institution</w:t>
            </w:r>
          </w:p>
        </w:tc>
        <w:tc>
          <w:tcPr>
            <w:tcW w:type="dxa" w:w="6696"/>
            <w:shd w:fill="F5F7F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University of Limpopo</w:t>
            </w:r>
          </w:p>
        </w:tc>
      </w:tr>
      <w:tr>
        <w:tc>
          <w:tcPr>
            <w:tcW w:type="dxa" w:w="2376"/>
            <w:shd w:fill="EAF5F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6B52"/>
                <w:sz w:val="20"/>
              </w:rPr>
              <w:t>Question set</w:t>
            </w:r>
          </w:p>
        </w:tc>
        <w:tc>
          <w:tcPr>
            <w:tcW w:type="dxa" w:w="6696"/>
            <w:shd w:fill="F5F7F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20 core questions + 20 challenge twins</w:t>
            </w:r>
          </w:p>
        </w:tc>
      </w:tr>
      <w:tr>
        <w:tc>
          <w:tcPr>
            <w:tcW w:type="dxa" w:w="2376"/>
            <w:shd w:fill="EAF5F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6B52"/>
                <w:sz w:val="20"/>
              </w:rPr>
              <w:t>Assessment</w:t>
            </w:r>
          </w:p>
        </w:tc>
        <w:tc>
          <w:tcPr>
            <w:tcW w:type="dxa" w:w="6696"/>
            <w:shd w:fill="F5F7F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100 marks if both versions are completed</w:t>
            </w:r>
          </w:p>
        </w:tc>
      </w:tr>
      <w:tr>
        <w:tc>
          <w:tcPr>
            <w:tcW w:type="dxa" w:w="2376"/>
            <w:shd w:fill="EAF5F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6B52"/>
                <w:sz w:val="20"/>
              </w:rPr>
              <w:t>Progression</w:t>
            </w:r>
          </w:p>
        </w:tc>
        <w:tc>
          <w:tcPr>
            <w:tcW w:type="dxa" w:w="6696"/>
            <w:shd w:fill="F5F7F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Remember -&gt; Understand -&gt; Apply -&gt; Analyze -&gt; Evaluate -&gt; Create</w:t>
            </w:r>
          </w:p>
        </w:tc>
      </w:tr>
    </w:tbl>
    <w:p>
      <w:pPr>
        <w:spacing w:before="440"/>
        <w:jc w:val="center"/>
      </w:pPr>
      <w:r>
        <w:rPr>
          <w:rFonts w:ascii="Calibri" w:hAnsi="Calibri"/>
          <w:b/>
          <w:i/>
          <w:color w:val="E4A93A"/>
          <w:sz w:val="24"/>
        </w:rPr>
        <w:t>Think like a cell: conserve carbon, balance energy, and justify every pathway choice.</w:t>
      </w:r>
    </w:p>
    <w:p>
      <w:pPr>
        <w:spacing w:before="240"/>
      </w:pPr>
      <w:r>
        <w:rPr>
          <w:rFonts w:ascii="Calibri" w:hAnsi="Calibri"/>
          <w:b w:val="0"/>
          <w:i w:val="0"/>
          <w:color w:val="17332D"/>
          <w:sz w:val="21"/>
        </w:rPr>
        <w:t>Student name: __________________________________________</w:t>
      </w:r>
    </w:p>
    <w:p>
      <w:pPr>
        <w:spacing w:before="240"/>
      </w:pPr>
      <w:r>
        <w:rPr>
          <w:rFonts w:ascii="Calibri" w:hAnsi="Calibri"/>
          <w:b w:val="0"/>
          <w:i w:val="0"/>
          <w:color w:val="17332D"/>
          <w:sz w:val="21"/>
        </w:rPr>
        <w:t>Student number: _______________________________________</w:t>
      </w:r>
    </w:p>
    <w:p>
      <w:pPr>
        <w:spacing w:before="240"/>
      </w:pPr>
      <w:r>
        <w:rPr>
          <w:rFonts w:ascii="Calibri" w:hAnsi="Calibri"/>
          <w:b w:val="0"/>
          <w:i w:val="0"/>
          <w:color w:val="17332D"/>
          <w:sz w:val="21"/>
        </w:rPr>
        <w:t>Date: ____________________   Tutorial group: _____________</w:t>
      </w:r>
    </w:p>
    <w:p>
      <w:r>
        <w:br w:type="page"/>
      </w:r>
    </w:p>
    <w:p>
      <w:pPr>
        <w:pStyle w:val="Heading1"/>
      </w:pPr>
      <w:r>
        <w:t>How to use this pack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Each numbered item contains a Core question (A) and a matched Challenge Twin (B). Together they make 40 questions.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Questions within each topic move from lower-order recall toward application, analysis, evaluation, or creation.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Show calculations and metabolic reasoning. A pathway name without an explanation may earn only partial credit.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Figures are simplified learning aids; use the lecture terminology when answering.</w:t>
      </w:r>
    </w:p>
    <w:p>
      <w:pPr>
        <w:pStyle w:val="Heading2"/>
      </w:pPr>
      <w:r>
        <w:t>Bloom ladder and marks</w:t>
      </w:r>
    </w:p>
    <w:p>
      <w:pPr>
        <w:jc w:val="center"/>
      </w:pPr>
      <w:r>
        <w:rPr>
          <w:rFonts w:ascii="Calibri" w:hAnsi="Calibri"/>
          <w:b/>
          <w:i w:val="0"/>
          <w:color w:val="176B52"/>
          <w:sz w:val="21"/>
        </w:rPr>
        <w:t>Remember (1) | Understand (2) | Apply (3) | Analyze (3-4) | Evaluate (5) | Create (5)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E4A93A"/>
          <w:sz w:val="18"/>
        </w:rPr>
        <w:t>ENERGY LAB</w:t>
      </w:r>
    </w:p>
    <w:p>
      <w:pPr>
        <w:pStyle w:val="Heading1"/>
      </w:pPr>
      <w:r>
        <w:t>1. Bioenergetics: The Cell's Energy Budget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AF5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76B52"/>
                <w:sz w:val="18"/>
              </w:rPr>
              <w:t>MISSION BRIEF</w:t>
              <w:br/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campus food-science team is designing a rapid test for whether cellular reactions can proceed. They must distinguish energy-releasing reactions from energy-requiring ones and decide when ATP coupling can make an otherwise unfavourable process proceed.</w:t>
            </w: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4252"/>
            <wp:docPr id="1" name="Picture 1" title="1. Bioenergetics: The Cell's Energy Budget" descr="Simplified study diagram for 1. Bioenergetics: The Cell's Energy Budg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energe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Calibri" w:hAnsi="Calibri"/>
          <w:b w:val="0"/>
          <w:i/>
          <w:color w:val="5A6763"/>
          <w:sz w:val="17"/>
        </w:rPr>
        <w:t>Bioenergetics learning schematic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  REMEMBER  |  1 mark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State what bioenergetics studies and identify the sign of Delta G for a spontaneous reaction.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State what Gibbs free-energy change predicts and identify the sign of Delta G at equilibrium.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Q2  UNDERSTAND  |  2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Why can an anabolic reaction with a positive Delta G proceed when it is coupled to ATP hydrolysis? Answer in two sentences.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Explain why calling ATP an 'energy currency' does not mean ATP creates energy.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Q3  APPLY  |  3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biosynthetic step has Delta G = +18.0 kJ/mol and is coupled to ATP hydrolysis with Delta G = -30.5 kJ/mol. Calculate the combined Delta G and predict whether the coupled process is thermodynamically favourable.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Transport of a solute has Delta G = +22.0 kJ/mol. It is coupled to a reaction with Delta G = -28.0 kJ/mol. Calculate the net Delta G and state what would happen if coupling were lost.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E4A93A"/>
          <w:sz w:val="18"/>
        </w:rPr>
        <w:t>SPRINT TRACK</w:t>
      </w:r>
    </w:p>
    <w:p>
      <w:pPr>
        <w:pStyle w:val="Heading1"/>
      </w:pPr>
      <w:r>
        <w:t>2. Glycolysis: The Ten-Step Sprint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AF5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76B52"/>
                <w:sz w:val="18"/>
              </w:rPr>
              <w:t>MISSION BRIEF</w:t>
              <w:br/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During a short, intense sprint, skeletal muscle needs ATP faster than oxygen delivery can support oxidative metabolism. Glycolysis must keep running, and its irreversible steps act as metabolic control gates.</w:t>
            </w: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4252"/>
            <wp:docPr id="2" name="Picture 2" title="2. Glycolysis: The Ten-Step Sprint" descr="Simplified study diagram for 2. Glycolysis: The Ten-Step Spri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yco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Calibri" w:hAnsi="Calibri"/>
          <w:b w:val="0"/>
          <w:i/>
          <w:color w:val="5A6763"/>
          <w:sz w:val="17"/>
        </w:rPr>
        <w:t>Glycolysis learning schematic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Q4  REMEMBER  |  1 mark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Give the net products of glycolysis from one glucose molecule under standard accounting.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Name the ATP-investment and ATP-payoff amounts in glycolysis and calculate the net ATP yield.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Q5  UNDERSTAND  |  2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Explain why the PFK-1 reaction is called the first committed step of glycolysis. Name one activator and one inhibitor from the lectures.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Differentiate the roles of hexokinase/glucokinase and PFK-1 in controlling glucose use. Include one regulatory feature of each.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Q6  APPLY  |  3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Use Figure 2. During oxygen-limited sprinting, explain why pyruvate is converted to lactate and predict the immediate effect on glycolytic ATP production if lactate dehydrogenase is blocked.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red blood cell cannot use mitochondria. Explain why lactate production is essential for its continued ATP supply and identify the cofactor that is regenerated.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E4A93A"/>
          <w:sz w:val="18"/>
        </w:rPr>
        <w:t>FUEL DEPOT</w:t>
      </w:r>
    </w:p>
    <w:p>
      <w:pPr>
        <w:pStyle w:val="Heading1"/>
      </w:pPr>
      <w:r>
        <w:t>3. Glycogen Metabolism: The Branched Emergency Store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AF5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76B52"/>
                <w:sz w:val="18"/>
              </w:rPr>
              <w:t>MISSION BRIEF</w:t>
              <w:br/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student athlete alternates between lectures, training, and an overnight fast. Liver glycogen supports blood glucose, while muscle glycogen is a rapid local fuel. The highly branched structure determines how quickly glucose units can be released.</w:t>
            </w: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4252"/>
            <wp:docPr id="3" name="Picture 3" title="3. Glycogen Metabolism: The Branched Emergency Store" descr="Simplified study diagram for 3. Glycogen Metabolism: The Branched Emergency St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ycog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Calibri" w:hAnsi="Calibri"/>
          <w:b w:val="0"/>
          <w:i/>
          <w:color w:val="5A6763"/>
          <w:sz w:val="17"/>
        </w:rPr>
        <w:t>Glycogen learning schematic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Q7  REMEMBER  |  1 mark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Identify the glycosidic bond in the linear chains and the bond at glycogen branch points.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What is a non-reducing end, and why do many non-reducing ends help rapid glycogen mobilization?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Q8  UNDERSTAND  |  2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Why can liver glycogen help maintain blood glucose, whereas muscle glycogen mainly supplies the muscle itself?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After glycogen phosphorylase releases glucose-1-phosphate, trace its conversion in liver until free glucose can enter the blood.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Q9  APPLY  |  3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patient has normal glycogen phosphorylase but deficient debranching enzyme. Predict the glycogen structure that accumulates and explain why breakdown stops near branches.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muscle sample lacks glycogen phosphorylase activity but has a normal debranching enzyme. Predict the effect on exercise tolerance and on release of glucose-1-phosphate from alpha(1-&gt;4) bonds.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E4A93A"/>
          <w:sz w:val="18"/>
        </w:rPr>
        <w:t>FASTING RESCUE</w:t>
      </w:r>
    </w:p>
    <w:p>
      <w:pPr>
        <w:pStyle w:val="Heading1"/>
      </w:pPr>
      <w:r>
        <w:t>4. Gluconeogenesis: Rebuilding Glucose During a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AF5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76B52"/>
                <w:sz w:val="18"/>
              </w:rPr>
              <w:t>MISSION BRIEF</w:t>
              <w:br/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After an overnight fast, hepatic glycogen becomes limited. The liver uses lactate, glycerol, and glucogenic amino-acid carbon skeletons to rebuild glucose, paying an energy cost to bypass the irreversible steps of glycolysis.</w:t>
            </w: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4252"/>
            <wp:docPr id="4" name="Picture 4" title="4. Gluconeogenesis: Rebuilding Glucose During a Fast" descr="Simplified study diagram for 4. Gluconeogenesis: Rebuilding Glucose During a Fa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uconeogene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Calibri" w:hAnsi="Calibri"/>
          <w:b w:val="0"/>
          <w:i/>
          <w:color w:val="5A6763"/>
          <w:sz w:val="17"/>
        </w:rPr>
        <w:t>Gluconeogenesis learning schematic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Q10  REMEMBER  |  1 mark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Name three gluconeogenic precursors and the main organ that performs gluconeogenesis.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Name two tissues with a continuous need for glucose and state why gluconeogenesis becomes important after prolonged fasting.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Q11  UNDERSTAND  |  2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Match each irreversible glycolytic enzyme with its gluconeogenic bypass enzyme(s): hexokinase, PFK-1, and pyruvate kinase.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Why is oxaloacetate commonly converted to malate before its carbon skeleton moves from mitochondrion to cytosol during gluconeogenesis?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Q12  APPLY  |  3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Calculate the high-energy phosphate cost of producing one glucose from two pyruvate. Separate ATP and GTP, and include the NADH requirement.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Two glucose molecules must be synthesized from pyruvate. Calculate the total ATP, GTP, and NADH required, using the lecture stoichiometry.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E4A93A"/>
          <w:sz w:val="18"/>
        </w:rPr>
        <w:t>CONTROL ROOM</w:t>
      </w:r>
    </w:p>
    <w:p>
      <w:pPr>
        <w:pStyle w:val="Heading1"/>
      </w:pPr>
      <w:r>
        <w:t>5. Reciprocal Regulation: Choosing Store, Burn, or Build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AF5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76B52"/>
                <w:sz w:val="18"/>
              </w:rPr>
              <w:t>MISSION BRIEF</w:t>
              <w:br/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hepatocyte receives different hormonal instructions after lunch, during an overnight fast, and during acute stress. Reciprocal regulation prevents glycolysis and gluconeogenesis - or glycogenesis and glycogenolysis - from running strongly at the same time.</w:t>
            </w: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4252"/>
            <wp:docPr id="5" name="Picture 5" title="5. Reciprocal Regulation: Choosing Store, Burn, or Build" descr="Simplified study diagram for 5. Reciprocal Regulation: Choosing Store, Burn, or Buil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Calibri" w:hAnsi="Calibri"/>
          <w:b w:val="0"/>
          <w:i/>
          <w:color w:val="5A6763"/>
          <w:sz w:val="17"/>
        </w:rPr>
        <w:t>Regulation learning schematic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Q13  REMEMBER  |  1 mark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State the main effect of insulin and of glucagon on liver glycogen metabolism.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State the main glycogen effect of epinephrine and name the physiological situation that triggers it.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Q14  UNDERSTAND  |  2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Explain the reciprocal effect of fructose-2,6-bisphosphate on PFK-1 and fructose-1,6-bisphosphatase.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Why does a fall in hepatic fructose-2,6-bisphosphate during fasting reduce futile cycling between glycolysis and gluconeogenesis?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Q15  ANALYZE  |  3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Use Figure 5. During fasting, trace the sequence from glucagon to PKA to the bifunctional PFK-2/FBPase-2 enzyme. Predict F2,6BP, glycolysis, and gluconeogenesis.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After a carbohydrate-rich meal, trace insulin action through dephosphorylation of hepatic PFK-2/FBPase-2. Predict F2,6BP and the direction of glucose metabolism.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E4A93A"/>
          <w:sz w:val="18"/>
        </w:rPr>
        <w:t>ANTIOXIDANT SHIELD</w:t>
      </w:r>
    </w:p>
    <w:p>
      <w:pPr>
        <w:pStyle w:val="Heading1"/>
      </w:pPr>
      <w:r>
        <w:t>6. Pentose Phosphate Pathway: Reducing Power and Ribose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AF5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76B52"/>
                <w:sz w:val="18"/>
              </w:rPr>
              <w:t>MISSION BRIEF</w:t>
              <w:br/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Red blood cells face oxidants but have no mitochondria. Other cells may need NADPH for reductive biosynthesis or ribose-5-phosphate for nucleotide synthesis. The pentose phosphate pathway adjusts its oxidative and non-oxidative phases to those needs.</w:t>
            </w: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4252"/>
            <wp:docPr id="6" name="Picture 6" title="6. Pentose Phosphate Pathway: Reducing Power and Ribose" descr="Simplified study diagram for 6. Pentose Phosphate Pathway: Reducing Power and Ribo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Calibri" w:hAnsi="Calibri"/>
          <w:b w:val="0"/>
          <w:i/>
          <w:color w:val="5A6763"/>
          <w:sz w:val="17"/>
        </w:rPr>
        <w:t>Ppp learning schematic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Q16  UNDERSTAND  |  2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Compare the main products and reversibility of the oxidative and non-oxidative phases of the pentose phosphate pathway.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rapidly dividing cell needs ribose-5-phosphate more than NADPH. Explain how reversible non-oxidative reactions can help meet this need using glycolytic intermediates.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Q17  ANALYZE  | 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patient with low glucose-6-phosphate dehydrogenase activity develops haemolysis after oxidant-drug exposure. Build the causal chain from reduced PPP flux to red-cell membrane damage.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Two samples are exposed to peroxide: normal RBCs and RBCs with impaired oxidative PPP activity. Predict which has the lower reduced-glutathione level and explain the roles of NADPH and glutathione reductase.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E4A93A"/>
          <w:sz w:val="18"/>
        </w:rPr>
        <w:t>CARBON ROUNDABOUT</w:t>
      </w:r>
    </w:p>
    <w:p>
      <w:pPr>
        <w:pStyle w:val="Heading1"/>
      </w:pPr>
      <w:r>
        <w:t>7. CAC and Glyoxylate Cycle: The Carbon-Routing Finale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AF5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176B52"/>
                <w:sz w:val="18"/>
              </w:rPr>
              <w:t>MISSION BRIEF</w:t>
              <w:br/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germinating oil seed converts stored fat into carbohydrate, while a mammalian liver cannot obtain net glucose from even-chain fatty acids. Both use acetyl-CoA, but only the seed can bypass the carbon-losing steps of the citric acid cycle through the glyoxylate cycle.</w:t>
            </w:r>
          </w:p>
        </w:tc>
      </w:tr>
    </w:tbl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4252"/>
            <wp:docPr id="7" name="Picture 7" title="7. CAC and Glyoxylate Cycle: The Carbon-Routing Finale" descr="Simplified study diagram for 7. CAC and Glyoxylate Cycle: The Carbon-Routing Fina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c_glyoxyl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Calibri" w:hAnsi="Calibri"/>
          <w:b w:val="0"/>
          <w:i/>
          <w:color w:val="5A6763"/>
          <w:sz w:val="17"/>
        </w:rPr>
        <w:t>Cac Glyoxylate learning schematic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Q18  ANALYZE  | 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For one acetyl-CoA entering the CAC, account for NADH, FADH2, GTP/ATP, and CO2. Then explain how high ATP and NADH affect cycle flux.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cell has high NADH and succinyl-CoA. Identify two CAC control points likely to slow and explain the product/energy feedback involved.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Q19  EVALUATE  |  5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Defend this statement: 'A germinating seed can achieve net carbohydrate synthesis from acetyl-CoA, but a vertebrate cannot.' Refer to carbon loss and the two unique glyoxylate-cycle enzymes.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A researcher proposes inserting only isocitrate lyase into a mammalian cell to create a functional glyoxylate cycle. Evaluate the proposal and identify the additional enzyme and carbon-routing requirement.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76B52"/>
          <w:sz w:val="22"/>
        </w:rPr>
        <w:t>Q20  CREATE  |  5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6B52"/>
                <w:sz w:val="21"/>
              </w:rPr>
              <w:t xml:space="preserve">A - Core: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Design a carbon-flow plan for a fed liver cell with high ATP, abundant glucose, demand for fatty-acid synthesis, and demand for nucleotides. Route glucose among glycolysis/CAC, glycogen, and PPP; justify each choice using energy and biosynthetic signals.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6D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4A93A"/>
                <w:sz w:val="21"/>
              </w:rPr>
              <w:t xml:space="preserve">B - Challenge Twin: </w:t>
            </w:r>
            <w:r>
              <w:rPr>
                <w:rFonts w:ascii="Calibri" w:hAnsi="Calibri"/>
                <w:b w:val="0"/>
                <w:i w:val="0"/>
                <w:color w:val="17332D"/>
                <w:sz w:val="21"/>
              </w:rPr>
              <w:t>Design a carbon-flow plan for a fasting liver cell with low blood glucose and active fatty-acid oxidation. Integrate glycogenolysis, gluconeogenesis, glycolysis regulation, the CAC, and the fact that acetyl-CoA cannot give net glucose in vertebrates.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B7C0BD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Source lectures used</w:t>
      </w:r>
    </w:p>
    <w:p>
      <w:r>
        <w:t>This quiz was developed from the supplied SBIA022 lecture documents by Dr KW Poopedi and colleagues. The diagrams are simplified original study schematics prepared for this quiz.</w:t>
      </w:r>
    </w:p>
    <w:p>
      <w:pPr>
        <w:pStyle w:val="ListBullet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Bioenergetics</w:t>
      </w:r>
    </w:p>
    <w:p>
      <w:pPr>
        <w:pStyle w:val="ListBullet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Glycolysis</w:t>
      </w:r>
    </w:p>
    <w:p>
      <w:pPr>
        <w:pStyle w:val="ListBullet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Glycogen Metabolism</w:t>
      </w:r>
    </w:p>
    <w:p>
      <w:pPr>
        <w:pStyle w:val="ListBullet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Gluconeogenesis</w:t>
      </w:r>
    </w:p>
    <w:p>
      <w:pPr>
        <w:pStyle w:val="ListBullet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Regulation of Carbohydrate Metabolism</w:t>
      </w:r>
    </w:p>
    <w:p>
      <w:pPr>
        <w:pStyle w:val="ListBullet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Pentose Phosphate Pathway</w:t>
      </w:r>
    </w:p>
    <w:p>
      <w:pPr>
        <w:pStyle w:val="ListBullet"/>
        <w:ind w:left="547" w:hanging="274"/>
      </w:pPr>
      <w:r>
        <w:rPr>
          <w:rFonts w:ascii="Calibri" w:hAnsi="Calibri"/>
          <w:b w:val="0"/>
          <w:i w:val="0"/>
          <w:color w:val="17332D"/>
          <w:sz w:val="21"/>
        </w:rPr>
        <w:t>CAC Regulation and the Glyoxylate Cycle</w:t>
      </w:r>
    </w:p>
    <w:p>
      <w:pPr>
        <w:spacing w:before="300"/>
        <w:jc w:val="center"/>
      </w:pPr>
      <w:r>
        <w:rPr>
          <w:rFonts w:ascii="Calibri" w:hAnsi="Calibri"/>
          <w:b/>
          <w:i w:val="0"/>
          <w:color w:val="176B52"/>
          <w:sz w:val="28"/>
        </w:rPr>
        <w:t>END OF METABOLIC MISSION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763"/>
        <w:sz w:val="17"/>
      </w:rPr>
      <w:t>Student Quiz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A6763"/>
        <w:sz w:val="17"/>
      </w:rPr>
      <w:t>SBIA022 | Carbohydrate Metabolism Challenge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3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6B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6B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3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3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A67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Metabolic Mission: SBIA022 Carbohydrate Metabolism Quiz</dc:title>
  <dc:subject>Second-year University of Limpopo metabolism quiz</dc:subject>
  <dc:creator>Prepared from supplied SBIA022 lecture materials</dc:creator>
  <cp:keywords>bioenergetics, glycolysis, glycogen, gluconeogenesis, PPP, CAC, glyoxylate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