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360" w:after="160"/>
      </w:pPr>
      <w:r>
        <w:rPr>
          <w:rFonts w:ascii="Times New Roman" w:cs="Times New Roman" w:eastAsia="Times New Roman" w:hAnsi="Times New Roman"/>
          <w:b/>
          <w:bCs/>
          <w:sz w:val="28"/>
          <w:szCs w:val="28"/>
        </w:rPr>
        <w:t xml:space="preserve">Conclusion</w:t>
      </w:r>
    </w:p>
    <w:p>
      <w:pPr>
        <w:spacing w:before="0" w:after="200"/>
        <w:jc w:val="both"/>
      </w:pPr>
      <w:r>
        <w:rPr>
          <w:rFonts w:ascii="Times New Roman" w:cs="Times New Roman" w:eastAsia="Times New Roman" w:hAnsi="Times New Roman"/>
          <w:sz w:val="24"/>
          <w:szCs w:val="24"/>
        </w:rPr>
        <w:t xml:space="preserve">This study employed an Independent Cascade (IC) model over a Stochastic Block Model (SBM) network of 10,000 nodes across three income strata to simulate the social spread of online sports gambling over a 60-week period. The model produced a stable peak prevalence of </w:t>
      </w:r>
      <w:r>
        <w:rPr>
          <w:rFonts w:ascii="Times New Roman" w:cs="Times New Roman" w:eastAsia="Times New Roman" w:hAnsi="Times New Roman"/>
          <w:b/>
          <w:bCs/>
          <w:sz w:val="24"/>
          <w:szCs w:val="24"/>
        </w:rPr>
        <w:t xml:space="preserve">16.9%</w:t>
      </w:r>
      <w:r>
        <w:rPr>
          <w:rFonts w:ascii="Times New Roman" w:cs="Times New Roman" w:eastAsia="Times New Roman" w:hAnsi="Times New Roman"/>
          <w:sz w:val="24"/>
          <w:szCs w:val="24"/>
        </w:rPr>
        <w:t xml:space="preserve"> of the total population, with </w:t>
      </w:r>
      <w:r>
        <w:rPr>
          <w:rFonts w:ascii="Times New Roman" w:cs="Times New Roman" w:eastAsia="Times New Roman" w:hAnsi="Times New Roman"/>
          <w:b/>
          <w:bCs/>
          <w:sz w:val="24"/>
          <w:szCs w:val="24"/>
        </w:rPr>
        <w:t xml:space="preserve">25.9%</w:t>
      </w:r>
      <w:r>
        <w:rPr>
          <w:rFonts w:ascii="Times New Roman" w:cs="Times New Roman" w:eastAsia="Times New Roman" w:hAnsi="Times New Roman"/>
          <w:sz w:val="24"/>
          <w:szCs w:val="24"/>
        </w:rPr>
        <w:t xml:space="preserve"> of nodes exposed to gambling at some point during the simulation window. These figures align closely with observed US adult sports betting participation rates of approximately 25–28%, providing external validation of the model’s calibration. Spread was concentrated in the early weeks, reaching near-plateau by week 20, after which the active population fluctuated within a narrow band—indicative of a system in endemic equilibrium rather than unchecked exponential growth.</w:t>
      </w:r>
    </w:p>
    <w:p>
      <w:pPr>
        <w:spacing w:before="0" w:after="200"/>
        <w:jc w:val="both"/>
      </w:pPr>
      <w:r>
        <w:rPr>
          <w:rFonts w:ascii="Times New Roman" w:cs="Times New Roman" w:eastAsia="Times New Roman" w:hAnsi="Times New Roman"/>
          <w:sz w:val="24"/>
          <w:szCs w:val="24"/>
        </w:rPr>
        <w:t xml:space="preserve">Income stratification produced pronounced and theoretically consistent heterogeneity in both adoption and outcome. Low Income nodes (&lt;$50k) reached an active prevalence of </w:t>
      </w:r>
      <w:r>
        <w:rPr>
          <w:rFonts w:ascii="Times New Roman" w:cs="Times New Roman" w:eastAsia="Times New Roman" w:hAnsi="Times New Roman"/>
          <w:b/>
          <w:bCs/>
          <w:sz w:val="24"/>
          <w:szCs w:val="24"/>
        </w:rPr>
        <w:t xml:space="preserve">24.7%</w:t>
      </w:r>
      <w:r>
        <w:rPr>
          <w:rFonts w:ascii="Times New Roman" w:cs="Times New Roman" w:eastAsia="Times New Roman" w:hAnsi="Times New Roman"/>
          <w:sz w:val="24"/>
          <w:szCs w:val="24"/>
        </w:rPr>
        <w:t xml:space="preserve">, compared to </w:t>
      </w:r>
      <w:r>
        <w:rPr>
          <w:rFonts w:ascii="Times New Roman" w:cs="Times New Roman" w:eastAsia="Times New Roman" w:hAnsi="Times New Roman"/>
          <w:b/>
          <w:bCs/>
          <w:sz w:val="24"/>
          <w:szCs w:val="24"/>
        </w:rPr>
        <w:t xml:space="preserve">13.2%</w:t>
      </w:r>
      <w:r>
        <w:rPr>
          <w:rFonts w:ascii="Times New Roman" w:cs="Times New Roman" w:eastAsia="Times New Roman" w:hAnsi="Times New Roman"/>
          <w:sz w:val="24"/>
          <w:szCs w:val="24"/>
        </w:rPr>
        <w:t xml:space="preserve"> for Middle Income ($50k–$100k) and </w:t>
      </w:r>
      <w:r>
        <w:rPr>
          <w:rFonts w:ascii="Times New Roman" w:cs="Times New Roman" w:eastAsia="Times New Roman" w:hAnsi="Times New Roman"/>
          <w:b/>
          <w:bCs/>
          <w:sz w:val="24"/>
          <w:szCs w:val="24"/>
        </w:rPr>
        <w:t xml:space="preserve">13.0%</w:t>
      </w:r>
      <w:r>
        <w:rPr>
          <w:rFonts w:ascii="Times New Roman" w:cs="Times New Roman" w:eastAsia="Times New Roman" w:hAnsi="Times New Roman"/>
          <w:sz w:val="24"/>
          <w:szCs w:val="24"/>
        </w:rPr>
        <w:t xml:space="preserve"> for High Income (&gt;$100k) nodes. This gradient reflects the differential peer-influence thresholds (θ) assigned across blocks: Low Income nodes carried a mean eroded threshold of </w:t>
      </w:r>
      <w:r>
        <w:rPr>
          <w:rFonts w:ascii="Times New Roman" w:cs="Times New Roman" w:eastAsia="Times New Roman" w:hAnsi="Times New Roman"/>
          <w:b/>
          <w:bCs/>
          <w:sz w:val="24"/>
          <w:szCs w:val="24"/>
        </w:rPr>
        <w:t xml:space="preserve">0.209</w:t>
      </w:r>
      <w:r>
        <w:rPr>
          <w:rFonts w:ascii="Times New Roman" w:cs="Times New Roman" w:eastAsia="Times New Roman" w:hAnsi="Times New Roman"/>
          <w:sz w:val="24"/>
          <w:szCs w:val="24"/>
        </w:rPr>
        <w:t xml:space="preserve"> (20.9% of friends betting required for adoption), already below the empirically estimated real-world social tipping point of approximately 22%, rendering them structurally susceptible to peer-driven uptake. Middle Income and High Income nodes presented mean eroded thresholds of </w:t>
      </w:r>
      <w:r>
        <w:rPr>
          <w:rFonts w:ascii="Times New Roman" w:cs="Times New Roman" w:eastAsia="Times New Roman" w:hAnsi="Times New Roman"/>
          <w:b/>
          <w:bCs/>
          <w:sz w:val="24"/>
          <w:szCs w:val="24"/>
        </w:rPr>
        <w:t xml:space="preserve">0.322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0.496</w:t>
      </w:r>
      <w:r>
        <w:rPr>
          <w:rFonts w:ascii="Times New Roman" w:cs="Times New Roman" w:eastAsia="Times New Roman" w:hAnsi="Times New Roman"/>
          <w:sz w:val="24"/>
          <w:szCs w:val="24"/>
        </w:rPr>
        <w:t xml:space="preserve"> respectively, providing substantially greater natural resistance to social contagion.</w:t>
      </w:r>
    </w:p>
    <w:p>
      <w:pPr>
        <w:spacing w:before="0" w:after="200"/>
        <w:jc w:val="both"/>
      </w:pPr>
      <w:r>
        <w:rPr>
          <w:rFonts w:ascii="Times New Roman" w:cs="Times New Roman" w:eastAsia="Times New Roman" w:hAnsi="Times New Roman"/>
          <w:sz w:val="24"/>
          <w:szCs w:val="24"/>
        </w:rPr>
        <w:t xml:space="preserve">Of nodes that ever gambled, </w:t>
      </w:r>
      <w:r>
        <w:rPr>
          <w:rFonts w:ascii="Times New Roman" w:cs="Times New Roman" w:eastAsia="Times New Roman" w:hAnsi="Times New Roman"/>
          <w:b/>
          <w:bCs/>
          <w:sz w:val="24"/>
          <w:szCs w:val="24"/>
        </w:rPr>
        <w:t xml:space="preserve">34.4%</w:t>
      </w:r>
      <w:r>
        <w:rPr>
          <w:rFonts w:ascii="Times New Roman" w:cs="Times New Roman" w:eastAsia="Times New Roman" w:hAnsi="Times New Roman"/>
          <w:sz w:val="24"/>
          <w:szCs w:val="24"/>
        </w:rPr>
        <w:t xml:space="preserve"> achieved at least one recovery exit (S* state) by the end of the simulation period. However, the relapse mechanism revealed a structurally destabilising dynamic: </w:t>
      </w:r>
      <w:r>
        <w:rPr>
          <w:rFonts w:ascii="Times New Roman" w:cs="Times New Roman" w:eastAsia="Times New Roman" w:hAnsi="Times New Roman"/>
          <w:b/>
          <w:bCs/>
          <w:sz w:val="24"/>
          <w:szCs w:val="24"/>
        </w:rPr>
        <w:t xml:space="preserve">7.4%</w:t>
      </w:r>
      <w:r>
        <w:rPr>
          <w:rFonts w:ascii="Times New Roman" w:cs="Times New Roman" w:eastAsia="Times New Roman" w:hAnsi="Times New Roman"/>
          <w:sz w:val="24"/>
          <w:szCs w:val="24"/>
        </w:rPr>
        <w:t xml:space="preserve"> of ever-gamblers relapsed at least once, driven by threshold erosion of </w:t>
      </w:r>
      <w:r>
        <w:rPr>
          <w:rFonts w:ascii="Times New Roman" w:cs="Times New Roman" w:eastAsia="Times New Roman" w:hAnsi="Times New Roman"/>
          <w:b/>
          <w:bCs/>
          <w:sz w:val="24"/>
          <w:szCs w:val="24"/>
        </w:rPr>
        <w:t xml:space="preserve">4.8–6.7%</w:t>
      </w:r>
      <w:r>
        <w:rPr>
          <w:rFonts w:ascii="Times New Roman" w:cs="Times New Roman" w:eastAsia="Times New Roman" w:hAnsi="Times New Roman"/>
          <w:sz w:val="24"/>
          <w:szCs w:val="24"/>
        </w:rPr>
        <w:t xml:space="preserve"> per gambling episode. This erosion is compounding—a Low Income node beginning with θ = 0.224 falls to approximately 0.154 after five episodes, well below the social tipping point, meaning relapse becomes self-reinforcing over time. High Income nodes, despite their stronger initial resistance (θ = 0.523), converge toward the tipping point after approximately five episodes of sustained gambling. The implication is that early intervention is disproportionately effective: preventing a first episode preserves threshold integrity, whereas post-adoption interventions must contend with structurally lowered resistance.</w:t>
      </w:r>
    </w:p>
    <w:p>
      <w:pPr>
        <w:spacing w:before="0" w:after="200"/>
        <w:jc w:val="both"/>
      </w:pPr>
      <w:r>
        <w:rPr>
          <w:rFonts w:ascii="Times New Roman" w:cs="Times New Roman" w:eastAsia="Times New Roman" w:hAnsi="Times New Roman"/>
          <w:sz w:val="24"/>
          <w:szCs w:val="24"/>
        </w:rPr>
        <w:t xml:space="preserve">Financial harm, while modest in aggregate percentage terms, varied substantially across blocks in ways that mask deeper inequality. Low Income gamblers lost a mean of </w:t>
      </w:r>
      <w:r>
        <w:rPr>
          <w:rFonts w:ascii="Times New Roman" w:cs="Times New Roman" w:eastAsia="Times New Roman" w:hAnsi="Times New Roman"/>
          <w:b/>
          <w:bCs/>
          <w:sz w:val="24"/>
          <w:szCs w:val="24"/>
        </w:rPr>
        <w:t xml:space="preserve">$96</w:t>
      </w:r>
      <w:r>
        <w:rPr>
          <w:rFonts w:ascii="Times New Roman" w:cs="Times New Roman" w:eastAsia="Times New Roman" w:hAnsi="Times New Roman"/>
          <w:sz w:val="24"/>
          <w:szCs w:val="24"/>
        </w:rPr>
        <w:t xml:space="preserve"> (0.3% of annual income), Middle Income lost </w:t>
      </w:r>
      <w:r>
        <w:rPr>
          <w:rFonts w:ascii="Times New Roman" w:cs="Times New Roman" w:eastAsia="Times New Roman" w:hAnsi="Times New Roman"/>
          <w:b/>
          <w:bCs/>
          <w:sz w:val="24"/>
          <w:szCs w:val="24"/>
        </w:rPr>
        <w:t xml:space="preserve">$254</w:t>
      </w:r>
      <w:r>
        <w:rPr>
          <w:rFonts w:ascii="Times New Roman" w:cs="Times New Roman" w:eastAsia="Times New Roman" w:hAnsi="Times New Roman"/>
          <w:sz w:val="24"/>
          <w:szCs w:val="24"/>
        </w:rPr>
        <w:t xml:space="preserve"> (0.5%), and High Income lost </w:t>
      </w:r>
      <w:r>
        <w:rPr>
          <w:rFonts w:ascii="Times New Roman" w:cs="Times New Roman" w:eastAsia="Times New Roman" w:hAnsi="Times New Roman"/>
          <w:b/>
          <w:bCs/>
          <w:sz w:val="24"/>
          <w:szCs w:val="24"/>
        </w:rPr>
        <w:t xml:space="preserve">$633</w:t>
      </w:r>
      <w:r>
        <w:rPr>
          <w:rFonts w:ascii="Times New Roman" w:cs="Times New Roman" w:eastAsia="Times New Roman" w:hAnsi="Times New Roman"/>
          <w:sz w:val="24"/>
          <w:szCs w:val="24"/>
        </w:rPr>
        <w:t xml:space="preserve"> (0.7%). Expressed as opportunity cost against the S&amp;P 500’s historical 60-week return of approximately </w:t>
      </w:r>
      <w:r>
        <w:rPr>
          <w:rFonts w:ascii="Times New Roman" w:cs="Times New Roman" w:eastAsia="Times New Roman" w:hAnsi="Times New Roman"/>
          <w:b/>
          <w:bCs/>
          <w:sz w:val="24"/>
          <w:szCs w:val="24"/>
        </w:rPr>
        <w:t xml:space="preserve">12.8%</w:t>
      </w:r>
      <w:r>
        <w:rPr>
          <w:rFonts w:ascii="Times New Roman" w:cs="Times New Roman" w:eastAsia="Times New Roman" w:hAnsi="Times New Roman"/>
          <w:sz w:val="24"/>
          <w:szCs w:val="24"/>
        </w:rPr>
        <w:t xml:space="preserve">, the true economic swing is considerably larger: a Low Income gambler forfeits a total of approximately </w:t>
      </w:r>
      <w:r>
        <w:rPr>
          <w:rFonts w:ascii="Times New Roman" w:cs="Times New Roman" w:eastAsia="Times New Roman" w:hAnsi="Times New Roman"/>
          <w:b/>
          <w:bCs/>
          <w:sz w:val="24"/>
          <w:szCs w:val="24"/>
        </w:rPr>
        <w:t xml:space="preserve">$107</w:t>
      </w:r>
      <w:r>
        <w:rPr>
          <w:rFonts w:ascii="Times New Roman" w:cs="Times New Roman" w:eastAsia="Times New Roman" w:hAnsi="Times New Roman"/>
          <w:sz w:val="24"/>
          <w:szCs w:val="24"/>
        </w:rPr>
        <w:t xml:space="preserve"> (loss plus forgone market return), representing </w:t>
      </w:r>
      <w:r>
        <w:rPr>
          <w:rFonts w:ascii="Times New Roman" w:cs="Times New Roman" w:eastAsia="Times New Roman" w:hAnsi="Times New Roman"/>
          <w:b/>
          <w:bCs/>
          <w:sz w:val="24"/>
          <w:szCs w:val="24"/>
        </w:rPr>
        <w:t xml:space="preserve">0.17 weeks</w:t>
      </w:r>
      <w:r>
        <w:rPr>
          <w:rFonts w:ascii="Times New Roman" w:cs="Times New Roman" w:eastAsia="Times New Roman" w:hAnsi="Times New Roman"/>
          <w:sz w:val="24"/>
          <w:szCs w:val="24"/>
        </w:rPr>
        <w:t xml:space="preserve"> of national average child-rearing expenditure ($27,743/year). For High Income gamblers, the swing reaches </w:t>
      </w:r>
      <w:r>
        <w:rPr>
          <w:rFonts w:ascii="Times New Roman" w:cs="Times New Roman" w:eastAsia="Times New Roman" w:hAnsi="Times New Roman"/>
          <w:b/>
          <w:bCs/>
          <w:sz w:val="24"/>
          <w:szCs w:val="24"/>
        </w:rPr>
        <w:t xml:space="preserve">$708</w:t>
      </w:r>
      <w:r>
        <w:rPr>
          <w:rFonts w:ascii="Times New Roman" w:cs="Times New Roman" w:eastAsia="Times New Roman" w:hAnsi="Times New Roman"/>
          <w:sz w:val="24"/>
          <w:szCs w:val="24"/>
        </w:rPr>
        <w:t xml:space="preserve">, equivalent to </w:t>
      </w:r>
      <w:r>
        <w:rPr>
          <w:rFonts w:ascii="Times New Roman" w:cs="Times New Roman" w:eastAsia="Times New Roman" w:hAnsi="Times New Roman"/>
          <w:b/>
          <w:bCs/>
          <w:sz w:val="24"/>
          <w:szCs w:val="24"/>
        </w:rPr>
        <w:t xml:space="preserve">1.3 weeks</w:t>
      </w:r>
      <w:r>
        <w:rPr>
          <w:rFonts w:ascii="Times New Roman" w:cs="Times New Roman" w:eastAsia="Times New Roman" w:hAnsi="Times New Roman"/>
          <w:sz w:val="24"/>
          <w:szCs w:val="24"/>
        </w:rPr>
        <w:t xml:space="preserve"> of child-rearing costs, </w:t>
      </w:r>
      <w:r>
        <w:rPr>
          <w:rFonts w:ascii="Times New Roman" w:cs="Times New Roman" w:eastAsia="Times New Roman" w:hAnsi="Times New Roman"/>
          <w:b/>
          <w:bCs/>
          <w:sz w:val="24"/>
          <w:szCs w:val="24"/>
        </w:rPr>
        <w:t xml:space="preserve">1.8 weeks</w:t>
      </w:r>
      <w:r>
        <w:rPr>
          <w:rFonts w:ascii="Times New Roman" w:cs="Times New Roman" w:eastAsia="Times New Roman" w:hAnsi="Times New Roman"/>
          <w:sz w:val="24"/>
          <w:szCs w:val="24"/>
        </w:rPr>
        <w:t xml:space="preserve"> of median US rent, or </w:t>
      </w:r>
      <w:r>
        <w:rPr>
          <w:rFonts w:ascii="Times New Roman" w:cs="Times New Roman" w:eastAsia="Times New Roman" w:hAnsi="Times New Roman"/>
          <w:b/>
          <w:bCs/>
          <w:sz w:val="24"/>
          <w:szCs w:val="24"/>
        </w:rPr>
        <w:t xml:space="preserve">4.2 weeks</w:t>
      </w:r>
      <w:r>
        <w:rPr>
          <w:rFonts w:ascii="Times New Roman" w:cs="Times New Roman" w:eastAsia="Times New Roman" w:hAnsi="Times New Roman"/>
          <w:sz w:val="24"/>
          <w:szCs w:val="24"/>
        </w:rPr>
        <w:t xml:space="preserve"> of average grocery expenditure. Bankruptcy was rare at </w:t>
      </w:r>
      <w:r>
        <w:rPr>
          <w:rFonts w:ascii="Times New Roman" w:cs="Times New Roman" w:eastAsia="Times New Roman" w:hAnsi="Times New Roman"/>
          <w:b/>
          <w:bCs/>
          <w:sz w:val="24"/>
          <w:szCs w:val="24"/>
        </w:rPr>
        <w:t xml:space="preserve">0.14%</w:t>
      </w:r>
      <w:r>
        <w:rPr>
          <w:rFonts w:ascii="Times New Roman" w:cs="Times New Roman" w:eastAsia="Times New Roman" w:hAnsi="Times New Roman"/>
          <w:sz w:val="24"/>
          <w:szCs w:val="24"/>
        </w:rPr>
        <w:t xml:space="preserve"> of all nodes, but was concentrated in High Income (</w:t>
      </w:r>
      <w:r>
        <w:rPr>
          <w:rFonts w:ascii="Times New Roman" w:cs="Times New Roman" w:eastAsia="Times New Roman" w:hAnsi="Times New Roman"/>
          <w:b/>
          <w:bCs/>
          <w:sz w:val="24"/>
          <w:szCs w:val="24"/>
        </w:rPr>
        <w:t xml:space="preserve">0.86%</w:t>
      </w:r>
      <w:r>
        <w:rPr>
          <w:rFonts w:ascii="Times New Roman" w:cs="Times New Roman" w:eastAsia="Times New Roman" w:hAnsi="Times New Roman"/>
          <w:sz w:val="24"/>
          <w:szCs w:val="24"/>
        </w:rPr>
        <w:t xml:space="preserve">) and Middle Income (</w:t>
      </w:r>
      <w:r>
        <w:rPr>
          <w:rFonts w:ascii="Times New Roman" w:cs="Times New Roman" w:eastAsia="Times New Roman" w:hAnsi="Times New Roman"/>
          <w:b/>
          <w:bCs/>
          <w:sz w:val="24"/>
          <w:szCs w:val="24"/>
        </w:rPr>
        <w:t xml:space="preserve">0.07%</w:t>
      </w:r>
      <w:r>
        <w:rPr>
          <w:rFonts w:ascii="Times New Roman" w:cs="Times New Roman" w:eastAsia="Times New Roman" w:hAnsi="Times New Roman"/>
          <w:sz w:val="24"/>
          <w:szCs w:val="24"/>
        </w:rPr>
        <w:t xml:space="preserve">) blocks—a counterintuitive finding explained by the debt-ceiling mechanism: higher-income nodes wager more in absolute terms, accumulating debt faster relative to their 1.5× income ceiling.</w:t>
      </w:r>
    </w:p>
    <w:p>
      <w:pPr>
        <w:spacing w:before="0" w:after="200"/>
        <w:jc w:val="both"/>
      </w:pPr>
      <w:r>
        <w:rPr>
          <w:rFonts w:ascii="Times New Roman" w:cs="Times New Roman" w:eastAsia="Times New Roman" w:hAnsi="Times New Roman"/>
          <w:sz w:val="24"/>
          <w:szCs w:val="24"/>
        </w:rPr>
        <w:t xml:space="preserve">Several limitations warrant acknowledgement. The model assumes homogeneous within-block transmission probabilities and static network topology, neither of which reflects the dynamic, platform-mediated social environments in which sports betting advertising and peer influence actually operate. The 60-week simulation horizon, while sufficient to observe endemic stabilisation, does not capture long-run debt trajectories or multi-year threshold erosion. Future extensions could incorporate time-varying θ driven by advertising exposure, heterogeneous recovery rates informed by clinical data on problem gambling treatment, and multiplex network layers distinguishing online from offline peer influence. Nonetheless, the model’s concordance with observed national prevalence figures and its theoretically coherent replication of income-stratified vulnerability provide a credible quantitative foundation for evaluating the population-level dynamics of sports gambling diffusion and the differential burden it places across socioeconomic groups.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2026-03-02T03:21:08.318Z</dcterms:created>
  <dcterms:modified xsi:type="dcterms:W3CDTF">2026-03-02T03:21:08.319Z</dcterms:modified>
</cp:coreProperties>
</file>

<file path=docProps/custom.xml><?xml version="1.0" encoding="utf-8"?>
<Properties xmlns="http://schemas.openxmlformats.org/officeDocument/2006/custom-properties" xmlns:vt="http://schemas.openxmlformats.org/officeDocument/2006/docPropsVTypes"/>
</file>