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933"/>
          <w:spacing w:val="40"/>
          <w:sz w:val="40"/>
          <w:szCs w:val="40"/>
        </w:rPr>
        <w:t xml:space="preserve">NEXUS TERMINAL</w:t>
      </w:r>
    </w:p>
    <w:p>
      <w:pPr>
        <w:pBdr>
          <w:bottom w:val="single" w:color="B45309" w:sz="10"/>
        </w:pBdr>
        <w:spacing w:after="60"/>
      </w:pPr>
      <w:r>
        <w:rPr>
          <w:rFonts w:ascii="Calibri" w:cs="Calibri" w:eastAsia="Calibri" w:hAnsi="Calibri"/>
          <w:color w:val="B45309"/>
          <w:sz w:val="24"/>
          <w:szCs w:val="24"/>
        </w:rPr>
        <w:t xml:space="preserve">Repository &amp; Project Assessment</w:t>
      </w:r>
    </w:p>
    <w:p>
      <w:pPr>
        <w:spacing w:after="200" w:line="260"/>
      </w:pPr>
      <w:r>
        <w:rPr>
          <w:rFonts w:ascii="Calibri" w:cs="Calibri" w:eastAsia="Calibri" w:hAnsi="Calibri"/>
          <w:b/>
          <w:bCs/>
          <w:i w:val="false"/>
          <w:iCs w:val="false"/>
          <w:color w:val="1F2933"/>
          <w:sz w:val="19"/>
          <w:szCs w:val="19"/>
        </w:rPr>
        <w:t xml:space="preserve">Source: </w:t>
      </w:r>
      <w:r>
        <w:rPr>
          <w:rFonts w:ascii="Calibri" w:cs="Calibri" w:eastAsia="Calibri" w:hAnsi="Calibri"/>
          <w:b w:val="false"/>
          <w:bCs w:val="false"/>
          <w:i w:val="false"/>
          <w:iCs w:val="false"/>
          <w:color w:val="1F2933"/>
          <w:sz w:val="19"/>
          <w:szCs w:val="19"/>
        </w:rPr>
        <w:t xml:space="preserve">github.com/LordXapose/NEXUS  (public, branch main)   ·   Reviewed 23 July 2026   ·   33 commits, 5 contributors, first commit 30 June 2026</w:t>
      </w:r>
    </w:p>
    <w:p>
      <w:pPr>
        <w:pStyle w:val="Heading1"/>
        <w:spacing w:after="120" w:before="260"/>
      </w:pPr>
      <w:r>
        <w:rPr>
          <w:rFonts w:ascii="Calibri" w:cs="Calibri" w:eastAsia="Calibri" w:hAnsi="Calibri"/>
          <w:b/>
          <w:bCs/>
          <w:caps/>
          <w:color w:val="B45309"/>
          <w:spacing w:val="20"/>
          <w:sz w:val="24"/>
          <w:szCs w:val="24"/>
        </w:rPr>
        <w:t xml:space="preserve">1. Summary</w:t>
      </w:r>
    </w:p>
    <w:p>
      <w:pPr>
        <w:spacing w:after="120" w:line="260"/>
      </w:pPr>
      <w:r>
        <w:rPr>
          <w:rFonts w:ascii="Calibri" w:cs="Calibri" w:eastAsia="Calibri" w:hAnsi="Calibri"/>
          <w:color w:val="1F2933"/>
          <w:sz w:val="19"/>
          <w:szCs w:val="19"/>
        </w:rPr>
        <w:t xml:space="preserve">Nexus is a Bloomberg-style financial terminal delivered as a single, self-contained HTML file, accompanied by a documented Python data-and-risk backend. The pitch behind it is credible and unusually well-articulated: a terminal seat costs roughly $30,000 a year, yet nearly every underlying input — Treasury yields, equity history, options chains, sovereign macro series, crypto, news — has a free public equivalent. What is actually being sold is aggregation, analytics and interface density, and all three are just code.</w:t>
      </w:r>
    </w:p>
    <w:p>
      <w:pPr>
        <w:spacing w:after="120" w:line="260"/>
      </w:pPr>
      <w:r>
        <w:rPr>
          <w:rFonts w:ascii="Calibri" w:cs="Calibri" w:eastAsia="Calibri" w:hAnsi="Calibri"/>
          <w:color w:val="1F2933"/>
          <w:sz w:val="19"/>
          <w:szCs w:val="19"/>
        </w:rPr>
        <w:t xml:space="preserve">The repository is best understood as two overlapping things at once: a working software artefact, and a full software-engineering coursework deliverable. Alongside the terminal itself sit user stories with story-point estimates, a Function Point Analysis with COCOMO and Jones effort models, a functional/non-functional requirements matrix, sprint documentation and a Trello board export. Both halves are strong. The main weakness is not the engineering — it is that the README currently describes a more advanced build than the one committed to the branch.</w:t>
      </w:r>
    </w:p>
    <w:p>
      <w:pPr>
        <w:pStyle w:val="Heading1"/>
        <w:spacing w:after="120" w:before="260"/>
      </w:pPr>
      <w:r>
        <w:rPr>
          <w:rFonts w:ascii="Calibri" w:cs="Calibri" w:eastAsia="Calibri" w:hAnsi="Calibri"/>
          <w:b/>
          <w:bCs/>
          <w:caps/>
          <w:color w:val="B45309"/>
          <w:spacing w:val="20"/>
          <w:sz w:val="24"/>
          <w:szCs w:val="24"/>
        </w:rPr>
        <w:t xml:space="preserve">2. What the repository contains</w:t>
      </w:r>
    </w:p>
    <w:tbl>
      <w:tblPr>
        <w:tblW w:type="dxa" w:w="9360"/>
        <w:tblBorders>
          <w:top w:val="single" w:color="D7DBDF" w:sz="2"/>
          <w:left w:val="single" w:color="D7DBDF" w:sz="2"/>
          <w:bottom w:val="single" w:color="D7DBDF" w:sz="2"/>
          <w:right w:val="single" w:color="D7DBDF" w:sz="2"/>
          <w:insideH w:val="single" w:color="D7DBDF" w:sz="2"/>
          <w:insideV w:val="single" w:color="D7DBDF" w:sz="2"/>
        </w:tblBorders>
      </w:tblPr>
      <w:tblGrid>
        <w:gridCol w:w="2400"/>
        <w:gridCol w:w="900"/>
        <w:gridCol w:w="6060"/>
      </w:tblGrid>
      <w:tr>
        <w:trPr>
          <w:tblHeader/>
        </w:trPr>
        <w:tc>
          <w:tcPr>
            <w:tcW w:type="dxa" w:w="2400"/>
            <w:shd w:fill="F1EDE6" w:color="auto" w:val="clear"/>
            <w:tcMar>
              <w:top w:type="dxa" w:w="60"/>
              <w:left w:type="dxa" w:w="90"/>
              <w:bottom w:type="dxa" w:w="60"/>
              <w:right w:type="dxa" w:w="90"/>
            </w:tcMar>
          </w:tcPr>
          <w:p>
            <w:pPr>
              <w:spacing w:after="0" w:line="240"/>
            </w:pPr>
            <w:r>
              <w:rPr>
                <w:rFonts w:ascii="Calibri" w:cs="Calibri" w:eastAsia="Calibri" w:hAnsi="Calibri"/>
                <w:b/>
                <w:bCs/>
                <w:color w:val="1F2933"/>
                <w:sz w:val="17"/>
                <w:szCs w:val="17"/>
              </w:rPr>
              <w:t xml:space="preserve">File</w:t>
            </w:r>
          </w:p>
        </w:tc>
        <w:tc>
          <w:tcPr>
            <w:tcW w:type="dxa" w:w="900"/>
            <w:shd w:fill="F1EDE6" w:color="auto" w:val="clear"/>
            <w:tcMar>
              <w:top w:type="dxa" w:w="60"/>
              <w:left w:type="dxa" w:w="90"/>
              <w:bottom w:type="dxa" w:w="60"/>
              <w:right w:type="dxa" w:w="90"/>
            </w:tcMar>
          </w:tcPr>
          <w:p>
            <w:pPr>
              <w:spacing w:after="0" w:line="240"/>
            </w:pPr>
            <w:r>
              <w:rPr>
                <w:rFonts w:ascii="Calibri" w:cs="Calibri" w:eastAsia="Calibri" w:hAnsi="Calibri"/>
                <w:b/>
                <w:bCs/>
                <w:color w:val="1F2933"/>
                <w:sz w:val="17"/>
                <w:szCs w:val="17"/>
              </w:rPr>
              <w:t xml:space="preserve">Size</w:t>
            </w:r>
          </w:p>
        </w:tc>
        <w:tc>
          <w:tcPr>
            <w:tcW w:type="dxa" w:w="6060"/>
            <w:shd w:fill="F1EDE6" w:color="auto" w:val="clear"/>
            <w:tcMar>
              <w:top w:type="dxa" w:w="60"/>
              <w:left w:type="dxa" w:w="90"/>
              <w:bottom w:type="dxa" w:w="60"/>
              <w:right w:type="dxa" w:w="90"/>
            </w:tcMar>
          </w:tcPr>
          <w:p>
            <w:pPr>
              <w:spacing w:after="0" w:line="240"/>
            </w:pPr>
            <w:r>
              <w:rPr>
                <w:rFonts w:ascii="Calibri" w:cs="Calibri" w:eastAsia="Calibri" w:hAnsi="Calibri"/>
                <w:b/>
                <w:bCs/>
                <w:color w:val="1F2933"/>
                <w:sz w:val="17"/>
                <w:szCs w:val="17"/>
              </w:rPr>
              <w:t xml:space="preserve">Role</w:t>
            </w:r>
          </w:p>
        </w:tc>
      </w:tr>
      <w:tr>
        <w:tc>
          <w:tcPr>
            <w:tcW w:type="dxa" w:w="24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Nexus_v5_1.html</w:t>
            </w:r>
          </w:p>
        </w:tc>
        <w:tc>
          <w:tcPr>
            <w:tcW w:type="dxa" w:w="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277 KB</w:t>
            </w:r>
          </w:p>
        </w:tc>
        <w:tc>
          <w:tcPr>
            <w:tcW w:type="dxa" w:w="6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The terminal — all markup, styling and logic in one file</w:t>
            </w:r>
          </w:p>
        </w:tc>
      </w:tr>
      <w:tr>
        <w:tc>
          <w:tcPr>
            <w:tcW w:type="dxa" w:w="24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Nesus trial.html</w:t>
            </w:r>
          </w:p>
        </w:tc>
        <w:tc>
          <w:tcPr>
            <w:tcW w:type="dxa" w:w="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52 KB</w:t>
            </w:r>
          </w:p>
        </w:tc>
        <w:tc>
          <w:tcPr>
            <w:tcW w:type="dxa" w:w="6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Earlier prototype (882 lines); no module router</w:t>
            </w:r>
          </w:p>
        </w:tc>
      </w:tr>
      <w:tr>
        <w:tc>
          <w:tcPr>
            <w:tcW w:type="dxa" w:w="24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README.md</w:t>
            </w:r>
          </w:p>
        </w:tc>
        <w:tc>
          <w:tcPr>
            <w:tcW w:type="dxa" w:w="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20 KB</w:t>
            </w:r>
          </w:p>
        </w:tc>
        <w:tc>
          <w:tcPr>
            <w:tcW w:type="dxa" w:w="6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Rationale, architecture, API reference, known issues, roadmap</w:t>
            </w:r>
          </w:p>
        </w:tc>
      </w:tr>
      <w:tr>
        <w:tc>
          <w:tcPr>
            <w:tcW w:type="dxa" w:w="24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Functional Requirements.pdf</w:t>
            </w:r>
          </w:p>
        </w:tc>
        <w:tc>
          <w:tcPr>
            <w:tcW w:type="dxa" w:w="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152 KB</w:t>
            </w:r>
          </w:p>
        </w:tc>
        <w:tc>
          <w:tcPr>
            <w:tcW w:type="dxa" w:w="6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4-page functional vs. non-functional requirements matrix</w:t>
            </w:r>
          </w:p>
        </w:tc>
      </w:tr>
      <w:tr>
        <w:tc>
          <w:tcPr>
            <w:tcW w:type="dxa" w:w="24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Final user story.xlsx</w:t>
            </w:r>
          </w:p>
        </w:tc>
        <w:tc>
          <w:tcPr>
            <w:tcW w:type="dxa" w:w="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12 KB</w:t>
            </w:r>
          </w:p>
        </w:tc>
        <w:tc>
          <w:tcPr>
            <w:tcW w:type="dxa" w:w="6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18 user stories across three roles, 99 story points</w:t>
            </w:r>
          </w:p>
        </w:tc>
      </w:tr>
      <w:tr>
        <w:tc>
          <w:tcPr>
            <w:tcW w:type="dxa" w:w="24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estimation.xlsx</w:t>
            </w:r>
          </w:p>
        </w:tc>
        <w:tc>
          <w:tcPr>
            <w:tcW w:type="dxa" w:w="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24 KB</w:t>
            </w:r>
          </w:p>
        </w:tc>
        <w:tc>
          <w:tcPr>
            <w:tcW w:type="dxa" w:w="6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Function Point Analysis, LOC conversion, COCOMO / Jones</w:t>
            </w:r>
          </w:p>
        </w:tc>
      </w:tr>
      <w:tr>
        <w:tc>
          <w:tcPr>
            <w:tcW w:type="dxa" w:w="24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sprint 2.docx / Sprint 2.odt</w:t>
            </w:r>
          </w:p>
        </w:tc>
        <w:tc>
          <w:tcPr>
            <w:tcW w:type="dxa" w:w="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508 KB</w:t>
            </w:r>
          </w:p>
        </w:tc>
        <w:tc>
          <w:tcPr>
            <w:tcW w:type="dxa" w:w="6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SRS-style sprint report, sections 1–6</w:t>
            </w:r>
          </w:p>
        </w:tc>
      </w:tr>
      <w:tr>
        <w:tc>
          <w:tcPr>
            <w:tcW w:type="dxa" w:w="24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Trello board export (JSON)</w:t>
            </w:r>
          </w:p>
        </w:tc>
        <w:tc>
          <w:tcPr>
            <w:tcW w:type="dxa" w:w="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576 KB</w:t>
            </w:r>
          </w:p>
        </w:tc>
        <w:tc>
          <w:tcPr>
            <w:tcW w:type="dxa" w:w="6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Nexus-Board: 7 lists, 24 open cards</w:t>
            </w:r>
          </w:p>
        </w:tc>
      </w:tr>
    </w:tbl>
    <w:p>
      <w:pPr>
        <w:spacing w:after="140"/>
      </w:pPr>
    </w:p>
    <w:p>
      <w:pPr>
        <w:spacing w:after="0" w:line="260"/>
      </w:pPr>
      <w:r>
        <w:rPr>
          <w:rFonts w:ascii="Calibri" w:cs="Calibri" w:eastAsia="Calibri" w:hAnsi="Calibri"/>
          <w:b/>
          <w:bCs/>
          <w:i w:val="false"/>
          <w:iCs w:val="false"/>
          <w:color w:val="1F2933"/>
          <w:sz w:val="19"/>
          <w:szCs w:val="19"/>
        </w:rPr>
        <w:t xml:space="preserve">Not present: </w:t>
      </w:r>
      <w:r>
        <w:rPr>
          <w:rFonts w:ascii="Calibri" w:cs="Calibri" w:eastAsia="Calibri" w:hAnsi="Calibri"/>
          <w:b w:val="false"/>
          <w:bCs w:val="false"/>
          <w:i w:val="false"/>
          <w:iCs w:val="false"/>
          <w:color w:val="1F2933"/>
          <w:sz w:val="19"/>
          <w:szCs w:val="19"/>
        </w:rPr>
        <w:t xml:space="preserve">the </w:t>
      </w:r>
      <w:r>
        <w:rPr>
          <w:rFonts w:ascii="Calibri" w:cs="Calibri" w:eastAsia="Calibri" w:hAnsi="Calibri"/>
          <w:b w:val="false"/>
          <w:bCs w:val="false"/>
          <w:i/>
          <w:iCs/>
          <w:color w:val="1F2933"/>
          <w:sz w:val="19"/>
          <w:szCs w:val="19"/>
        </w:rPr>
        <w:t xml:space="preserve">py/</w:t>
      </w:r>
      <w:r>
        <w:rPr>
          <w:rFonts w:ascii="Calibri" w:cs="Calibri" w:eastAsia="Calibri" w:hAnsi="Calibri"/>
          <w:b w:val="false"/>
          <w:bCs w:val="false"/>
          <w:i w:val="false"/>
          <w:iCs w:val="false"/>
          <w:color w:val="1F2933"/>
          <w:sz w:val="19"/>
          <w:szCs w:val="19"/>
        </w:rPr>
        <w:t xml:space="preserve"> directory (downloader, FastAPI server, requirements.txt, generated data), a LICENSE, and a .gitignore. The backend is documented in detail but has not been committed.</w:t>
      </w:r>
    </w:p>
    <w:p>
      <w:pPr>
        <w:pStyle w:val="Heading1"/>
        <w:spacing w:after="120" w:before="260"/>
      </w:pPr>
      <w:r>
        <w:rPr>
          <w:rFonts w:ascii="Calibri" w:cs="Calibri" w:eastAsia="Calibri" w:hAnsi="Calibri"/>
          <w:b/>
          <w:bCs/>
          <w:caps/>
          <w:color w:val="B45309"/>
          <w:spacing w:val="20"/>
          <w:sz w:val="24"/>
          <w:szCs w:val="24"/>
        </w:rPr>
        <w:t xml:space="preserve">3. Design concept</w:t>
      </w:r>
    </w:p>
    <w:p>
      <w:pPr>
        <w:spacing w:after="120" w:line="260"/>
      </w:pPr>
      <w:r>
        <w:rPr>
          <w:rFonts w:ascii="Calibri" w:cs="Calibri" w:eastAsia="Calibri" w:hAnsi="Calibri"/>
          <w:color w:val="1F2933"/>
          <w:sz w:val="19"/>
          <w:szCs w:val="19"/>
        </w:rPr>
        <w:t xml:space="preserve">Three self-imposed constraints define the project, and each maps to a piece of the architecture.</w:t>
      </w:r>
    </w:p>
    <w:p>
      <w:pPr>
        <w:pStyle w:val="ListParagraph"/>
        <w:numPr>
          <w:ilvl w:val="0"/>
          <w:numId w:val="2"/>
        </w:numPr>
        <w:spacing w:after="70" w:line="250"/>
      </w:pPr>
      <w:r>
        <w:rPr>
          <w:rFonts w:ascii="Calibri" w:cs="Calibri" w:eastAsia="Calibri" w:hAnsi="Calibri"/>
          <w:b/>
          <w:bCs/>
          <w:color w:val="1F2933"/>
          <w:sz w:val="19"/>
          <w:szCs w:val="19"/>
        </w:rPr>
        <w:t xml:space="preserve">Real analytics. </w:t>
      </w:r>
      <w:r>
        <w:rPr>
          <w:rFonts w:ascii="Calibri" w:cs="Calibri" w:eastAsia="Calibri" w:hAnsi="Calibri"/>
          <w:color w:val="1F2933"/>
          <w:sz w:val="19"/>
          <w:szCs w:val="19"/>
        </w:rPr>
        <w:t xml:space="preserve">The risk layer uses real return series rather than mock numbers — historical VaR and CVaR at 99% and 95% from a 252-day window, a real covariance matrix, marginal contribution to risk computed properly as w ⊙ (Σw) / σₚ, a 20,000-path Monte Carlo, and eight published drawdown scenarios (2008, COVID, dot-com, the 2022 rate shock and others) mapped onto position buckets.</w:t>
      </w:r>
    </w:p>
    <w:p>
      <w:pPr>
        <w:pStyle w:val="ListParagraph"/>
        <w:numPr>
          <w:ilvl w:val="0"/>
          <w:numId w:val="2"/>
        </w:numPr>
        <w:spacing w:after="70" w:line="250"/>
      </w:pPr>
      <w:r>
        <w:rPr>
          <w:rFonts w:ascii="Calibri" w:cs="Calibri" w:eastAsia="Calibri" w:hAnsi="Calibri"/>
          <w:b/>
          <w:bCs/>
          <w:color w:val="1F2933"/>
          <w:sz w:val="19"/>
          <w:szCs w:val="19"/>
        </w:rPr>
        <w:t xml:space="preserve">One file. </w:t>
      </w:r>
      <w:r>
        <w:rPr>
          <w:rFonts w:ascii="Calibri" w:cs="Calibri" w:eastAsia="Calibri" w:hAnsi="Calibri"/>
          <w:color w:val="1F2933"/>
          <w:sz w:val="19"/>
          <w:szCs w:val="19"/>
        </w:rPr>
        <w:t xml:space="preserve">No React, no bundler, no node_modules. The terminal is vanilla JavaScript, HTML and CSS with two CDN libraries. It can be emailed, copied to a USB stick, or opened by double-click on a machine that has never had a package manager installed.</w:t>
      </w:r>
    </w:p>
    <w:p>
      <w:pPr>
        <w:pStyle w:val="ListParagraph"/>
        <w:numPr>
          <w:ilvl w:val="0"/>
          <w:numId w:val="2"/>
        </w:numPr>
        <w:spacing w:after="70" w:line="250"/>
      </w:pPr>
      <w:r>
        <w:rPr>
          <w:rFonts w:ascii="Calibri" w:cs="Calibri" w:eastAsia="Calibri" w:hAnsi="Calibri"/>
          <w:b/>
          <w:bCs/>
          <w:color w:val="1F2933"/>
          <w:sz w:val="19"/>
          <w:szCs w:val="19"/>
        </w:rPr>
        <w:t xml:space="preserve">Terminal feel. </w:t>
      </w:r>
      <w:r>
        <w:rPr>
          <w:rFonts w:ascii="Calibri" w:cs="Calibri" w:eastAsia="Calibri" w:hAnsi="Calibri"/>
          <w:color w:val="1F2933"/>
          <w:sz w:val="19"/>
          <w:szCs w:val="19"/>
        </w:rPr>
        <w:t xml:space="preserve">Amber-on-black, Share Tech Mono and Orbitron, a scrolling ticker rail, tabular numerals, and navigation grouped the way a trading desk groups things rather than the way a web app would. Density is treated as a feature.</w:t>
      </w:r>
    </w:p>
    <w:p>
      <w:pPr>
        <w:spacing w:after="60" w:line="260"/>
      </w:pPr>
      <w:r>
        <w:rPr>
          <w:rFonts w:ascii="Calibri" w:cs="Calibri" w:eastAsia="Calibri" w:hAnsi="Calibri"/>
          <w:color w:val="1F2933"/>
          <w:sz w:val="19"/>
          <w:szCs w:val="19"/>
        </w:rPr>
        <w:t xml:space="preserve">The aircraft and vessel tracking modules are the one non-financial inclusion, and they are argued for rather than bolted on: physical trade flow is market data, and a terminal showing credit spreads but not tanker traffic is telling half the story.</w:t>
      </w:r>
    </w:p>
    <w:p>
      <w:pPr>
        <w:pStyle w:val="Heading1"/>
        <w:spacing w:after="120" w:before="260"/>
      </w:pPr>
      <w:r>
        <w:rPr>
          <w:rFonts w:ascii="Calibri" w:cs="Calibri" w:eastAsia="Calibri" w:hAnsi="Calibri"/>
          <w:b/>
          <w:bCs/>
          <w:caps/>
          <w:color w:val="B45309"/>
          <w:spacing w:val="20"/>
          <w:sz w:val="24"/>
          <w:szCs w:val="24"/>
        </w:rPr>
        <w:t xml:space="preserve">4. The front end as committed</w:t>
      </w:r>
    </w:p>
    <w:p>
      <w:pPr>
        <w:spacing w:after="120" w:line="260"/>
      </w:pPr>
      <w:r>
        <w:rPr>
          <w:rFonts w:ascii="Calibri" w:cs="Calibri" w:eastAsia="Calibri" w:hAnsi="Calibri"/>
          <w:color w:val="1F2933"/>
          <w:sz w:val="19"/>
          <w:szCs w:val="19"/>
        </w:rPr>
        <w:t xml:space="preserve">Inspecting Nexus_v5_1.html directly shows a working but earlier build than the README describes. The gap is worth closing, because the README is otherwise the strongest asset in the repository.</w:t>
      </w:r>
    </w:p>
    <w:tbl>
      <w:tblPr>
        <w:tblW w:type="dxa" w:w="9360"/>
        <w:tblBorders>
          <w:top w:val="single" w:color="D7DBDF" w:sz="2"/>
          <w:left w:val="single" w:color="D7DBDF" w:sz="2"/>
          <w:bottom w:val="single" w:color="D7DBDF" w:sz="2"/>
          <w:right w:val="single" w:color="D7DBDF" w:sz="2"/>
          <w:insideH w:val="single" w:color="D7DBDF" w:sz="2"/>
          <w:insideV w:val="single" w:color="D7DBDF" w:sz="2"/>
        </w:tblBorders>
      </w:tblPr>
      <w:tblGrid>
        <w:gridCol w:w="1900"/>
        <w:gridCol w:w="3430"/>
        <w:gridCol w:w="4030"/>
      </w:tblGrid>
      <w:tr>
        <w:trPr>
          <w:tblHeader/>
        </w:trPr>
        <w:tc>
          <w:tcPr>
            <w:tcW w:type="dxa" w:w="1900"/>
            <w:shd w:fill="F1EDE6" w:color="auto" w:val="clear"/>
            <w:tcMar>
              <w:top w:type="dxa" w:w="60"/>
              <w:left w:type="dxa" w:w="90"/>
              <w:bottom w:type="dxa" w:w="60"/>
              <w:right w:type="dxa" w:w="90"/>
            </w:tcMar>
          </w:tcPr>
          <w:p>
            <w:pPr>
              <w:spacing w:after="0" w:line="240"/>
            </w:pPr>
            <w:r>
              <w:rPr>
                <w:rFonts w:ascii="Calibri" w:cs="Calibri" w:eastAsia="Calibri" w:hAnsi="Calibri"/>
                <w:b/>
                <w:bCs/>
                <w:color w:val="1F2933"/>
                <w:sz w:val="17"/>
                <w:szCs w:val="17"/>
              </w:rPr>
              <w:t xml:space="preserve">Attribute</w:t>
            </w:r>
          </w:p>
        </w:tc>
        <w:tc>
          <w:tcPr>
            <w:tcW w:type="dxa" w:w="3430"/>
            <w:shd w:fill="F1EDE6" w:color="auto" w:val="clear"/>
            <w:tcMar>
              <w:top w:type="dxa" w:w="60"/>
              <w:left w:type="dxa" w:w="90"/>
              <w:bottom w:type="dxa" w:w="60"/>
              <w:right w:type="dxa" w:w="90"/>
            </w:tcMar>
          </w:tcPr>
          <w:p>
            <w:pPr>
              <w:spacing w:after="0" w:line="240"/>
            </w:pPr>
            <w:r>
              <w:rPr>
                <w:rFonts w:ascii="Calibri" w:cs="Calibri" w:eastAsia="Calibri" w:hAnsi="Calibri"/>
                <w:b/>
                <w:bCs/>
                <w:color w:val="1F2933"/>
                <w:sz w:val="17"/>
                <w:szCs w:val="17"/>
              </w:rPr>
              <w:t xml:space="preserve">README states</w:t>
            </w:r>
          </w:p>
        </w:tc>
        <w:tc>
          <w:tcPr>
            <w:tcW w:type="dxa" w:w="4030"/>
            <w:shd w:fill="F1EDE6" w:color="auto" w:val="clear"/>
            <w:tcMar>
              <w:top w:type="dxa" w:w="60"/>
              <w:left w:type="dxa" w:w="90"/>
              <w:bottom w:type="dxa" w:w="60"/>
              <w:right w:type="dxa" w:w="90"/>
            </w:tcMar>
          </w:tcPr>
          <w:p>
            <w:pPr>
              <w:spacing w:after="0" w:line="240"/>
            </w:pPr>
            <w:r>
              <w:rPr>
                <w:rFonts w:ascii="Calibri" w:cs="Calibri" w:eastAsia="Calibri" w:hAnsi="Calibri"/>
                <w:b/>
                <w:bCs/>
                <w:color w:val="1F2933"/>
                <w:sz w:val="17"/>
                <w:szCs w:val="17"/>
              </w:rPr>
              <w:t xml:space="preserve">Committed file</w:t>
            </w:r>
          </w:p>
        </w:tc>
      </w:tr>
      <w:tr>
        <w:tc>
          <w:tcPr>
            <w:tcW w:type="dxa" w:w="1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Line count</w:t>
            </w:r>
          </w:p>
        </w:tc>
        <w:tc>
          <w:tcPr>
            <w:tcW w:type="dxa" w:w="34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4,733 lines</w:t>
            </w:r>
          </w:p>
        </w:tc>
        <w:tc>
          <w:tcPr>
            <w:tcW w:type="dxa" w:w="40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3,310 lines</w:t>
            </w:r>
          </w:p>
        </w:tc>
      </w:tr>
      <w:tr>
        <w:tc>
          <w:tcPr>
            <w:tcW w:type="dxa" w:w="1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Modules</w:t>
            </w:r>
          </w:p>
        </w:tc>
        <w:tc>
          <w:tcPr>
            <w:tcW w:type="dxa" w:w="34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30 across 10 nav groups</w:t>
            </w:r>
          </w:p>
        </w:tc>
        <w:tc>
          <w:tcPr>
            <w:tcW w:type="dxa" w:w="40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12 across 5 nav groups</w:t>
            </w:r>
          </w:p>
        </w:tc>
      </w:tr>
      <w:tr>
        <w:tc>
          <w:tcPr>
            <w:tcW w:type="dxa" w:w="1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Nav groups present</w:t>
            </w:r>
          </w:p>
        </w:tc>
        <w:tc>
          <w:tcPr>
            <w:tcW w:type="dxa" w:w="34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incl. Fixed Income, Commodities, Portfolio, Intelligence, Global</w:t>
            </w:r>
          </w:p>
        </w:tc>
        <w:tc>
          <w:tcPr>
            <w:tcW w:type="dxa" w:w="40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Home, Markets, Global Tracking, Risk &amp; Analytics, New Modules</w:t>
            </w:r>
          </w:p>
        </w:tc>
      </w:tr>
      <w:tr>
        <w:tc>
          <w:tcPr>
            <w:tcW w:type="dxa" w:w="1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Backend wiring</w:t>
            </w:r>
          </w:p>
        </w:tc>
        <w:tc>
          <w:tcPr>
            <w:tcW w:type="dxa" w:w="34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probes 127.0.0.1:8000 on load, falls back to demo data</w:t>
            </w:r>
          </w:p>
        </w:tc>
        <w:tc>
          <w:tcPr>
            <w:tcW w:type="dxa" w:w="40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no localhost references; demo data only</w:t>
            </w:r>
          </w:p>
        </w:tc>
      </w:tr>
      <w:tr>
        <w:tc>
          <w:tcPr>
            <w:tcW w:type="dxa" w:w="19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Dependencies</w:t>
            </w:r>
          </w:p>
        </w:tc>
        <w:tc>
          <w:tcPr>
            <w:tcW w:type="dxa" w:w="34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Chart.js 4.4.1, Leaflet 1.9.4</w:t>
            </w:r>
          </w:p>
        </w:tc>
        <w:tc>
          <w:tcPr>
            <w:tcW w:type="dxa" w:w="403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Confirmed, plus Google Fonts</w:t>
            </w:r>
          </w:p>
        </w:tc>
      </w:tr>
    </w:tbl>
    <w:p>
      <w:pPr>
        <w:spacing w:after="140"/>
      </w:pPr>
    </w:p>
    <w:p>
      <w:pPr>
        <w:spacing w:after="120" w:line="260"/>
      </w:pPr>
      <w:r>
        <w:rPr>
          <w:rFonts w:ascii="Calibri" w:cs="Calibri" w:eastAsia="Calibri" w:hAnsi="Calibri"/>
          <w:color w:val="1F2933"/>
          <w:sz w:val="19"/>
          <w:szCs w:val="19"/>
        </w:rPr>
        <w:t xml:space="preserve">The code itself is tidier than the line count suggests. A single switchModule() router toggles visibility and lazily initialises each module on first open; shared helpers (mkChart, mkKpi, drow, fmtM, nexusFetch) keep the per-module code to a consistent initX / renderX / filterX shape. mkChart destroying and recreating each canvas is the right call — it is the standard way to avoid Chart.js memory leaks on re-render. The commented-out Polygon.io calls sitting next to the synthetic generators show the swap-in points were designed in from the start rather than retrofitted.</w:t>
      </w:r>
    </w:p>
    <w:p>
      <w:pPr>
        <w:pStyle w:val="Heading1"/>
        <w:spacing w:after="120" w:before="260"/>
      </w:pPr>
      <w:r>
        <w:rPr>
          <w:rFonts w:ascii="Calibri" w:cs="Calibri" w:eastAsia="Calibri" w:hAnsi="Calibri"/>
          <w:b/>
          <w:bCs/>
          <w:caps/>
          <w:color w:val="B45309"/>
          <w:spacing w:val="20"/>
          <w:sz w:val="24"/>
          <w:szCs w:val="24"/>
        </w:rPr>
        <w:t xml:space="preserve">5. Backend and risk engine (documented)</w:t>
      </w:r>
    </w:p>
    <w:p>
      <w:pPr>
        <w:spacing w:after="120" w:line="260"/>
      </w:pPr>
      <w:r>
        <w:rPr>
          <w:rFonts w:ascii="Calibri" w:cs="Calibri" w:eastAsia="Calibri" w:hAnsi="Calibri"/>
          <w:color w:val="1F2933"/>
          <w:sz w:val="19"/>
          <w:szCs w:val="19"/>
        </w:rPr>
        <w:t xml:space="preserve">The documented design separates cleanly into a downloader/risk engine (py.py) that writes 16 CSVs and 2 JSON files, and a FastAPI server (main.py) that only ever reads those local files. The decoupling is deliberate and sound: the downloader can run on a 6 a.m. cron while the API never blocks on a network call. Twelve endpoints cover prices, portfolio, news, risk, summary and schema, plus three CSV upload routes, so a broker export with symbol, shares and avg_cost is enough to drive the terminal without using the downloader at all.</w:t>
      </w:r>
    </w:p>
    <w:p>
      <w:pPr>
        <w:spacing w:after="120" w:line="260"/>
      </w:pPr>
      <w:r>
        <w:rPr>
          <w:rFonts w:ascii="Calibri" w:cs="Calibri" w:eastAsia="Calibri" w:hAnsi="Calibri"/>
          <w:color w:val="1F2933"/>
          <w:sz w:val="19"/>
          <w:szCs w:val="19"/>
        </w:rPr>
        <w:t xml:space="preserve">The engine's treatment of risk contribution deserves specific credit. Most dashboards report position weight and label it risk; this one decomposes marginal contribution correctly, so a 3% crypto sleeve carrying 15% of portfolio volatility becomes visible. CVaR is computed as the true conditional mean of the tail rather than a scaled VaR, and the Monte Carlo is seeded for reproducibility. These are the details that separate a finance project from a charting project.</w:t>
      </w:r>
    </w:p>
    <w:p>
      <w:pPr>
        <w:pStyle w:val="Heading1"/>
        <w:spacing w:after="120" w:before="260"/>
      </w:pPr>
      <w:r>
        <w:rPr>
          <w:rFonts w:ascii="Calibri" w:cs="Calibri" w:eastAsia="Calibri" w:hAnsi="Calibri"/>
          <w:b/>
          <w:bCs/>
          <w:caps/>
          <w:color w:val="B45309"/>
          <w:spacing w:val="20"/>
          <w:sz w:val="24"/>
          <w:szCs w:val="24"/>
        </w:rPr>
        <w:t xml:space="preserve">6. Engineering process artefacts</w:t>
      </w:r>
    </w:p>
    <w:p>
      <w:pPr>
        <w:spacing w:after="120" w:line="260"/>
      </w:pPr>
      <w:r>
        <w:rPr>
          <w:rFonts w:ascii="Calibri" w:cs="Calibri" w:eastAsia="Calibri" w:hAnsi="Calibri"/>
          <w:color w:val="1F2933"/>
          <w:sz w:val="19"/>
          <w:szCs w:val="19"/>
        </w:rPr>
        <w:t xml:space="preserve">The planning documentation is the most complete part of the repository and would stand on its own as a coursework submission.</w:t>
      </w:r>
    </w:p>
    <w:tbl>
      <w:tblPr>
        <w:tblW w:type="dxa" w:w="9360"/>
        <w:tblBorders>
          <w:top w:val="single" w:color="D7DBDF" w:sz="2"/>
          <w:left w:val="single" w:color="D7DBDF" w:sz="2"/>
          <w:bottom w:val="single" w:color="D7DBDF" w:sz="2"/>
          <w:right w:val="single" w:color="D7DBDF" w:sz="2"/>
          <w:insideH w:val="single" w:color="D7DBDF" w:sz="2"/>
          <w:insideV w:val="single" w:color="D7DBDF" w:sz="2"/>
        </w:tblBorders>
      </w:tblPr>
      <w:tblGrid>
        <w:gridCol w:w="2300"/>
        <w:gridCol w:w="7060"/>
      </w:tblGrid>
      <w:tr>
        <w:trPr>
          <w:tblHeader/>
        </w:trPr>
        <w:tc>
          <w:tcPr>
            <w:tcW w:type="dxa" w:w="2300"/>
            <w:shd w:fill="F1EDE6" w:color="auto" w:val="clear"/>
            <w:tcMar>
              <w:top w:type="dxa" w:w="60"/>
              <w:left w:type="dxa" w:w="90"/>
              <w:bottom w:type="dxa" w:w="60"/>
              <w:right w:type="dxa" w:w="90"/>
            </w:tcMar>
          </w:tcPr>
          <w:p>
            <w:pPr>
              <w:spacing w:after="0" w:line="240"/>
            </w:pPr>
            <w:r>
              <w:rPr>
                <w:rFonts w:ascii="Calibri" w:cs="Calibri" w:eastAsia="Calibri" w:hAnsi="Calibri"/>
                <w:b/>
                <w:bCs/>
                <w:color w:val="1F2933"/>
                <w:sz w:val="17"/>
                <w:szCs w:val="17"/>
              </w:rPr>
              <w:t xml:space="preserve">Artefact</w:t>
            </w:r>
          </w:p>
        </w:tc>
        <w:tc>
          <w:tcPr>
            <w:tcW w:type="dxa" w:w="7060"/>
            <w:shd w:fill="F1EDE6" w:color="auto" w:val="clear"/>
            <w:tcMar>
              <w:top w:type="dxa" w:w="60"/>
              <w:left w:type="dxa" w:w="90"/>
              <w:bottom w:type="dxa" w:w="60"/>
              <w:right w:type="dxa" w:w="90"/>
            </w:tcMar>
          </w:tcPr>
          <w:p>
            <w:pPr>
              <w:spacing w:after="0" w:line="240"/>
            </w:pPr>
            <w:r>
              <w:rPr>
                <w:rFonts w:ascii="Calibri" w:cs="Calibri" w:eastAsia="Calibri" w:hAnsi="Calibri"/>
                <w:b/>
                <w:bCs/>
                <w:color w:val="1F2933"/>
                <w:sz w:val="17"/>
                <w:szCs w:val="17"/>
              </w:rPr>
              <w:t xml:space="preserve">Content</w:t>
            </w:r>
          </w:p>
        </w:tc>
      </w:tr>
      <w:tr>
        <w:tc>
          <w:tcPr>
            <w:tcW w:type="dxa" w:w="23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User stories</w:t>
            </w:r>
          </w:p>
        </w:tc>
        <w:tc>
          <w:tcPr>
            <w:tcW w:type="dxa" w:w="7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18 stories across Developer (29 pts), User (40 pts) and Customer Support (30 pts) — 99 points total, each with a written estimation rationale</w:t>
            </w:r>
          </w:p>
        </w:tc>
      </w:tr>
      <w:tr>
        <w:tc>
          <w:tcPr>
            <w:tcW w:type="dxa" w:w="23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Function Point Analysis</w:t>
            </w:r>
          </w:p>
        </w:tc>
        <w:tc>
          <w:tcPr>
            <w:tcW w:type="dxa" w:w="7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14 GSCs scored to a Degree of Influence of 50 → VAF 1.15; UFP 116 → Adjusted 133.4 function points</w:t>
            </w:r>
          </w:p>
        </w:tc>
      </w:tr>
      <w:tr>
        <w:tc>
          <w:tcPr>
            <w:tcW w:type="dxa" w:w="23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LOC conversion</w:t>
            </w:r>
          </w:p>
        </w:tc>
        <w:tc>
          <w:tcPr>
            <w:tcW w:type="dxa" w:w="7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Weighted language unit size 48.07 → 6,413 LOC → 6.41 KDSI</w:t>
            </w:r>
          </w:p>
        </w:tc>
      </w:tr>
      <w:tr>
        <w:tc>
          <w:tcPr>
            <w:tcW w:type="dxa" w:w="23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COCOMO (semi-detached)</w:t>
            </w:r>
          </w:p>
        </w:tc>
        <w:tc>
          <w:tcPr>
            <w:tcW w:type="dxa" w:w="7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24.0 person-months, 7.6 months elapsed, team of 3.2</w:t>
            </w:r>
          </w:p>
        </w:tc>
      </w:tr>
      <w:tr>
        <w:tc>
          <w:tcPr>
            <w:tcW w:type="dxa" w:w="23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Jones first-order</w:t>
            </w:r>
          </w:p>
        </w:tc>
        <w:tc>
          <w:tcPr>
            <w:tcW w:type="dxa" w:w="7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31.7 person-months, 9.5 months elapsed, team of 3.3</w:t>
            </w:r>
          </w:p>
        </w:tc>
      </w:tr>
      <w:tr>
        <w:tc>
          <w:tcPr>
            <w:tcW w:type="dxa" w:w="230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Trello board</w:t>
            </w:r>
          </w:p>
        </w:tc>
        <w:tc>
          <w:tcPr>
            <w:tcW w:type="dxa" w:w="7060"/>
            <w:tcMar>
              <w:top w:type="dxa" w:w="60"/>
              <w:left w:type="dxa" w:w="90"/>
              <w:bottom w:type="dxa" w:w="60"/>
              <w:right w:type="dxa" w:w="90"/>
            </w:tcMar>
          </w:tcPr>
          <w:p>
            <w:pPr>
              <w:spacing w:after="0" w:line="240"/>
            </w:pPr>
            <w:r>
              <w:rPr>
                <w:rFonts w:ascii="Calibri" w:cs="Calibri" w:eastAsia="Calibri" w:hAnsi="Calibri"/>
                <w:color w:val="1F2933"/>
                <w:sz w:val="17"/>
                <w:szCs w:val="17"/>
              </w:rPr>
              <w:t xml:space="preserve">7 lists across two sprints; 16 of 24 open cards sitting in Testing, with peer verification required</w:t>
            </w:r>
          </w:p>
        </w:tc>
      </w:tr>
    </w:tbl>
    <w:p>
      <w:pPr>
        <w:spacing w:after="140"/>
      </w:pPr>
    </w:p>
    <w:p>
      <w:pPr>
        <w:spacing w:after="120" w:line="260"/>
      </w:pPr>
      <w:r>
        <w:rPr>
          <w:rFonts w:ascii="Calibri" w:cs="Calibri" w:eastAsia="Calibri" w:hAnsi="Calibri"/>
          <w:color w:val="1F2933"/>
          <w:sz w:val="19"/>
          <w:szCs w:val="19"/>
        </w:rPr>
        <w:t xml:space="preserve">Two small consistency issues: the language-mix percentages in the LOC conversion sum to 1.10 rather than 1.00, which inflates the derived unit size slightly and propagates into every downstream effort figure; and the Schedule Tables estimate (5 person-months, 3.5 months) sits far below both COCOMO and Jones without a note explaining the divergence. Neither invalidates the analysis, but a reviewer will find them.</w:t>
      </w:r>
    </w:p>
    <w:p>
      <w:pPr>
        <w:pStyle w:val="Heading1"/>
        <w:spacing w:after="120" w:before="260"/>
      </w:pPr>
      <w:r>
        <w:rPr>
          <w:rFonts w:ascii="Calibri" w:cs="Calibri" w:eastAsia="Calibri" w:hAnsi="Calibri"/>
          <w:b/>
          <w:bCs/>
          <w:caps/>
          <w:color w:val="B45309"/>
          <w:spacing w:val="20"/>
          <w:sz w:val="24"/>
          <w:szCs w:val="24"/>
        </w:rPr>
        <w:t xml:space="preserve">7. Observations and recommendations</w:t>
      </w:r>
    </w:p>
    <w:p>
      <w:pPr>
        <w:spacing w:after="120" w:line="260"/>
      </w:pPr>
      <w:r>
        <w:rPr>
          <w:rFonts w:ascii="Calibri" w:cs="Calibri" w:eastAsia="Calibri" w:hAnsi="Calibri"/>
          <w:color w:val="1F2933"/>
          <w:sz w:val="19"/>
          <w:szCs w:val="19"/>
        </w:rPr>
        <w:t xml:space="preserve">Ordered by what would most improve how the project reads to an outside reviewer or employer.</w:t>
      </w:r>
    </w:p>
    <w:p>
      <w:pPr>
        <w:pStyle w:val="ListParagraph"/>
        <w:numPr>
          <w:ilvl w:val="0"/>
          <w:numId w:val="2"/>
        </w:numPr>
        <w:spacing w:after="70" w:line="250"/>
      </w:pPr>
      <w:r>
        <w:rPr>
          <w:rFonts w:ascii="Calibri" w:cs="Calibri" w:eastAsia="Calibri" w:hAnsi="Calibri"/>
          <w:b/>
          <w:bCs/>
          <w:color w:val="1F2933"/>
          <w:sz w:val="19"/>
          <w:szCs w:val="19"/>
        </w:rPr>
        <w:t xml:space="preserve">Close the README gap. </w:t>
      </w:r>
      <w:r>
        <w:rPr>
          <w:rFonts w:ascii="Calibri" w:cs="Calibri" w:eastAsia="Calibri" w:hAnsi="Calibri"/>
          <w:color w:val="1F2933"/>
          <w:sz w:val="19"/>
          <w:szCs w:val="19"/>
        </w:rPr>
        <w:t xml:space="preserve">Either commit the 30-module build and the py/ directory, or amend the README to describe the 12-module state accurately and mark the rest as roadmap. A reviewer who clones the repository and finds less than the README promises will discount everything else in it — which would be a shame, because the README's reasoning is genuinely good.</w:t>
      </w:r>
    </w:p>
    <w:p>
      <w:pPr>
        <w:pStyle w:val="ListParagraph"/>
        <w:numPr>
          <w:ilvl w:val="0"/>
          <w:numId w:val="2"/>
        </w:numPr>
        <w:spacing w:after="70" w:line="250"/>
      </w:pPr>
      <w:r>
        <w:rPr>
          <w:rFonts w:ascii="Calibri" w:cs="Calibri" w:eastAsia="Calibri" w:hAnsi="Calibri"/>
          <w:b/>
          <w:bCs/>
          <w:color w:val="1F2933"/>
          <w:sz w:val="19"/>
          <w:szCs w:val="19"/>
        </w:rPr>
        <w:t xml:space="preserve">Retire the client-side AI call. </w:t>
      </w:r>
      <w:r>
        <w:rPr>
          <w:rFonts w:ascii="Calibri" w:cs="Calibri" w:eastAsia="Calibri" w:hAnsi="Calibri"/>
          <w:color w:val="1F2933"/>
          <w:sz w:val="19"/>
          <w:szCs w:val="19"/>
        </w:rPr>
        <w:t xml:space="preserve">The AI Analyst panel calls api.anthropic.com directly from the browser with no key, which will fail on CORS from file:// in any case. The README already flags this and prescribes the right fix — a server-side /api/ai endpoint holding the key. Worth doing before anyone reads the source and assumes a key was once there. The model string in the call is also outdated.</w:t>
      </w:r>
    </w:p>
    <w:p>
      <w:pPr>
        <w:pStyle w:val="ListParagraph"/>
        <w:numPr>
          <w:ilvl w:val="0"/>
          <w:numId w:val="2"/>
        </w:numPr>
        <w:spacing w:after="70" w:line="250"/>
      </w:pPr>
      <w:r>
        <w:rPr>
          <w:rFonts w:ascii="Calibri" w:cs="Calibri" w:eastAsia="Calibri" w:hAnsi="Calibri"/>
          <w:b/>
          <w:bCs/>
          <w:color w:val="1F2933"/>
          <w:sz w:val="19"/>
          <w:szCs w:val="19"/>
        </w:rPr>
        <w:t xml:space="preserve">Keep the security caveats loud. </w:t>
      </w:r>
      <w:r>
        <w:rPr>
          <w:rFonts w:ascii="Calibri" w:cs="Calibri" w:eastAsia="Calibri" w:hAnsi="Calibri"/>
          <w:color w:val="1F2933"/>
          <w:sz w:val="19"/>
          <w:szCs w:val="19"/>
        </w:rPr>
        <w:t xml:space="preserve">CORS set to allow_origins=["*"] with allow_credentials=True, upload endpoints that validate only the file extension before overwriting live data, and no authentication anywhere are all defensible for a localhost tool and indefensible anywhere else. The Known Issues section says exactly this, which is the right instinct; adding a one-line "localhost only — do not deploy" banner at the top of the README makes it unmissable.</w:t>
      </w:r>
    </w:p>
    <w:p>
      <w:pPr>
        <w:pStyle w:val="ListParagraph"/>
        <w:numPr>
          <w:ilvl w:val="0"/>
          <w:numId w:val="2"/>
        </w:numPr>
        <w:spacing w:after="70" w:line="250"/>
      </w:pPr>
      <w:r>
        <w:rPr>
          <w:rFonts w:ascii="Calibri" w:cs="Calibri" w:eastAsia="Calibri" w:hAnsi="Calibri"/>
          <w:b/>
          <w:bCs/>
          <w:color w:val="1F2933"/>
          <w:sz w:val="19"/>
          <w:szCs w:val="19"/>
        </w:rPr>
        <w:t xml:space="preserve">Sanitise before real data lands. </w:t>
      </w:r>
      <w:r>
        <w:rPr>
          <w:rFonts w:ascii="Calibri" w:cs="Calibri" w:eastAsia="Calibri" w:hAnsi="Calibri"/>
          <w:color w:val="1F2933"/>
          <w:sz w:val="19"/>
          <w:szCs w:val="19"/>
        </w:rPr>
        <w:t xml:space="preserve">The front end assigns to innerHTML in roughly 75 places. With synthetic data that is harmless; once news headlines, ticker names and broker CSV uploads flow through those same paths it becomes a stored-XSS surface. Routing untrusted strings through textContent or a small escape helper is a contained change now and an awkward one later.</w:t>
      </w:r>
    </w:p>
    <w:p>
      <w:pPr>
        <w:pStyle w:val="ListParagraph"/>
        <w:numPr>
          <w:ilvl w:val="0"/>
          <w:numId w:val="2"/>
        </w:numPr>
        <w:spacing w:after="70" w:line="250"/>
      </w:pPr>
      <w:r>
        <w:rPr>
          <w:rFonts w:ascii="Calibri" w:cs="Calibri" w:eastAsia="Calibri" w:hAnsi="Calibri"/>
          <w:b/>
          <w:bCs/>
          <w:color w:val="1F2933"/>
          <w:sz w:val="19"/>
          <w:szCs w:val="19"/>
        </w:rPr>
        <w:t xml:space="preserve">Repository hygiene. </w:t>
      </w:r>
      <w:r>
        <w:rPr>
          <w:rFonts w:ascii="Calibri" w:cs="Calibri" w:eastAsia="Calibri" w:hAnsi="Calibri"/>
          <w:color w:val="1F2933"/>
          <w:sz w:val="19"/>
          <w:szCs w:val="19"/>
        </w:rPr>
        <w:t xml:space="preserve">Add a LICENSE and a .gitignore, commit a complete requirements.txt covering the downloader's dependencies, and remove Nesus trial.html or move it to an archive folder. Small, quick, and they change the impression a repository makes.</w:t>
      </w:r>
    </w:p>
    <w:p>
      <w:pPr>
        <w:pStyle w:val="ListParagraph"/>
        <w:numPr>
          <w:ilvl w:val="0"/>
          <w:numId w:val="2"/>
        </w:numPr>
        <w:spacing w:after="70" w:line="250"/>
      </w:pPr>
      <w:r>
        <w:rPr>
          <w:rFonts w:ascii="Calibri" w:cs="Calibri" w:eastAsia="Calibri" w:hAnsi="Calibri"/>
          <w:b/>
          <w:bCs/>
          <w:color w:val="1F2933"/>
          <w:sz w:val="19"/>
          <w:szCs w:val="19"/>
        </w:rPr>
        <w:t xml:space="preserve">Finish the risk wiring first. </w:t>
      </w:r>
      <w:r>
        <w:rPr>
          <w:rFonts w:ascii="Calibri" w:cs="Calibri" w:eastAsia="Calibri" w:hAnsi="Calibri"/>
          <w:color w:val="1F2933"/>
          <w:sz w:val="19"/>
          <w:szCs w:val="19"/>
        </w:rPr>
        <w:t xml:space="preserve">Wiring /api/risk into the risk, stress, compliance and Monte Carlo modules is already top of the roadmap, and it is the right priority — it is the single change that converts the most impressive part of the backend into something a visitor can actually see.</w:t>
      </w:r>
    </w:p>
    <w:p>
      <w:pPr>
        <w:spacing w:after="140"/>
      </w:pPr>
    </w:p>
    <w:p>
      <w:pPr>
        <w:pBdr>
          <w:top w:val="single" w:color="D7DBDF" w:sz="6"/>
        </w:pBdr>
        <w:spacing w:before="60"/>
      </w:pPr>
      <w:r>
        <w:rPr>
          <w:rFonts w:ascii="Calibri" w:cs="Calibri" w:eastAsia="Calibri" w:hAnsi="Calibri"/>
          <w:i/>
          <w:iCs/>
          <w:color w:val="5B6670"/>
          <w:sz w:val="18"/>
          <w:szCs w:val="18"/>
        </w:rPr>
        <w:t xml:space="preserve">Overall: a well-reasoned project with an unusually honest README — the "What's real and what isn't" section, which separates live-sourced data from structurally realistic simulation and states plainly that nothing simulated feeds the risk engine, is the kind of disclosure most portfolio projects omit. Aligning the committed code with the documentation is the highest-value next step.</w:t>
      </w:r>
    </w:p>
    <w:sectPr>
      <w:footerReference w:type="default" r:id="rId7"/>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5"/>
        <w:szCs w:val="15"/>
      </w:rPr>
      <w:t xml:space="preserve">NEXUS Terminal — Repository Assessment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2026-07-23T13:12:43.535Z</dcterms:created>
  <dcterms:modified xsi:type="dcterms:W3CDTF">2026-07-23T13:12:43.554Z</dcterms:modified>
</cp:coreProperties>
</file>

<file path=docProps/custom.xml><?xml version="1.0" encoding="utf-8"?>
<Properties xmlns="http://schemas.openxmlformats.org/officeDocument/2006/custom-properties" xmlns:vt="http://schemas.openxmlformats.org/officeDocument/2006/docPropsVTypes"/>
</file>