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E842B3"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E842B3"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E842B3"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E842B3"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proofErr w:type="spellStart"/>
      <w:r w:rsidRPr="00844A96">
        <w:rPr>
          <w:rFonts w:ascii="Times New Roman" w:eastAsia="Times New Roman" w:hAnsi="Times New Roman" w:cs="Times New Roman"/>
          <w:sz w:val="28"/>
          <w:szCs w:val="24"/>
          <w:lang w:eastAsia="en-IN"/>
        </w:rPr>
        <w:t>centers</w:t>
      </w:r>
      <w:proofErr w:type="spellEnd"/>
      <w:r w:rsidRPr="00844A96">
        <w:rPr>
          <w:rFonts w:ascii="Times New Roman" w:eastAsia="Times New Roman" w:hAnsi="Times New Roman" w:cs="Times New Roman"/>
          <w:sz w:val="28"/>
          <w:szCs w:val="24"/>
          <w:lang w:eastAsia="en-IN"/>
        </w:rPr>
        <w:t>, and maintenance facilities. The system’s reliance on both aerial and ground-based i</w:t>
      </w:r>
      <w:bookmarkStart w:id="0" w:name="_GoBack"/>
      <w:bookmarkEnd w:id="0"/>
      <w:r w:rsidRPr="00844A96">
        <w:rPr>
          <w:rFonts w:ascii="Times New Roman" w:eastAsia="Times New Roman" w:hAnsi="Times New Roman" w:cs="Times New Roman"/>
          <w:sz w:val="28"/>
          <w:szCs w:val="24"/>
          <w:lang w:eastAsia="en-IN"/>
        </w:rPr>
        <w:t>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E842B3" w:rsidRPr="00844A96" w:rsidRDefault="00E842B3" w:rsidP="00844A96">
      <w:pPr>
        <w:pStyle w:val="NormalWeb"/>
        <w:jc w:val="both"/>
        <w:rPr>
          <w:sz w:val="32"/>
        </w:rPr>
      </w:pPr>
    </w:p>
    <w:sectPr w:rsidR="00E842B3" w:rsidRPr="0084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0"/>
  </w:num>
  <w:num w:numId="4">
    <w:abstractNumId w:val="0"/>
  </w:num>
  <w:num w:numId="5">
    <w:abstractNumId w:val="13"/>
  </w:num>
  <w:num w:numId="6">
    <w:abstractNumId w:val="5"/>
  </w:num>
  <w:num w:numId="7">
    <w:abstractNumId w:val="15"/>
  </w:num>
  <w:num w:numId="8">
    <w:abstractNumId w:val="14"/>
  </w:num>
  <w:num w:numId="9">
    <w:abstractNumId w:val="1"/>
  </w:num>
  <w:num w:numId="10">
    <w:abstractNumId w:val="6"/>
  </w:num>
  <w:num w:numId="11">
    <w:abstractNumId w:val="7"/>
  </w:num>
  <w:num w:numId="12">
    <w:abstractNumId w:val="4"/>
  </w:num>
  <w:num w:numId="13">
    <w:abstractNumId w:val="11"/>
  </w:num>
  <w:num w:numId="14">
    <w:abstractNumId w:val="2"/>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76019"/>
    <w:rsid w:val="00190644"/>
    <w:rsid w:val="00202933"/>
    <w:rsid w:val="002D00DF"/>
    <w:rsid w:val="002F1660"/>
    <w:rsid w:val="00323863"/>
    <w:rsid w:val="003337AB"/>
    <w:rsid w:val="005133DE"/>
    <w:rsid w:val="00521306"/>
    <w:rsid w:val="00571D21"/>
    <w:rsid w:val="00577798"/>
    <w:rsid w:val="005921F7"/>
    <w:rsid w:val="005D39C8"/>
    <w:rsid w:val="00754B61"/>
    <w:rsid w:val="00844A96"/>
    <w:rsid w:val="00904CE1"/>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16</Pages>
  <Words>5211</Words>
  <Characters>29705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2025-03-29T21:16:00Z</dcterms:created>
  <dcterms:modified xsi:type="dcterms:W3CDTF">2025-03-30T22:41:00Z</dcterms:modified>
</cp:coreProperties>
</file>