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C6A1" w14:textId="77777777" w:rsidR="002450F3" w:rsidRDefault="002450F3" w:rsidP="002450F3">
      <w:pPr>
        <w:tabs>
          <w:tab w:val="left" w:pos="2560"/>
        </w:tabs>
      </w:pPr>
      <w:r>
        <w:t>1306 Nomura TOPIX Exchange Traded Fund ETF</w:t>
      </w:r>
    </w:p>
    <w:p w14:paraId="34F8F477" w14:textId="77777777" w:rsidR="002450F3" w:rsidRDefault="002450F3" w:rsidP="002450F3">
      <w:pPr>
        <w:tabs>
          <w:tab w:val="left" w:pos="2560"/>
        </w:tabs>
      </w:pPr>
      <w:r>
        <w:t>- AuM: ¥15,902,669.88 M (large cap)</w:t>
      </w:r>
    </w:p>
    <w:p w14:paraId="4DC75B3C" w14:textId="77777777" w:rsidR="002450F3" w:rsidRDefault="002450F3" w:rsidP="002450F3">
      <w:pPr>
        <w:tabs>
          <w:tab w:val="left" w:pos="2560"/>
        </w:tabs>
      </w:pPr>
      <w:r>
        <w:t xml:space="preserve">- Expense ratio: 0.11% </w:t>
      </w:r>
    </w:p>
    <w:p w14:paraId="7403FD1D" w14:textId="77777777" w:rsidR="002450F3" w:rsidRDefault="002450F3" w:rsidP="002450F3">
      <w:pPr>
        <w:tabs>
          <w:tab w:val="left" w:pos="2560"/>
        </w:tabs>
      </w:pPr>
      <w:r>
        <w:t xml:space="preserve">- Tracking Difference: -0.13% </w:t>
      </w:r>
    </w:p>
    <w:p w14:paraId="58122616" w14:textId="77777777" w:rsidR="002450F3" w:rsidRDefault="002450F3" w:rsidP="002450F3">
      <w:pPr>
        <w:tabs>
          <w:tab w:val="left" w:pos="2560"/>
        </w:tabs>
      </w:pPr>
      <w:r>
        <w:t>- Country: Japan</w:t>
      </w:r>
    </w:p>
    <w:p w14:paraId="59B1F4AE" w14:textId="403CD15B" w:rsidR="004D2817" w:rsidRDefault="002450F3" w:rsidP="002450F3">
      <w:pPr>
        <w:tabs>
          <w:tab w:val="left" w:pos="2560"/>
        </w:tabs>
      </w:pPr>
      <w:r>
        <w:t>- Sectors: 21.3% Industrial, 18.1% Consumer Discretionary, 15.3% Information Technology</w:t>
      </w:r>
    </w:p>
    <w:p w14:paraId="78386540" w14:textId="2691363F" w:rsidR="002450F3" w:rsidRDefault="002450F3" w:rsidP="002450F3">
      <w:pPr>
        <w:tabs>
          <w:tab w:val="left" w:pos="2560"/>
        </w:tabs>
      </w:pPr>
    </w:p>
    <w:p w14:paraId="2BDADB3D" w14:textId="3CD7B621" w:rsidR="002450F3" w:rsidRDefault="002450F3" w:rsidP="002450F3">
      <w:pPr>
        <w:tabs>
          <w:tab w:val="left" w:pos="2560"/>
        </w:tabs>
      </w:pPr>
      <w:r>
        <w:t>AGG</w:t>
      </w:r>
    </w:p>
    <w:p w14:paraId="21586966" w14:textId="57D02D5E" w:rsidR="000D2BF4" w:rsidRPr="000D2BF4" w:rsidRDefault="002450F3" w:rsidP="002450F3">
      <w:pPr>
        <w:tabs>
          <w:tab w:val="left" w:pos="2560"/>
        </w:tabs>
      </w:pPr>
      <w:r>
        <w:t xml:space="preserve">-AuM: </w:t>
      </w:r>
      <w:r w:rsidR="000D2BF4" w:rsidRPr="000D2BF4">
        <w:t>$83,681.9 M</w:t>
      </w:r>
    </w:p>
    <w:p w14:paraId="25C9B3DE" w14:textId="59D9CBEE" w:rsidR="00801DF9" w:rsidRPr="002F7B53" w:rsidRDefault="00801DF9" w:rsidP="002450F3">
      <w:pPr>
        <w:tabs>
          <w:tab w:val="left" w:pos="2560"/>
        </w:tabs>
      </w:pPr>
      <w:r w:rsidRPr="002F7B53">
        <w:t>-expense ratio: 0.</w:t>
      </w:r>
      <w:r w:rsidR="000D2BF4" w:rsidRPr="002F7B53">
        <w:t>03</w:t>
      </w:r>
      <w:r w:rsidRPr="002F7B53">
        <w:t>%</w:t>
      </w:r>
    </w:p>
    <w:p w14:paraId="756DDA69" w14:textId="68695BA4" w:rsidR="00801DF9" w:rsidRPr="002F7B53" w:rsidRDefault="00801DF9" w:rsidP="002450F3">
      <w:pPr>
        <w:tabs>
          <w:tab w:val="left" w:pos="2560"/>
        </w:tabs>
      </w:pPr>
      <w:r w:rsidRPr="002F7B53">
        <w:t>- tracking difference</w:t>
      </w:r>
    </w:p>
    <w:p w14:paraId="2CEDA362" w14:textId="38C97434" w:rsidR="000D2BF4" w:rsidRPr="002F7B53" w:rsidRDefault="000D2BF4" w:rsidP="002450F3">
      <w:pPr>
        <w:tabs>
          <w:tab w:val="left" w:pos="2560"/>
        </w:tabs>
      </w:pPr>
      <w:r w:rsidRPr="002F7B53">
        <w:t>-country: US</w:t>
      </w:r>
    </w:p>
    <w:p w14:paraId="237BC5CF" w14:textId="589481E6" w:rsidR="000D2BF4" w:rsidRPr="002F7B53" w:rsidRDefault="000D2BF4" w:rsidP="002450F3">
      <w:pPr>
        <w:tabs>
          <w:tab w:val="left" w:pos="2560"/>
        </w:tabs>
      </w:pPr>
      <w:r w:rsidRPr="002F7B53">
        <w:t xml:space="preserve">- Sector: </w:t>
      </w:r>
      <w:r w:rsidR="00540CEF" w:rsidRPr="002F7B53">
        <w:t>bond and cash(gov:43.18, corporate: 25.88%, securitized: 25.36, others)</w:t>
      </w:r>
    </w:p>
    <w:p w14:paraId="43F2FD66" w14:textId="5BF010EA" w:rsidR="00A95A0E" w:rsidRPr="002F7B53" w:rsidRDefault="00A95A0E" w:rsidP="002450F3">
      <w:pPr>
        <w:tabs>
          <w:tab w:val="left" w:pos="2560"/>
        </w:tabs>
      </w:pPr>
    </w:p>
    <w:p w14:paraId="23C5B933" w14:textId="7E9BF5D8" w:rsidR="00A95A0E" w:rsidRPr="002F7B53" w:rsidRDefault="00A95A0E" w:rsidP="002450F3">
      <w:pPr>
        <w:tabs>
          <w:tab w:val="left" w:pos="2560"/>
        </w:tabs>
      </w:pPr>
      <w:r w:rsidRPr="002F7B53">
        <w:t>SCHP</w:t>
      </w:r>
    </w:p>
    <w:p w14:paraId="40336451" w14:textId="66F9AF2D" w:rsidR="00A95A0E" w:rsidRPr="002F7B53" w:rsidRDefault="002F7B53" w:rsidP="002450F3">
      <w:pPr>
        <w:tabs>
          <w:tab w:val="left" w:pos="2560"/>
        </w:tabs>
      </w:pPr>
      <w:r>
        <w:t>-</w:t>
      </w:r>
      <w:r w:rsidR="00A95A0E" w:rsidRPr="002F7B53">
        <w:t>Aum: $20,050.5 M</w:t>
      </w:r>
    </w:p>
    <w:p w14:paraId="7BD0130B" w14:textId="13C24AE2" w:rsidR="00A95A0E" w:rsidRPr="002F7B53" w:rsidRDefault="002F7B53" w:rsidP="002450F3">
      <w:pPr>
        <w:tabs>
          <w:tab w:val="left" w:pos="2560"/>
        </w:tabs>
      </w:pPr>
      <w:r>
        <w:t>-</w:t>
      </w:r>
      <w:r w:rsidR="00A95A0E" w:rsidRPr="002F7B53">
        <w:t>Expense ratio: 0.05%</w:t>
      </w:r>
    </w:p>
    <w:p w14:paraId="0FF2360F" w14:textId="1FBF8B68" w:rsidR="00A95A0E" w:rsidRPr="002F7B53" w:rsidRDefault="002F7B53" w:rsidP="002450F3">
      <w:pPr>
        <w:tabs>
          <w:tab w:val="left" w:pos="2560"/>
        </w:tabs>
      </w:pPr>
      <w:r>
        <w:t>-</w:t>
      </w:r>
      <w:r w:rsidR="00A95A0E" w:rsidRPr="002F7B53">
        <w:t>Tracking diff</w:t>
      </w:r>
    </w:p>
    <w:p w14:paraId="7E021F58" w14:textId="1253DD51" w:rsidR="00A95A0E" w:rsidRPr="002F7B53" w:rsidRDefault="002F7B53" w:rsidP="002450F3">
      <w:pPr>
        <w:tabs>
          <w:tab w:val="left" w:pos="2560"/>
        </w:tabs>
      </w:pPr>
      <w:r>
        <w:t>-</w:t>
      </w:r>
      <w:r w:rsidR="00A95A0E" w:rsidRPr="002F7B53">
        <w:t>Country: us</w:t>
      </w:r>
    </w:p>
    <w:p w14:paraId="620A368B" w14:textId="365E194F" w:rsidR="00A95A0E" w:rsidRDefault="002F7B53" w:rsidP="002450F3">
      <w:pPr>
        <w:tabs>
          <w:tab w:val="left" w:pos="2560"/>
        </w:tabs>
      </w:pPr>
      <w:r>
        <w:t>-</w:t>
      </w:r>
      <w:r w:rsidR="00A95A0E" w:rsidRPr="002F7B53">
        <w:t xml:space="preserve">Sector: </w:t>
      </w:r>
      <w:r w:rsidR="00540CEF" w:rsidRPr="002F7B53">
        <w:t>Inflation-Protected Bond (100% gov)</w:t>
      </w:r>
    </w:p>
    <w:p w14:paraId="46BD2B33" w14:textId="622F1E7D" w:rsidR="00A95A0E" w:rsidRDefault="00A95A0E" w:rsidP="002450F3">
      <w:pPr>
        <w:tabs>
          <w:tab w:val="left" w:pos="2560"/>
        </w:tabs>
      </w:pPr>
    </w:p>
    <w:p w14:paraId="44B18EE1" w14:textId="48A8C78F" w:rsidR="00A95A0E" w:rsidRDefault="00A95A0E" w:rsidP="002450F3">
      <w:pPr>
        <w:tabs>
          <w:tab w:val="left" w:pos="2560"/>
        </w:tabs>
      </w:pPr>
      <w:r>
        <w:t>VCSH</w:t>
      </w:r>
    </w:p>
    <w:p w14:paraId="0DFC8F92" w14:textId="52FDBDF8" w:rsidR="00A95A0E" w:rsidRPr="002F7B53" w:rsidRDefault="002F7B53" w:rsidP="002450F3">
      <w:pPr>
        <w:tabs>
          <w:tab w:val="left" w:pos="2560"/>
        </w:tabs>
      </w:pPr>
      <w:r>
        <w:t>-</w:t>
      </w:r>
      <w:r w:rsidR="00A95A0E">
        <w:t>Aum:</w:t>
      </w:r>
      <w:r w:rsidR="00A95A0E" w:rsidRPr="002F7B53">
        <w:t xml:space="preserve"> $39,976.8 M</w:t>
      </w:r>
    </w:p>
    <w:p w14:paraId="02B6487E" w14:textId="6C19C144" w:rsidR="00C33D0A" w:rsidRPr="002F7B53" w:rsidRDefault="002F7B53" w:rsidP="002450F3">
      <w:pPr>
        <w:tabs>
          <w:tab w:val="left" w:pos="2560"/>
        </w:tabs>
      </w:pPr>
      <w:r>
        <w:t>-</w:t>
      </w:r>
      <w:r w:rsidR="00C33D0A" w:rsidRPr="002F7B53">
        <w:t>Er: 0.04%</w:t>
      </w:r>
    </w:p>
    <w:p w14:paraId="4F7787F5" w14:textId="331842D1" w:rsidR="00C33D0A" w:rsidRPr="002F7B53" w:rsidRDefault="002F7B53" w:rsidP="002450F3">
      <w:pPr>
        <w:tabs>
          <w:tab w:val="left" w:pos="2560"/>
        </w:tabs>
      </w:pPr>
      <w:r>
        <w:t>-</w:t>
      </w:r>
      <w:r w:rsidR="00C33D0A" w:rsidRPr="002F7B53">
        <w:t>Track</w:t>
      </w:r>
    </w:p>
    <w:p w14:paraId="5AC2A360" w14:textId="44C8222B" w:rsidR="00317C45" w:rsidRPr="002F7B53" w:rsidRDefault="002F7B53" w:rsidP="002450F3">
      <w:pPr>
        <w:tabs>
          <w:tab w:val="left" w:pos="2560"/>
        </w:tabs>
      </w:pPr>
      <w:r>
        <w:t>-</w:t>
      </w:r>
      <w:r w:rsidR="00C33D0A" w:rsidRPr="002F7B53">
        <w:t>Country: global</w:t>
      </w:r>
    </w:p>
    <w:p w14:paraId="0E7DB255" w14:textId="4CD3A815" w:rsidR="00C33D0A" w:rsidRPr="002F7B53" w:rsidRDefault="002F7B53" w:rsidP="00C33D0A">
      <w:pPr>
        <w:shd w:val="clear" w:color="auto" w:fill="FFFFFF"/>
      </w:pPr>
      <w:r>
        <w:t>-</w:t>
      </w:r>
      <w:r w:rsidR="00C33D0A" w:rsidRPr="002F7B53">
        <w:t>Sector: Taxable Bonds</w:t>
      </w:r>
      <w:r w:rsidR="00E43B01" w:rsidRPr="002F7B53">
        <w:t>(corporate: 99.02%, others</w:t>
      </w:r>
    </w:p>
    <w:p w14:paraId="41F630B3" w14:textId="1CB728C8" w:rsidR="00317C45" w:rsidRPr="002F7B53" w:rsidRDefault="00317C45" w:rsidP="00C33D0A">
      <w:pPr>
        <w:shd w:val="clear" w:color="auto" w:fill="FFFFFF"/>
      </w:pPr>
    </w:p>
    <w:p w14:paraId="39A44DC2" w14:textId="3A71338F" w:rsidR="00317C45" w:rsidRPr="002F7B53" w:rsidRDefault="00317C45" w:rsidP="00317C45">
      <w:pPr>
        <w:tabs>
          <w:tab w:val="left" w:pos="2560"/>
        </w:tabs>
      </w:pPr>
      <w:r w:rsidRPr="002F7B53">
        <w:t>Bndx</w:t>
      </w:r>
    </w:p>
    <w:p w14:paraId="0C2549BE" w14:textId="6EE40D03" w:rsidR="00C33D0A" w:rsidRPr="002F7B53" w:rsidRDefault="002F7B53" w:rsidP="002450F3">
      <w:pPr>
        <w:tabs>
          <w:tab w:val="left" w:pos="2560"/>
        </w:tabs>
      </w:pPr>
      <w:r>
        <w:t>-</w:t>
      </w:r>
      <w:r w:rsidR="00317C45" w:rsidRPr="002F7B53">
        <w:t>Aum: $45,425.3 M</w:t>
      </w:r>
    </w:p>
    <w:p w14:paraId="044C3CEA" w14:textId="3DD40EB2" w:rsidR="00317C45" w:rsidRPr="002F7B53" w:rsidRDefault="002F7B53" w:rsidP="002450F3">
      <w:pPr>
        <w:tabs>
          <w:tab w:val="left" w:pos="2560"/>
        </w:tabs>
      </w:pPr>
      <w:r>
        <w:t>-</w:t>
      </w:r>
      <w:r w:rsidR="00317C45" w:rsidRPr="002F7B53">
        <w:t>Er: 0.07%</w:t>
      </w:r>
    </w:p>
    <w:p w14:paraId="497C24D0" w14:textId="0B449E01" w:rsidR="00317C45" w:rsidRPr="002F7B53" w:rsidRDefault="002F7B53" w:rsidP="002450F3">
      <w:pPr>
        <w:tabs>
          <w:tab w:val="left" w:pos="2560"/>
        </w:tabs>
      </w:pPr>
      <w:r>
        <w:lastRenderedPageBreak/>
        <w:t>-</w:t>
      </w:r>
      <w:r w:rsidR="00317C45" w:rsidRPr="002F7B53">
        <w:t>Td</w:t>
      </w:r>
    </w:p>
    <w:p w14:paraId="64FB3858" w14:textId="626E4FF2" w:rsidR="00317C45" w:rsidRDefault="002F7B53" w:rsidP="002450F3">
      <w:pPr>
        <w:tabs>
          <w:tab w:val="left" w:pos="2560"/>
        </w:tabs>
      </w:pPr>
      <w:r>
        <w:t>-</w:t>
      </w:r>
      <w:r w:rsidR="00317C45" w:rsidRPr="002F7B53">
        <w:t>Country:</w:t>
      </w:r>
      <w:r w:rsidR="00C03D4F" w:rsidRPr="002F7B53">
        <w:t xml:space="preserve"> </w:t>
      </w:r>
      <w:hyperlink r:id="rId4" w:history="1">
        <w:r w:rsidR="00C03D4F" w:rsidRPr="002F7B53">
          <w:t>Broad</w:t>
        </w:r>
      </w:hyperlink>
    </w:p>
    <w:p w14:paraId="64F4042F" w14:textId="3CFDF0F9" w:rsidR="00C03D4F" w:rsidRDefault="002F7B53" w:rsidP="002450F3">
      <w:pPr>
        <w:tabs>
          <w:tab w:val="left" w:pos="2560"/>
        </w:tabs>
      </w:pPr>
      <w:r>
        <w:t>-</w:t>
      </w:r>
      <w:r w:rsidR="00C03D4F">
        <w:t xml:space="preserve">Sector: </w:t>
      </w:r>
      <w:r w:rsidR="00DD0621" w:rsidRPr="002F7B53">
        <w:t>World Bond-USD Hedged( gov: 79.83%, corporate: 14.73%, others)</w:t>
      </w:r>
    </w:p>
    <w:p w14:paraId="546B1F04" w14:textId="2C91C641" w:rsidR="00C03D4F" w:rsidRDefault="00C03D4F" w:rsidP="002450F3">
      <w:pPr>
        <w:tabs>
          <w:tab w:val="left" w:pos="2560"/>
        </w:tabs>
      </w:pPr>
    </w:p>
    <w:p w14:paraId="6F6F715E" w14:textId="32A86A58" w:rsidR="00C03D4F" w:rsidRDefault="00C03D4F" w:rsidP="002450F3">
      <w:pPr>
        <w:tabs>
          <w:tab w:val="left" w:pos="2560"/>
        </w:tabs>
      </w:pPr>
      <w:r>
        <w:t>Emb</w:t>
      </w:r>
    </w:p>
    <w:p w14:paraId="51FE46E0" w14:textId="7512562C" w:rsidR="00C03D4F" w:rsidRDefault="002F7B53" w:rsidP="002450F3">
      <w:pPr>
        <w:tabs>
          <w:tab w:val="left" w:pos="2560"/>
        </w:tabs>
      </w:pPr>
      <w:r>
        <w:t>-</w:t>
      </w:r>
      <w:r w:rsidR="00C03D4F">
        <w:t xml:space="preserve">Aum: </w:t>
      </w:r>
      <w:r w:rsidR="000425DC" w:rsidRPr="002F7B53">
        <w:t>$16,270.8 M</w:t>
      </w:r>
    </w:p>
    <w:p w14:paraId="434F9B52" w14:textId="5B80CE65" w:rsidR="00C03D4F" w:rsidRDefault="002F7B53" w:rsidP="002450F3">
      <w:pPr>
        <w:tabs>
          <w:tab w:val="left" w:pos="2560"/>
        </w:tabs>
      </w:pPr>
      <w:r>
        <w:t>-</w:t>
      </w:r>
      <w:r w:rsidR="00C03D4F">
        <w:t>Er: 0.39%</w:t>
      </w:r>
    </w:p>
    <w:p w14:paraId="4FCC1C47" w14:textId="777ACEA2" w:rsidR="00C03D4F" w:rsidRDefault="002F7B53" w:rsidP="002450F3">
      <w:pPr>
        <w:tabs>
          <w:tab w:val="left" w:pos="2560"/>
        </w:tabs>
      </w:pPr>
      <w:r>
        <w:t>-</w:t>
      </w:r>
      <w:r w:rsidR="00C03D4F">
        <w:t xml:space="preserve">Td: </w:t>
      </w:r>
    </w:p>
    <w:p w14:paraId="3EAAF34B" w14:textId="6F92BE3B" w:rsidR="00C03D4F" w:rsidRDefault="002F7B53" w:rsidP="002450F3">
      <w:pPr>
        <w:tabs>
          <w:tab w:val="left" w:pos="2560"/>
        </w:tabs>
      </w:pPr>
      <w:r>
        <w:t>-</w:t>
      </w:r>
      <w:r w:rsidR="00C03D4F">
        <w:t>Country:</w:t>
      </w:r>
      <w:r w:rsidR="000425DC">
        <w:t xml:space="preserve"> emerging market</w:t>
      </w:r>
    </w:p>
    <w:p w14:paraId="1A74103E" w14:textId="6F2FFC52" w:rsidR="00C03D4F" w:rsidRDefault="002F7B53" w:rsidP="002450F3">
      <w:pPr>
        <w:tabs>
          <w:tab w:val="left" w:pos="2560"/>
        </w:tabs>
      </w:pPr>
      <w:r>
        <w:t>-</w:t>
      </w:r>
      <w:r w:rsidR="00C03D4F">
        <w:t>Sector:</w:t>
      </w:r>
      <w:r w:rsidR="000425DC">
        <w:t xml:space="preserve"> bond and cash( gov: 90.45%,corporate: 8.35%, cash and equi</w:t>
      </w:r>
      <w:r w:rsidR="00540CEF">
        <w:t>valent: 1.20%)</w:t>
      </w:r>
    </w:p>
    <w:p w14:paraId="4BB72FAC" w14:textId="4DACB9B1" w:rsidR="00DD0621" w:rsidRDefault="00DD0621" w:rsidP="002450F3">
      <w:pPr>
        <w:tabs>
          <w:tab w:val="left" w:pos="2560"/>
        </w:tabs>
      </w:pPr>
    </w:p>
    <w:p w14:paraId="765C9DD4" w14:textId="1E59DFB7" w:rsidR="00DD0621" w:rsidRDefault="00C675D9" w:rsidP="002450F3">
      <w:pPr>
        <w:tabs>
          <w:tab w:val="left" w:pos="2560"/>
        </w:tabs>
      </w:pPr>
      <w:r>
        <w:t>Voo</w:t>
      </w:r>
    </w:p>
    <w:p w14:paraId="0F2A47FE" w14:textId="6B98D05F" w:rsidR="00C675D9" w:rsidRPr="002F7B53" w:rsidRDefault="002F7B53" w:rsidP="002450F3">
      <w:pPr>
        <w:tabs>
          <w:tab w:val="left" w:pos="2560"/>
        </w:tabs>
      </w:pPr>
      <w:r>
        <w:t>-</w:t>
      </w:r>
      <w:r w:rsidR="00C675D9">
        <w:t xml:space="preserve">Aum: </w:t>
      </w:r>
      <w:r w:rsidR="003939AD" w:rsidRPr="002F7B53">
        <w:t>$259.29B</w:t>
      </w:r>
    </w:p>
    <w:p w14:paraId="2A7C0D7A" w14:textId="607EBEED" w:rsidR="003939AD" w:rsidRPr="002F7B53" w:rsidRDefault="002F7B53" w:rsidP="002450F3">
      <w:pPr>
        <w:tabs>
          <w:tab w:val="left" w:pos="2560"/>
        </w:tabs>
      </w:pPr>
      <w:r>
        <w:t>-</w:t>
      </w:r>
      <w:r w:rsidR="003939AD" w:rsidRPr="002F7B53">
        <w:t>Er: 0.03%</w:t>
      </w:r>
    </w:p>
    <w:p w14:paraId="2DC6D10C" w14:textId="796F7205" w:rsidR="003939AD" w:rsidRPr="002F7B53" w:rsidRDefault="002F7B53" w:rsidP="002450F3">
      <w:pPr>
        <w:tabs>
          <w:tab w:val="left" w:pos="2560"/>
        </w:tabs>
      </w:pPr>
      <w:r>
        <w:t>-</w:t>
      </w:r>
      <w:r w:rsidR="003939AD" w:rsidRPr="002F7B53">
        <w:t>Td:</w:t>
      </w:r>
    </w:p>
    <w:p w14:paraId="68149370" w14:textId="4376278C" w:rsidR="003939AD" w:rsidRPr="002F7B53" w:rsidRDefault="002F7B53" w:rsidP="002450F3">
      <w:pPr>
        <w:tabs>
          <w:tab w:val="left" w:pos="2560"/>
        </w:tabs>
      </w:pPr>
      <w:r>
        <w:t>-</w:t>
      </w:r>
      <w:r w:rsidR="003939AD" w:rsidRPr="002F7B53">
        <w:t xml:space="preserve">Country: </w:t>
      </w:r>
      <w:r w:rsidR="00127E0A" w:rsidRPr="002F7B53">
        <w:t>North America</w:t>
      </w:r>
    </w:p>
    <w:p w14:paraId="39C225E3" w14:textId="26D7F7E8" w:rsidR="00127E0A" w:rsidRPr="002F7B53" w:rsidRDefault="002F7B53" w:rsidP="002450F3">
      <w:pPr>
        <w:tabs>
          <w:tab w:val="left" w:pos="2560"/>
        </w:tabs>
      </w:pPr>
      <w:r>
        <w:t>-</w:t>
      </w:r>
      <w:r w:rsidR="002D5074" w:rsidRPr="002F7B53">
        <w:t>Sector: Technology 25.52%, financials 13.55%, health care 13.55%, con</w:t>
      </w:r>
      <w:r w:rsidR="00127E0A" w:rsidRPr="002F7B53">
        <w:t>sumer cyclical 11.63%, communication 9.59%, others</w:t>
      </w:r>
    </w:p>
    <w:p w14:paraId="46911CF9" w14:textId="48114BF5" w:rsidR="00127E0A" w:rsidRPr="002F7B53" w:rsidRDefault="00127E0A" w:rsidP="002450F3">
      <w:pPr>
        <w:tabs>
          <w:tab w:val="left" w:pos="2560"/>
        </w:tabs>
      </w:pPr>
    </w:p>
    <w:p w14:paraId="5A9BC520" w14:textId="6D003DD2" w:rsidR="00127E0A" w:rsidRPr="002F7B53" w:rsidRDefault="00127E0A" w:rsidP="002450F3">
      <w:pPr>
        <w:tabs>
          <w:tab w:val="left" w:pos="2560"/>
        </w:tabs>
      </w:pPr>
      <w:r w:rsidRPr="002F7B53">
        <w:t>VO</w:t>
      </w:r>
    </w:p>
    <w:p w14:paraId="3D509847" w14:textId="464E5526" w:rsidR="00127E0A" w:rsidRPr="002F7B53" w:rsidRDefault="002F7B53" w:rsidP="002450F3">
      <w:pPr>
        <w:tabs>
          <w:tab w:val="left" w:pos="2560"/>
        </w:tabs>
      </w:pPr>
      <w:r>
        <w:t>-</w:t>
      </w:r>
      <w:r w:rsidR="00127E0A" w:rsidRPr="002F7B53">
        <w:t>Aum: $52.82B</w:t>
      </w:r>
    </w:p>
    <w:p w14:paraId="0EE676D3" w14:textId="462572CA" w:rsidR="00127E0A" w:rsidRPr="002F7B53" w:rsidRDefault="002F7B53" w:rsidP="002450F3">
      <w:pPr>
        <w:tabs>
          <w:tab w:val="left" w:pos="2560"/>
        </w:tabs>
      </w:pPr>
      <w:r>
        <w:t>-</w:t>
      </w:r>
      <w:r w:rsidR="00127E0A" w:rsidRPr="002F7B53">
        <w:t>Er: 0.04%</w:t>
      </w:r>
    </w:p>
    <w:p w14:paraId="66640D1C" w14:textId="25B17D03" w:rsidR="00127E0A" w:rsidRPr="002F7B53" w:rsidRDefault="002F7B53" w:rsidP="002450F3">
      <w:pPr>
        <w:tabs>
          <w:tab w:val="left" w:pos="2560"/>
        </w:tabs>
      </w:pPr>
      <w:r>
        <w:t>-</w:t>
      </w:r>
      <w:r w:rsidR="00127E0A" w:rsidRPr="002F7B53">
        <w:t>Td</w:t>
      </w:r>
    </w:p>
    <w:p w14:paraId="41F98D2D" w14:textId="25159676" w:rsidR="00127E0A" w:rsidRPr="002F7B53" w:rsidRDefault="002F7B53" w:rsidP="002450F3">
      <w:pPr>
        <w:tabs>
          <w:tab w:val="left" w:pos="2560"/>
        </w:tabs>
      </w:pPr>
      <w:r>
        <w:t>-</w:t>
      </w:r>
      <w:r w:rsidR="00127E0A" w:rsidRPr="002F7B53">
        <w:t>Country : North America</w:t>
      </w:r>
    </w:p>
    <w:p w14:paraId="7F793F97" w14:textId="7A3434B3" w:rsidR="00320468" w:rsidRPr="002F7B53" w:rsidRDefault="002F7B53" w:rsidP="002F7B53">
      <w:pPr>
        <w:shd w:val="clear" w:color="auto" w:fill="FFFFFF"/>
      </w:pPr>
      <w:r>
        <w:t>-</w:t>
      </w:r>
      <w:r w:rsidR="00320468" w:rsidRPr="002F7B53">
        <w:t>Sector: Technology20.81%</w:t>
      </w:r>
      <w:r>
        <w:t xml:space="preserve">, </w:t>
      </w:r>
      <w:r w:rsidR="00320468" w:rsidRPr="002F7B53">
        <w:t>Health Care12.14%</w:t>
      </w:r>
      <w:r>
        <w:t xml:space="preserve">, </w:t>
      </w:r>
      <w:r w:rsidR="00320468" w:rsidRPr="002F7B53">
        <w:t>Financials11.88%</w:t>
      </w:r>
      <w:r>
        <w:t>, i</w:t>
      </w:r>
      <w:r w:rsidR="00320468" w:rsidRPr="002F7B53">
        <w:t>ndustrials11.00%</w:t>
      </w:r>
      <w:r>
        <w:t xml:space="preserve">, </w:t>
      </w:r>
      <w:r w:rsidR="00320468" w:rsidRPr="002F7B53">
        <w:t>Consumer Cyclical10.96%</w:t>
      </w:r>
      <w:r>
        <w:t xml:space="preserve">, </w:t>
      </w:r>
      <w:r w:rsidR="00320468" w:rsidRPr="002F7B53">
        <w:t>Real Estate9.23%</w:t>
      </w:r>
    </w:p>
    <w:p w14:paraId="05497F3C" w14:textId="6FA2CEBA" w:rsidR="00320468" w:rsidRPr="002F7B53" w:rsidRDefault="00320468" w:rsidP="00320468">
      <w:pPr>
        <w:shd w:val="clear" w:color="auto" w:fill="FFFFFF"/>
        <w:spacing w:after="0" w:line="240" w:lineRule="auto"/>
      </w:pPr>
    </w:p>
    <w:p w14:paraId="53E19CAC" w14:textId="420BC747" w:rsidR="00320468" w:rsidRPr="002F7B53" w:rsidRDefault="00320468" w:rsidP="00320468">
      <w:pPr>
        <w:shd w:val="clear" w:color="auto" w:fill="FFFFFF"/>
        <w:spacing w:after="0" w:line="240" w:lineRule="auto"/>
      </w:pPr>
      <w:r w:rsidRPr="002F7B53">
        <w:t>Vss</w:t>
      </w:r>
    </w:p>
    <w:p w14:paraId="5B9117A6" w14:textId="2A011276" w:rsidR="00320468" w:rsidRPr="002F7B53" w:rsidRDefault="002F7B53" w:rsidP="00320468">
      <w:pPr>
        <w:shd w:val="clear" w:color="auto" w:fill="FFFFFF"/>
        <w:spacing w:after="0" w:line="240" w:lineRule="auto"/>
      </w:pPr>
      <w:r>
        <w:t>-</w:t>
      </w:r>
      <w:r w:rsidR="00320468" w:rsidRPr="002F7B53">
        <w:t>Aum: $9.05B(small cap)</w:t>
      </w:r>
    </w:p>
    <w:p w14:paraId="3BECF412" w14:textId="062E0F57" w:rsidR="00320468" w:rsidRPr="002F7B53" w:rsidRDefault="002F7B53" w:rsidP="00320468">
      <w:pPr>
        <w:shd w:val="clear" w:color="auto" w:fill="FFFFFF"/>
        <w:spacing w:after="0" w:line="240" w:lineRule="auto"/>
      </w:pPr>
      <w:r>
        <w:t>-</w:t>
      </w:r>
      <w:r w:rsidR="00320468" w:rsidRPr="002F7B53">
        <w:t>Er: 0.07%</w:t>
      </w:r>
    </w:p>
    <w:p w14:paraId="1878A092" w14:textId="77777777" w:rsidR="002F7B53" w:rsidRDefault="002F7B53" w:rsidP="002F7B53">
      <w:pPr>
        <w:tabs>
          <w:tab w:val="left" w:pos="2560"/>
        </w:tabs>
      </w:pPr>
      <w:r>
        <w:t>-</w:t>
      </w:r>
      <w:r w:rsidR="00320468" w:rsidRPr="002F7B53">
        <w:t>Country: global-ex-us</w:t>
      </w:r>
    </w:p>
    <w:p w14:paraId="78667BED" w14:textId="3BBC3D3C" w:rsidR="00320468" w:rsidRPr="002F7B53" w:rsidRDefault="002F7B53" w:rsidP="002F7B53">
      <w:pPr>
        <w:tabs>
          <w:tab w:val="left" w:pos="2560"/>
        </w:tabs>
      </w:pPr>
      <w:r>
        <w:t>-</w:t>
      </w:r>
      <w:r w:rsidR="00320468" w:rsidRPr="002F7B53">
        <w:t>Sector: Industrials17.77%</w:t>
      </w:r>
      <w:r>
        <w:t xml:space="preserve">, </w:t>
      </w:r>
      <w:r w:rsidR="00320468" w:rsidRPr="002F7B53">
        <w:t>Technology13.76%</w:t>
      </w:r>
      <w:r>
        <w:t xml:space="preserve">, </w:t>
      </w:r>
      <w:r w:rsidR="00320468" w:rsidRPr="002F7B53">
        <w:t>Basic Material11.63%</w:t>
      </w:r>
      <w:r>
        <w:t xml:space="preserve">, </w:t>
      </w:r>
      <w:r w:rsidR="00320468" w:rsidRPr="002F7B53">
        <w:t>Consumer Cyclical11.39%</w:t>
      </w:r>
      <w:r>
        <w:t xml:space="preserve">, </w:t>
      </w:r>
      <w:r w:rsidR="00320468" w:rsidRPr="002F7B53">
        <w:t>Financials10.12%</w:t>
      </w:r>
      <w:r>
        <w:t xml:space="preserve">, </w:t>
      </w:r>
      <w:r w:rsidR="00320468" w:rsidRPr="002F7B53">
        <w:t>Real Estate9.98%</w:t>
      </w:r>
      <w:r>
        <w:t xml:space="preserve">,.. </w:t>
      </w:r>
      <w:r w:rsidR="00320468" w:rsidRPr="002F7B53">
        <w:t>Health Care5.83%</w:t>
      </w:r>
      <w:r>
        <w:t xml:space="preserve">, </w:t>
      </w:r>
      <w:r w:rsidR="00320468" w:rsidRPr="002F7B53">
        <w:t>Consumer Defensive4.18%</w:t>
      </w:r>
      <w:r>
        <w:t xml:space="preserve">, </w:t>
      </w:r>
      <w:r w:rsidR="00320468" w:rsidRPr="002F7B53">
        <w:t>Energy3.61%</w:t>
      </w:r>
      <w:r>
        <w:t xml:space="preserve">, </w:t>
      </w:r>
      <w:r w:rsidR="00320468" w:rsidRPr="002F7B53">
        <w:t>Utilities3.55%</w:t>
      </w:r>
      <w:r>
        <w:t xml:space="preserve">, </w:t>
      </w:r>
      <w:r w:rsidR="00320468" w:rsidRPr="002F7B53">
        <w:t>Communication3.09%</w:t>
      </w:r>
    </w:p>
    <w:p w14:paraId="04A2F7AE" w14:textId="0009B5A5" w:rsidR="00320468" w:rsidRPr="002F7B53" w:rsidRDefault="00320468" w:rsidP="002450F3">
      <w:pPr>
        <w:tabs>
          <w:tab w:val="left" w:pos="2560"/>
        </w:tabs>
      </w:pPr>
    </w:p>
    <w:p w14:paraId="0F8A2581" w14:textId="4221F5BC" w:rsidR="00320468" w:rsidRPr="002F7B53" w:rsidRDefault="00E6608C" w:rsidP="002450F3">
      <w:pPr>
        <w:tabs>
          <w:tab w:val="left" w:pos="2560"/>
        </w:tabs>
      </w:pPr>
      <w:r w:rsidRPr="002F7B53">
        <w:t>Vgk</w:t>
      </w:r>
    </w:p>
    <w:p w14:paraId="77FCE549" w14:textId="13B9348B" w:rsidR="00E6608C" w:rsidRPr="002F7B53" w:rsidRDefault="002F7B53" w:rsidP="002450F3">
      <w:pPr>
        <w:tabs>
          <w:tab w:val="left" w:pos="2560"/>
        </w:tabs>
      </w:pPr>
      <w:r>
        <w:t>-</w:t>
      </w:r>
      <w:r w:rsidR="00E6608C" w:rsidRPr="002F7B53">
        <w:t>Aum: $19.32B</w:t>
      </w:r>
    </w:p>
    <w:p w14:paraId="41A13341" w14:textId="06A12880" w:rsidR="00E6608C" w:rsidRPr="002F7B53" w:rsidRDefault="002F7B53" w:rsidP="002450F3">
      <w:pPr>
        <w:tabs>
          <w:tab w:val="left" w:pos="2560"/>
        </w:tabs>
      </w:pPr>
      <w:r>
        <w:t>-</w:t>
      </w:r>
      <w:r w:rsidR="00E6608C" w:rsidRPr="002F7B53">
        <w:t>Er: 0.08%</w:t>
      </w:r>
    </w:p>
    <w:p w14:paraId="40B86B31" w14:textId="6F9B7463" w:rsidR="00E6608C" w:rsidRPr="002F7B53" w:rsidRDefault="002F7B53" w:rsidP="002450F3">
      <w:pPr>
        <w:tabs>
          <w:tab w:val="left" w:pos="2560"/>
        </w:tabs>
      </w:pPr>
      <w:r>
        <w:t>-</w:t>
      </w:r>
      <w:r w:rsidR="00E6608C" w:rsidRPr="002F7B53">
        <w:t>Country: Europe</w:t>
      </w:r>
    </w:p>
    <w:p w14:paraId="3A4749F3" w14:textId="39CCFB84" w:rsidR="00E6608C" w:rsidRPr="002F7B53" w:rsidRDefault="002F7B53" w:rsidP="002450F3">
      <w:pPr>
        <w:tabs>
          <w:tab w:val="left" w:pos="2560"/>
        </w:tabs>
      </w:pPr>
      <w:r>
        <w:t>-</w:t>
      </w:r>
      <w:r w:rsidR="00E6608C" w:rsidRPr="002F7B53">
        <w:t xml:space="preserve">Sector: </w:t>
      </w:r>
    </w:p>
    <w:p w14:paraId="2493FCE4" w14:textId="74C1ECEC" w:rsidR="00E6608C" w:rsidRPr="002F7B53" w:rsidRDefault="00E6608C" w:rsidP="002F7B53">
      <w:pPr>
        <w:shd w:val="clear" w:color="auto" w:fill="FFFFFF"/>
        <w:spacing w:after="0" w:line="240" w:lineRule="auto"/>
      </w:pPr>
      <w:r w:rsidRPr="002F7B53">
        <w:t>Financials</w:t>
      </w:r>
      <w:r w:rsidR="004F2836">
        <w:t xml:space="preserve"> </w:t>
      </w:r>
      <w:r w:rsidRPr="002F7B53">
        <w:t>16.01%</w:t>
      </w:r>
      <w:r w:rsidR="004F2836">
        <w:t xml:space="preserve">, </w:t>
      </w:r>
      <w:r w:rsidRPr="002F7B53">
        <w:t>Industrials</w:t>
      </w:r>
      <w:r w:rsidR="004F2836">
        <w:t xml:space="preserve"> </w:t>
      </w:r>
      <w:r w:rsidRPr="002F7B53">
        <w:t>15.10%</w:t>
      </w:r>
      <w:r w:rsidR="004F2836">
        <w:t xml:space="preserve">,  </w:t>
      </w:r>
      <w:r w:rsidRPr="002F7B53">
        <w:t>Health Care14.07%</w:t>
      </w:r>
      <w:r w:rsidR="004F2836">
        <w:t xml:space="preserve">, </w:t>
      </w:r>
      <w:r w:rsidRPr="002F7B53">
        <w:t>Consumer Defensive</w:t>
      </w:r>
      <w:r w:rsidR="004F2836">
        <w:t xml:space="preserve"> </w:t>
      </w:r>
      <w:r w:rsidRPr="002F7B53">
        <w:t>11.30%</w:t>
      </w:r>
      <w:r w:rsidR="004F2836">
        <w:t xml:space="preserve">, </w:t>
      </w:r>
      <w:r w:rsidRPr="002F7B53">
        <w:t>Consumer Cyclical</w:t>
      </w:r>
      <w:r w:rsidR="004F2836">
        <w:t xml:space="preserve"> </w:t>
      </w:r>
      <w:r w:rsidRPr="002F7B53">
        <w:t>10.36%</w:t>
      </w:r>
      <w:r w:rsidR="004F2836">
        <w:t xml:space="preserve">, </w:t>
      </w:r>
      <w:r w:rsidRPr="002F7B53">
        <w:t>Technology</w:t>
      </w:r>
      <w:r w:rsidR="004F2836">
        <w:t xml:space="preserve"> </w:t>
      </w:r>
      <w:r w:rsidRPr="002F7B53">
        <w:t>7.42%</w:t>
      </w:r>
      <w:r w:rsidR="004F2836">
        <w:t xml:space="preserve">, </w:t>
      </w:r>
      <w:r w:rsidRPr="002F7B53">
        <w:t>Basic Material</w:t>
      </w:r>
      <w:r w:rsidR="004F2836">
        <w:t xml:space="preserve"> </w:t>
      </w:r>
      <w:r w:rsidRPr="002F7B53">
        <w:t>7.26%</w:t>
      </w:r>
      <w:r w:rsidR="002F7B53">
        <w:t xml:space="preserve">, </w:t>
      </w:r>
      <w:r w:rsidRPr="002F7B53">
        <w:t>Energy</w:t>
      </w:r>
      <w:r w:rsidR="004F2836">
        <w:t xml:space="preserve"> </w:t>
      </w:r>
      <w:r w:rsidRPr="002F7B53">
        <w:t>5.08%</w:t>
      </w:r>
      <w:r w:rsidR="002F7B53">
        <w:t xml:space="preserve">, </w:t>
      </w:r>
      <w:r w:rsidRPr="002F7B53">
        <w:t>Communication</w:t>
      </w:r>
      <w:r w:rsidR="004F2836">
        <w:t xml:space="preserve"> </w:t>
      </w:r>
      <w:r w:rsidRPr="002F7B53">
        <w:t>4.85%</w:t>
      </w:r>
      <w:r w:rsidR="002F7B53">
        <w:t xml:space="preserve">, </w:t>
      </w:r>
      <w:r w:rsidRPr="002F7B53">
        <w:t>Utilities</w:t>
      </w:r>
      <w:r w:rsidR="004F2836">
        <w:t xml:space="preserve">  </w:t>
      </w:r>
      <w:r w:rsidRPr="002F7B53">
        <w:t>3.99%</w:t>
      </w:r>
      <w:r w:rsidR="002F7B53">
        <w:t xml:space="preserve">, </w:t>
      </w:r>
      <w:r w:rsidRPr="002F7B53">
        <w:t>Real Estate2.38%</w:t>
      </w:r>
    </w:p>
    <w:p w14:paraId="138DAF44" w14:textId="77777777" w:rsidR="004F2836" w:rsidRDefault="004F2836" w:rsidP="002450F3">
      <w:pPr>
        <w:tabs>
          <w:tab w:val="left" w:pos="2560"/>
        </w:tabs>
      </w:pPr>
    </w:p>
    <w:p w14:paraId="0997681B" w14:textId="6E12D909" w:rsidR="00E6608C" w:rsidRPr="002F7B53" w:rsidRDefault="00E6608C" w:rsidP="002450F3">
      <w:pPr>
        <w:tabs>
          <w:tab w:val="left" w:pos="2560"/>
        </w:tabs>
      </w:pPr>
      <w:r w:rsidRPr="002F7B53">
        <w:t>Vwo</w:t>
      </w:r>
    </w:p>
    <w:p w14:paraId="7F6AEE55" w14:textId="641D136C" w:rsidR="00E6608C" w:rsidRPr="002F7B53" w:rsidRDefault="004F2836" w:rsidP="002450F3">
      <w:pPr>
        <w:tabs>
          <w:tab w:val="left" w:pos="2560"/>
        </w:tabs>
      </w:pPr>
      <w:r>
        <w:t>-</w:t>
      </w:r>
      <w:r w:rsidR="00E6608C" w:rsidRPr="002F7B53">
        <w:t>Aum: $72.33B</w:t>
      </w:r>
    </w:p>
    <w:p w14:paraId="2B07E51A" w14:textId="040ECC18" w:rsidR="00E6608C" w:rsidRPr="002F7B53" w:rsidRDefault="004F2836" w:rsidP="002450F3">
      <w:pPr>
        <w:tabs>
          <w:tab w:val="left" w:pos="2560"/>
        </w:tabs>
      </w:pPr>
      <w:r>
        <w:t>-</w:t>
      </w:r>
      <w:r w:rsidR="00E6608C" w:rsidRPr="002F7B53">
        <w:t>Er: 0.08%</w:t>
      </w:r>
    </w:p>
    <w:p w14:paraId="12333C2E" w14:textId="46B8668C" w:rsidR="00E6608C" w:rsidRPr="002F7B53" w:rsidRDefault="004F2836" w:rsidP="002450F3">
      <w:pPr>
        <w:tabs>
          <w:tab w:val="left" w:pos="2560"/>
        </w:tabs>
      </w:pPr>
      <w:r>
        <w:t>-</w:t>
      </w:r>
      <w:r w:rsidR="00E6608C" w:rsidRPr="002F7B53">
        <w:t>Country: Emerging-Broad</w:t>
      </w:r>
    </w:p>
    <w:p w14:paraId="4C3AFB66" w14:textId="77777777" w:rsidR="004F2836" w:rsidRDefault="004F2836" w:rsidP="004F2836">
      <w:pPr>
        <w:tabs>
          <w:tab w:val="left" w:pos="2560"/>
        </w:tabs>
      </w:pPr>
      <w:r>
        <w:t>-</w:t>
      </w:r>
      <w:r w:rsidR="00CA1B89" w:rsidRPr="002F7B53">
        <w:t>Sector:</w:t>
      </w:r>
    </w:p>
    <w:p w14:paraId="4850180B" w14:textId="39D5701E" w:rsidR="00CA1B89" w:rsidRPr="002F7B53" w:rsidRDefault="00CA1B89" w:rsidP="004F2836">
      <w:pPr>
        <w:tabs>
          <w:tab w:val="left" w:pos="2560"/>
        </w:tabs>
      </w:pPr>
      <w:r w:rsidRPr="002F7B53">
        <w:t>Financials</w:t>
      </w:r>
      <w:r w:rsidR="004F2836">
        <w:t xml:space="preserve"> </w:t>
      </w:r>
      <w:r w:rsidRPr="002F7B53">
        <w:t>20.19%</w:t>
      </w:r>
    </w:p>
    <w:p w14:paraId="64E075B1" w14:textId="0B090A1A" w:rsidR="00CA1B89" w:rsidRPr="002F7B53" w:rsidRDefault="00CA1B89" w:rsidP="004F2836">
      <w:pPr>
        <w:shd w:val="clear" w:color="auto" w:fill="FFFFFF"/>
        <w:spacing w:after="0" w:line="240" w:lineRule="auto"/>
      </w:pPr>
      <w:r w:rsidRPr="002F7B53">
        <w:t>Technology</w:t>
      </w:r>
      <w:r w:rsidR="004F2836">
        <w:t xml:space="preserve"> </w:t>
      </w:r>
      <w:r w:rsidRPr="002F7B53">
        <w:t>17.78%</w:t>
      </w:r>
    </w:p>
    <w:p w14:paraId="081A1E49" w14:textId="33DD7A6C" w:rsidR="00CA1B89" w:rsidRPr="002F7B53" w:rsidRDefault="00CA1B89" w:rsidP="004F2836">
      <w:pPr>
        <w:shd w:val="clear" w:color="auto" w:fill="FFFFFF"/>
        <w:spacing w:after="0" w:line="240" w:lineRule="auto"/>
      </w:pPr>
      <w:r w:rsidRPr="002F7B53">
        <w:t>Consumer Cyclical</w:t>
      </w:r>
      <w:r w:rsidR="004F2836">
        <w:t xml:space="preserve"> </w:t>
      </w:r>
      <w:r w:rsidRPr="002F7B53">
        <w:t>12.18%</w:t>
      </w:r>
    </w:p>
    <w:p w14:paraId="7C88C2F6" w14:textId="06FCAD2A" w:rsidR="00CA1B89" w:rsidRPr="002F7B53" w:rsidRDefault="00CA1B89" w:rsidP="004F2836">
      <w:pPr>
        <w:shd w:val="clear" w:color="auto" w:fill="FFFFFF"/>
        <w:spacing w:after="0" w:line="240" w:lineRule="auto"/>
      </w:pPr>
      <w:r w:rsidRPr="002F7B53">
        <w:t>Basic Material</w:t>
      </w:r>
      <w:r w:rsidR="004F2836">
        <w:t xml:space="preserve"> </w:t>
      </w:r>
      <w:r w:rsidRPr="002F7B53">
        <w:t>9.84%</w:t>
      </w:r>
    </w:p>
    <w:p w14:paraId="5C32F59E" w14:textId="5C02EE6F" w:rsidR="00CA1B89" w:rsidRPr="002F7B53" w:rsidRDefault="00CA1B89" w:rsidP="004F2836">
      <w:pPr>
        <w:shd w:val="clear" w:color="auto" w:fill="FFFFFF"/>
        <w:spacing w:after="0" w:line="240" w:lineRule="auto"/>
      </w:pPr>
      <w:r w:rsidRPr="002F7B53">
        <w:t>Communication</w:t>
      </w:r>
      <w:r w:rsidR="004F2836">
        <w:t xml:space="preserve"> </w:t>
      </w:r>
      <w:r w:rsidRPr="002F7B53">
        <w:t>9.79%</w:t>
      </w:r>
    </w:p>
    <w:p w14:paraId="32C0ECE4" w14:textId="53EB509D" w:rsidR="00CA1B89" w:rsidRPr="002F7B53" w:rsidRDefault="00CA1B89" w:rsidP="004F2836">
      <w:pPr>
        <w:shd w:val="clear" w:color="auto" w:fill="FFFFFF"/>
        <w:spacing w:after="0" w:line="240" w:lineRule="auto"/>
      </w:pPr>
      <w:r w:rsidRPr="002F7B53">
        <w:t>Industrials</w:t>
      </w:r>
      <w:r w:rsidR="004F2836">
        <w:t xml:space="preserve"> </w:t>
      </w:r>
      <w:r w:rsidRPr="002F7B53">
        <w:t>6.57%</w:t>
      </w:r>
    </w:p>
    <w:p w14:paraId="510C975A" w14:textId="2ABF1B53" w:rsidR="00CA1B89" w:rsidRPr="002F7B53" w:rsidRDefault="00CA1B89" w:rsidP="004F2836">
      <w:pPr>
        <w:shd w:val="clear" w:color="auto" w:fill="FFFFFF"/>
        <w:spacing w:after="0" w:line="240" w:lineRule="auto"/>
      </w:pPr>
      <w:r w:rsidRPr="002F7B53">
        <w:t>Consumer Defensive</w:t>
      </w:r>
      <w:r w:rsidR="004F2836">
        <w:t xml:space="preserve"> </w:t>
      </w:r>
      <w:r w:rsidRPr="002F7B53">
        <w:t>5.61%</w:t>
      </w:r>
    </w:p>
    <w:p w14:paraId="77521E38" w14:textId="7F6A62FF" w:rsidR="00CA1B89" w:rsidRPr="002F7B53" w:rsidRDefault="00CA1B89" w:rsidP="004F2836">
      <w:pPr>
        <w:shd w:val="clear" w:color="auto" w:fill="FFFFFF"/>
        <w:spacing w:after="0" w:line="240" w:lineRule="auto"/>
      </w:pPr>
      <w:r w:rsidRPr="002F7B53">
        <w:t>Energy</w:t>
      </w:r>
      <w:r w:rsidR="004F2836">
        <w:t xml:space="preserve"> </w:t>
      </w:r>
      <w:r w:rsidRPr="002F7B53">
        <w:t>5.14%</w:t>
      </w:r>
    </w:p>
    <w:p w14:paraId="4DF78A48" w14:textId="46D845FB" w:rsidR="00CA1B89" w:rsidRPr="002F7B53" w:rsidRDefault="00CA1B89" w:rsidP="004F2836">
      <w:pPr>
        <w:shd w:val="clear" w:color="auto" w:fill="FFFFFF"/>
        <w:spacing w:after="0" w:line="240" w:lineRule="auto"/>
      </w:pPr>
      <w:r w:rsidRPr="002F7B53">
        <w:t>Health Care</w:t>
      </w:r>
      <w:r w:rsidR="004F2836">
        <w:t xml:space="preserve"> </w:t>
      </w:r>
      <w:r w:rsidRPr="002F7B53">
        <w:t>4.26%</w:t>
      </w:r>
    </w:p>
    <w:p w14:paraId="64216ED5" w14:textId="410571C1" w:rsidR="00CA1B89" w:rsidRPr="002F7B53" w:rsidRDefault="00CA1B89" w:rsidP="004F2836">
      <w:pPr>
        <w:shd w:val="clear" w:color="auto" w:fill="FFFFFF"/>
        <w:spacing w:after="0" w:line="240" w:lineRule="auto"/>
      </w:pPr>
      <w:r w:rsidRPr="002F7B53">
        <w:t>Utilities</w:t>
      </w:r>
      <w:r w:rsidR="004F2836">
        <w:t xml:space="preserve"> </w:t>
      </w:r>
      <w:r w:rsidRPr="002F7B53">
        <w:t>3.07%</w:t>
      </w:r>
    </w:p>
    <w:p w14:paraId="7FB2B200" w14:textId="59961790" w:rsidR="00CA1B89" w:rsidRPr="002F7B53" w:rsidRDefault="00CA1B89" w:rsidP="004F2836">
      <w:pPr>
        <w:shd w:val="clear" w:color="auto" w:fill="FFFFFF"/>
        <w:spacing w:after="0" w:line="240" w:lineRule="auto"/>
      </w:pPr>
      <w:r w:rsidRPr="002F7B53">
        <w:t>Real Estate</w:t>
      </w:r>
      <w:r w:rsidR="004F2836">
        <w:t xml:space="preserve"> </w:t>
      </w:r>
      <w:r w:rsidRPr="002F7B53">
        <w:t>2.94%</w:t>
      </w:r>
    </w:p>
    <w:p w14:paraId="7AC0219C" w14:textId="07354D5F" w:rsidR="00CA1B89" w:rsidRPr="002F7B53" w:rsidRDefault="00CA1B89" w:rsidP="002450F3">
      <w:pPr>
        <w:tabs>
          <w:tab w:val="left" w:pos="2560"/>
        </w:tabs>
      </w:pPr>
    </w:p>
    <w:p w14:paraId="22E5E64B" w14:textId="1EFE0C01" w:rsidR="00920029" w:rsidRPr="002F7B53" w:rsidRDefault="00920029" w:rsidP="002450F3">
      <w:pPr>
        <w:tabs>
          <w:tab w:val="left" w:pos="2560"/>
        </w:tabs>
      </w:pPr>
      <w:r w:rsidRPr="002F7B53">
        <w:t>Vnq</w:t>
      </w:r>
    </w:p>
    <w:p w14:paraId="6DE30A98" w14:textId="0DCB635B" w:rsidR="00920029" w:rsidRPr="002F7B53" w:rsidRDefault="004F2836" w:rsidP="002450F3">
      <w:pPr>
        <w:tabs>
          <w:tab w:val="left" w:pos="2560"/>
        </w:tabs>
      </w:pPr>
      <w:r>
        <w:t>-</w:t>
      </w:r>
      <w:r w:rsidR="00920029" w:rsidRPr="002F7B53">
        <w:t xml:space="preserve">Aum: </w:t>
      </w:r>
      <w:r w:rsidR="00920029" w:rsidRPr="002F7B53">
        <w:t>$47.89B</w:t>
      </w:r>
    </w:p>
    <w:p w14:paraId="20F9BE14" w14:textId="4EAF51BB" w:rsidR="00920029" w:rsidRPr="002F7B53" w:rsidRDefault="004F2836" w:rsidP="002450F3">
      <w:pPr>
        <w:tabs>
          <w:tab w:val="left" w:pos="2560"/>
        </w:tabs>
      </w:pPr>
      <w:r>
        <w:t>-</w:t>
      </w:r>
      <w:r w:rsidR="00920029" w:rsidRPr="002F7B53">
        <w:t>Er: 0.12%</w:t>
      </w:r>
    </w:p>
    <w:p w14:paraId="090DE1DA" w14:textId="36DF4B33" w:rsidR="00920029" w:rsidRPr="002F7B53" w:rsidRDefault="004F2836" w:rsidP="002450F3">
      <w:pPr>
        <w:tabs>
          <w:tab w:val="left" w:pos="2560"/>
        </w:tabs>
      </w:pPr>
      <w:r>
        <w:t>-</w:t>
      </w:r>
      <w:r w:rsidR="001153AA" w:rsidRPr="002F7B53">
        <w:t>C</w:t>
      </w:r>
      <w:r w:rsidR="00920029" w:rsidRPr="002F7B53">
        <w:t>ountry</w:t>
      </w:r>
      <w:r w:rsidR="001153AA" w:rsidRPr="002F7B53">
        <w:t xml:space="preserve">: </w:t>
      </w:r>
      <w:r w:rsidR="001153AA" w:rsidRPr="002F7B53">
        <w:t>North America</w:t>
      </w:r>
    </w:p>
    <w:p w14:paraId="58E9241F" w14:textId="2F54BC52" w:rsidR="001153AA" w:rsidRPr="002F7B53" w:rsidRDefault="004F2836" w:rsidP="002450F3">
      <w:pPr>
        <w:tabs>
          <w:tab w:val="left" w:pos="2560"/>
        </w:tabs>
      </w:pPr>
      <w:r>
        <w:t>-</w:t>
      </w:r>
      <w:r w:rsidR="001153AA" w:rsidRPr="002F7B53">
        <w:t>Sector:</w:t>
      </w:r>
    </w:p>
    <w:p w14:paraId="39F41064" w14:textId="2673D736" w:rsidR="001153AA" w:rsidRPr="001153AA" w:rsidRDefault="001153AA" w:rsidP="004F2836">
      <w:pPr>
        <w:shd w:val="clear" w:color="auto" w:fill="FFFFFF"/>
        <w:spacing w:after="0" w:line="240" w:lineRule="auto"/>
      </w:pPr>
      <w:r w:rsidRPr="001153AA">
        <w:t>Real Estate</w:t>
      </w:r>
      <w:r w:rsidR="004F2836">
        <w:t xml:space="preserve"> </w:t>
      </w:r>
      <w:r w:rsidRPr="001153AA">
        <w:t>98.81%</w:t>
      </w:r>
    </w:p>
    <w:p w14:paraId="3328B68A" w14:textId="2AA7F347" w:rsidR="001153AA" w:rsidRPr="001153AA" w:rsidRDefault="001153AA" w:rsidP="004F2836">
      <w:pPr>
        <w:shd w:val="clear" w:color="auto" w:fill="FFFFFF"/>
        <w:spacing w:after="0" w:line="240" w:lineRule="auto"/>
      </w:pPr>
      <w:r w:rsidRPr="001153AA">
        <w:t>Communication</w:t>
      </w:r>
      <w:r w:rsidR="004F2836">
        <w:t xml:space="preserve"> </w:t>
      </w:r>
      <w:r w:rsidRPr="001153AA">
        <w:t>0.85%</w:t>
      </w:r>
    </w:p>
    <w:p w14:paraId="00E1BBDB" w14:textId="2CF187F4" w:rsidR="001153AA" w:rsidRPr="002F7B53" w:rsidRDefault="001153AA" w:rsidP="002450F3">
      <w:pPr>
        <w:tabs>
          <w:tab w:val="left" w:pos="2560"/>
        </w:tabs>
      </w:pPr>
    </w:p>
    <w:p w14:paraId="3C529133" w14:textId="77777777" w:rsidR="00641EBC" w:rsidRPr="002F7B53" w:rsidRDefault="005A7B73" w:rsidP="00641EBC">
      <w:pPr>
        <w:tabs>
          <w:tab w:val="left" w:pos="2560"/>
        </w:tabs>
      </w:pPr>
      <w:r w:rsidRPr="002F7B53">
        <w:t>Vnqi</w:t>
      </w:r>
    </w:p>
    <w:p w14:paraId="627B8795" w14:textId="082CA457" w:rsidR="005A7B73" w:rsidRPr="002F7B53" w:rsidRDefault="004F2836" w:rsidP="00641EBC">
      <w:pPr>
        <w:tabs>
          <w:tab w:val="left" w:pos="2560"/>
        </w:tabs>
      </w:pPr>
      <w:r>
        <w:t>-</w:t>
      </w:r>
      <w:r w:rsidR="005A7B73" w:rsidRPr="002F7B53">
        <w:t xml:space="preserve">Aum: </w:t>
      </w:r>
      <w:r w:rsidR="00641EBC" w:rsidRPr="002F7B53">
        <w:t>$4.67B</w:t>
      </w:r>
    </w:p>
    <w:p w14:paraId="7DB9DFF6" w14:textId="33A96444" w:rsidR="00641EBC" w:rsidRPr="002F7B53" w:rsidRDefault="004F2836" w:rsidP="00641EBC">
      <w:pPr>
        <w:tabs>
          <w:tab w:val="left" w:pos="2560"/>
        </w:tabs>
      </w:pPr>
      <w:r>
        <w:lastRenderedPageBreak/>
        <w:t>-</w:t>
      </w:r>
      <w:r w:rsidR="00641EBC" w:rsidRPr="002F7B53">
        <w:t xml:space="preserve">Er: </w:t>
      </w:r>
      <w:r w:rsidR="00641EBC" w:rsidRPr="002F7B53">
        <w:t>0.12%</w:t>
      </w:r>
    </w:p>
    <w:p w14:paraId="67BEA9CE" w14:textId="04784333" w:rsidR="00641EBC" w:rsidRPr="002F7B53" w:rsidRDefault="004F2836" w:rsidP="00641EBC">
      <w:pPr>
        <w:shd w:val="clear" w:color="auto" w:fill="FFFFFF"/>
      </w:pPr>
      <w:r>
        <w:t>-</w:t>
      </w:r>
      <w:r w:rsidR="00641EBC" w:rsidRPr="002F7B53">
        <w:t xml:space="preserve">Country: </w:t>
      </w:r>
      <w:r w:rsidR="00641EBC" w:rsidRPr="002F7B53">
        <w:t>Global-Ex-US</w:t>
      </w:r>
    </w:p>
    <w:p w14:paraId="52A9F433" w14:textId="6030597E" w:rsidR="00641EBC" w:rsidRPr="00641EBC" w:rsidRDefault="004F2836" w:rsidP="004F2836">
      <w:pPr>
        <w:shd w:val="clear" w:color="auto" w:fill="FFFFFF"/>
      </w:pPr>
      <w:r>
        <w:t>-</w:t>
      </w:r>
      <w:r w:rsidR="00641EBC" w:rsidRPr="002F7B53">
        <w:t xml:space="preserve">Sector: </w:t>
      </w:r>
      <w:r w:rsidR="00641EBC" w:rsidRPr="002F7B53">
        <w:t>Real Estate</w:t>
      </w:r>
      <w:r>
        <w:t xml:space="preserve">n </w:t>
      </w:r>
      <w:r w:rsidR="00641EBC" w:rsidRPr="00641EBC">
        <w:t>93.35%</w:t>
      </w:r>
    </w:p>
    <w:p w14:paraId="67A1AFA8" w14:textId="4E063B71" w:rsidR="00641EBC" w:rsidRPr="00641EBC" w:rsidRDefault="00641EBC" w:rsidP="004F2836">
      <w:pPr>
        <w:shd w:val="clear" w:color="auto" w:fill="FFFFFF"/>
        <w:spacing w:after="0" w:line="240" w:lineRule="auto"/>
      </w:pPr>
      <w:r w:rsidRPr="00641EBC">
        <w:t>Industrials</w:t>
      </w:r>
      <w:r w:rsidR="004F2836">
        <w:t xml:space="preserve"> </w:t>
      </w:r>
      <w:r w:rsidRPr="00641EBC">
        <w:t>0.57%</w:t>
      </w:r>
    </w:p>
    <w:p w14:paraId="6CCDD1BD" w14:textId="4462DDA3" w:rsidR="00641EBC" w:rsidRPr="00641EBC" w:rsidRDefault="00641EBC" w:rsidP="004F2836">
      <w:pPr>
        <w:shd w:val="clear" w:color="auto" w:fill="FFFFFF"/>
        <w:spacing w:after="0" w:line="240" w:lineRule="auto"/>
      </w:pPr>
      <w:r w:rsidRPr="00641EBC">
        <w:t>Consumer Cyclical</w:t>
      </w:r>
      <w:r w:rsidR="004F2836">
        <w:t xml:space="preserve"> </w:t>
      </w:r>
      <w:r w:rsidRPr="00641EBC">
        <w:t>0.30%</w:t>
      </w:r>
    </w:p>
    <w:p w14:paraId="6820D709" w14:textId="0F121B9C" w:rsidR="00641EBC" w:rsidRPr="00641EBC" w:rsidRDefault="00641EBC" w:rsidP="004F2836">
      <w:pPr>
        <w:shd w:val="clear" w:color="auto" w:fill="FFFFFF"/>
        <w:spacing w:after="0" w:line="240" w:lineRule="auto"/>
      </w:pPr>
      <w:r w:rsidRPr="00641EBC">
        <w:t>Financials</w:t>
      </w:r>
      <w:r w:rsidR="004F2836">
        <w:t xml:space="preserve"> </w:t>
      </w:r>
      <w:r w:rsidRPr="00641EBC">
        <w:t>0.16%</w:t>
      </w:r>
    </w:p>
    <w:p w14:paraId="79D2BA57" w14:textId="2BDE685F" w:rsidR="00641EBC" w:rsidRPr="00641EBC" w:rsidRDefault="00641EBC" w:rsidP="004F2836">
      <w:pPr>
        <w:shd w:val="clear" w:color="auto" w:fill="FFFFFF"/>
        <w:spacing w:after="0" w:line="240" w:lineRule="auto"/>
      </w:pPr>
      <w:r w:rsidRPr="00641EBC">
        <w:t>Technology</w:t>
      </w:r>
      <w:r w:rsidR="004F2836">
        <w:t xml:space="preserve"> </w:t>
      </w:r>
      <w:r w:rsidRPr="00641EBC">
        <w:t>0.01%</w:t>
      </w:r>
    </w:p>
    <w:p w14:paraId="522475B4" w14:textId="355237BB" w:rsidR="00641EBC" w:rsidRPr="00641EBC" w:rsidRDefault="00641EBC" w:rsidP="004F2836">
      <w:pPr>
        <w:shd w:val="clear" w:color="auto" w:fill="FFFFFF"/>
        <w:spacing w:after="0" w:line="240" w:lineRule="auto"/>
      </w:pPr>
      <w:r w:rsidRPr="00641EBC">
        <w:t>Consumer Defensive</w:t>
      </w:r>
      <w:r w:rsidR="004F2836">
        <w:t xml:space="preserve"> </w:t>
      </w:r>
      <w:r w:rsidRPr="00641EBC">
        <w:t>0.01%</w:t>
      </w:r>
    </w:p>
    <w:p w14:paraId="2B3928AC" w14:textId="191927FE" w:rsidR="00641EBC" w:rsidRPr="002F7B53" w:rsidRDefault="00641EBC" w:rsidP="00641EBC">
      <w:pPr>
        <w:tabs>
          <w:tab w:val="left" w:pos="2560"/>
        </w:tabs>
      </w:pPr>
    </w:p>
    <w:p w14:paraId="751FF4D1" w14:textId="7897FCD5" w:rsidR="00641EBC" w:rsidRPr="002F7B53" w:rsidRDefault="00641EBC" w:rsidP="00641EBC">
      <w:pPr>
        <w:tabs>
          <w:tab w:val="left" w:pos="2560"/>
        </w:tabs>
      </w:pPr>
      <w:r w:rsidRPr="002F7B53">
        <w:t>Iau</w:t>
      </w:r>
    </w:p>
    <w:p w14:paraId="31687861" w14:textId="2E30D262" w:rsidR="00641EBC" w:rsidRPr="002F7B53" w:rsidRDefault="004F2836" w:rsidP="00641EBC">
      <w:pPr>
        <w:tabs>
          <w:tab w:val="left" w:pos="2560"/>
        </w:tabs>
      </w:pPr>
      <w:r>
        <w:t>-</w:t>
      </w:r>
      <w:r w:rsidR="00641EBC" w:rsidRPr="002F7B53">
        <w:t xml:space="preserve">Aum: </w:t>
      </w:r>
      <w:r w:rsidR="00641EBC" w:rsidRPr="002F7B53">
        <w:t>$32.84B</w:t>
      </w:r>
    </w:p>
    <w:p w14:paraId="23C4682C" w14:textId="2203BE17" w:rsidR="00641EBC" w:rsidRPr="002F7B53" w:rsidRDefault="004F2836" w:rsidP="00641EBC">
      <w:pPr>
        <w:tabs>
          <w:tab w:val="left" w:pos="2560"/>
        </w:tabs>
      </w:pPr>
      <w:r>
        <w:t>-</w:t>
      </w:r>
      <w:r w:rsidR="002F7B53" w:rsidRPr="002F7B53">
        <w:t>Er: 0.25%</w:t>
      </w:r>
    </w:p>
    <w:p w14:paraId="6B27B6E5" w14:textId="04A02C96" w:rsidR="002F7B53" w:rsidRPr="002F7B53" w:rsidRDefault="004F2836" w:rsidP="002F7B53">
      <w:pPr>
        <w:shd w:val="clear" w:color="auto" w:fill="FFFFFF"/>
      </w:pPr>
      <w:r>
        <w:t>-</w:t>
      </w:r>
      <w:r w:rsidR="002F7B53" w:rsidRPr="002F7B53">
        <w:t xml:space="preserve">Country: </w:t>
      </w:r>
      <w:r w:rsidR="002F7B53" w:rsidRPr="002F7B53">
        <w:t>North America</w:t>
      </w:r>
    </w:p>
    <w:p w14:paraId="408C7C70" w14:textId="0FDB1AC3" w:rsidR="002F7B53" w:rsidRPr="002F7B53" w:rsidRDefault="004F2836" w:rsidP="00641EBC">
      <w:pPr>
        <w:tabs>
          <w:tab w:val="left" w:pos="2560"/>
        </w:tabs>
      </w:pPr>
      <w:r>
        <w:t>-</w:t>
      </w:r>
      <w:r w:rsidR="002F7B53" w:rsidRPr="002F7B53">
        <w:t>Sector: 100% gold</w:t>
      </w:r>
    </w:p>
    <w:p w14:paraId="475B44DE" w14:textId="136DCB99" w:rsidR="002F7B53" w:rsidRPr="002F7B53" w:rsidRDefault="002F7B53" w:rsidP="00641EBC">
      <w:pPr>
        <w:tabs>
          <w:tab w:val="left" w:pos="2560"/>
        </w:tabs>
      </w:pPr>
    </w:p>
    <w:p w14:paraId="762862FA" w14:textId="272E4A8C" w:rsidR="002F7B53" w:rsidRPr="002F7B53" w:rsidRDefault="002F7B53" w:rsidP="00641EBC">
      <w:pPr>
        <w:tabs>
          <w:tab w:val="left" w:pos="2560"/>
        </w:tabs>
      </w:pPr>
      <w:r w:rsidRPr="002F7B53">
        <w:t>Bci</w:t>
      </w:r>
    </w:p>
    <w:p w14:paraId="0B5A6873" w14:textId="639E5B04" w:rsidR="002F7B53" w:rsidRPr="002F7B53" w:rsidRDefault="004F2836" w:rsidP="00641EBC">
      <w:pPr>
        <w:tabs>
          <w:tab w:val="left" w:pos="2560"/>
        </w:tabs>
      </w:pPr>
      <w:r>
        <w:t>-</w:t>
      </w:r>
      <w:r w:rsidR="002F7B53" w:rsidRPr="002F7B53">
        <w:t xml:space="preserve">Aum: </w:t>
      </w:r>
      <w:r w:rsidR="002F7B53" w:rsidRPr="002F7B53">
        <w:t>$1.11B</w:t>
      </w:r>
    </w:p>
    <w:p w14:paraId="6DE666D2" w14:textId="4D16A0CA" w:rsidR="002F7B53" w:rsidRPr="002F7B53" w:rsidRDefault="004F2836" w:rsidP="00641EBC">
      <w:pPr>
        <w:tabs>
          <w:tab w:val="left" w:pos="2560"/>
        </w:tabs>
      </w:pPr>
      <w:r>
        <w:t>-</w:t>
      </w:r>
      <w:r w:rsidR="002F7B53" w:rsidRPr="002F7B53">
        <w:t>Er: 0.25%</w:t>
      </w:r>
    </w:p>
    <w:p w14:paraId="2F5D5EC4" w14:textId="78233447" w:rsidR="002F7B53" w:rsidRPr="002F7B53" w:rsidRDefault="004F2836" w:rsidP="00641EBC">
      <w:pPr>
        <w:tabs>
          <w:tab w:val="left" w:pos="2560"/>
        </w:tabs>
      </w:pPr>
      <w:r>
        <w:t>-</w:t>
      </w:r>
      <w:r w:rsidR="002F7B53" w:rsidRPr="002F7B53">
        <w:t>Country: North America</w:t>
      </w:r>
    </w:p>
    <w:p w14:paraId="71351140" w14:textId="79999242" w:rsidR="002F7B53" w:rsidRPr="002F7B53" w:rsidRDefault="004F2836" w:rsidP="00641EBC">
      <w:pPr>
        <w:tabs>
          <w:tab w:val="left" w:pos="2560"/>
        </w:tabs>
      </w:pPr>
      <w:r>
        <w:t>-</w:t>
      </w:r>
      <w:r w:rsidR="002F7B53" w:rsidRPr="002F7B53">
        <w:t>Sector:</w:t>
      </w:r>
    </w:p>
    <w:p w14:paraId="5C5EA9B6" w14:textId="77777777" w:rsidR="004F2836" w:rsidRDefault="002F7B53" w:rsidP="002F7B53">
      <w:pPr>
        <w:spacing w:before="150" w:after="210" w:line="240" w:lineRule="auto"/>
        <w:outlineLvl w:val="2"/>
      </w:pPr>
      <w:r w:rsidRPr="002F7B53">
        <w:t>Stocks</w:t>
      </w:r>
      <w:r w:rsidR="004F2836">
        <w:t>-</w:t>
      </w:r>
      <w:r w:rsidRPr="002F7B53">
        <w:t>Financials</w:t>
      </w:r>
      <w:r w:rsidR="004F2836">
        <w:t xml:space="preserve"> </w:t>
      </w:r>
      <w:r w:rsidRPr="002F7B53">
        <w:t>16.09%</w:t>
      </w:r>
    </w:p>
    <w:p w14:paraId="366FA9EB" w14:textId="71141308" w:rsidR="002F7B53" w:rsidRPr="002F7B53" w:rsidRDefault="002F7B53" w:rsidP="002F7B53">
      <w:pPr>
        <w:spacing w:before="150" w:after="210" w:line="240" w:lineRule="auto"/>
        <w:outlineLvl w:val="2"/>
      </w:pPr>
      <w:r w:rsidRPr="002F7B53">
        <w:t>Bonds &amp; Cash</w:t>
      </w:r>
      <w:r w:rsidR="004F2836">
        <w:t xml:space="preserve">- </w:t>
      </w:r>
    </w:p>
    <w:p w14:paraId="621D2BD0" w14:textId="4F201DC0" w:rsidR="002F7B53" w:rsidRPr="002F7B53" w:rsidRDefault="002F7B53" w:rsidP="004F2836">
      <w:pPr>
        <w:spacing w:after="0" w:line="240" w:lineRule="auto"/>
      </w:pPr>
      <w:r w:rsidRPr="002F7B53">
        <w:t>Government</w:t>
      </w:r>
      <w:r w:rsidR="004F2836">
        <w:t xml:space="preserve"> </w:t>
      </w:r>
      <w:r w:rsidRPr="002F7B53">
        <w:t>47.44%</w:t>
      </w:r>
    </w:p>
    <w:p w14:paraId="2DCDA36E" w14:textId="139219EF" w:rsidR="002F7B53" w:rsidRPr="002F7B53" w:rsidRDefault="002F7B53" w:rsidP="002F7B53">
      <w:pPr>
        <w:spacing w:after="0" w:line="240" w:lineRule="auto"/>
      </w:pPr>
      <w:r w:rsidRPr="002F7B53">
        <w:t>Cash &amp; Equivalents</w:t>
      </w:r>
      <w:r>
        <w:t xml:space="preserve">: </w:t>
      </w:r>
      <w:r w:rsidRPr="002F7B53">
        <w:t>36.47%</w:t>
      </w:r>
    </w:p>
    <w:p w14:paraId="40DB56BC" w14:textId="77777777" w:rsidR="002F7B53" w:rsidRPr="002F7B53" w:rsidRDefault="002F7B53" w:rsidP="00641EBC">
      <w:pPr>
        <w:tabs>
          <w:tab w:val="left" w:pos="2560"/>
        </w:tabs>
      </w:pPr>
    </w:p>
    <w:p w14:paraId="434BEBA1" w14:textId="77777777" w:rsidR="00641EBC" w:rsidRPr="002F7B53" w:rsidRDefault="00641EBC" w:rsidP="00641EBC">
      <w:pPr>
        <w:tabs>
          <w:tab w:val="left" w:pos="2560"/>
        </w:tabs>
      </w:pPr>
    </w:p>
    <w:sectPr w:rsidR="00641EBC" w:rsidRPr="002F7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yMbewMDM1tDAwNzBS0lEKTi0uzszPAykwrgUAGajLnSwAAAA="/>
  </w:docVars>
  <w:rsids>
    <w:rsidRoot w:val="002450F3"/>
    <w:rsid w:val="000425DC"/>
    <w:rsid w:val="000D2BF4"/>
    <w:rsid w:val="001153AA"/>
    <w:rsid w:val="00127E0A"/>
    <w:rsid w:val="002450F3"/>
    <w:rsid w:val="002D5074"/>
    <w:rsid w:val="002F7B53"/>
    <w:rsid w:val="00317C45"/>
    <w:rsid w:val="00320468"/>
    <w:rsid w:val="003939AD"/>
    <w:rsid w:val="004D2817"/>
    <w:rsid w:val="004F2836"/>
    <w:rsid w:val="00540CEF"/>
    <w:rsid w:val="005627B1"/>
    <w:rsid w:val="005A7B73"/>
    <w:rsid w:val="00641EBC"/>
    <w:rsid w:val="00801DF9"/>
    <w:rsid w:val="00920029"/>
    <w:rsid w:val="009A45A2"/>
    <w:rsid w:val="00A95A0E"/>
    <w:rsid w:val="00C03D4F"/>
    <w:rsid w:val="00C33D0A"/>
    <w:rsid w:val="00C675D9"/>
    <w:rsid w:val="00CA1B89"/>
    <w:rsid w:val="00DD0621"/>
    <w:rsid w:val="00E43B01"/>
    <w:rsid w:val="00E6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1D8A"/>
  <w15:chartTrackingRefBased/>
  <w15:docId w15:val="{67430987-CE67-4179-BCF1-61207C61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7B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5A0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7B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7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71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0810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7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99861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63474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75942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0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1034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671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74849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88699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3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61735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52825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658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327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4122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756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6487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53528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0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48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39228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314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9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5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156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664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61383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0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63312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43238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92560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30199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8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0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586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97114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0469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61798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37080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29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245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77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5631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7297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1799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6302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428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70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0545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5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14047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9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58797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15548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56075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5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9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698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06594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36686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770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32846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6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4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612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9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965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79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668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8106">
              <w:marLeft w:val="-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1234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8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11933">
              <w:marLeft w:val="-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949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52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22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7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59370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4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6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927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40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9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4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793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30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fdb.com/etfs/country/broad-developed-mark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Zhen Yong</dc:creator>
  <cp:keywords/>
  <dc:description/>
  <cp:lastModifiedBy>Lim Zhen Yong</cp:lastModifiedBy>
  <cp:revision>3</cp:revision>
  <dcterms:created xsi:type="dcterms:W3CDTF">2022-04-12T14:38:00Z</dcterms:created>
  <dcterms:modified xsi:type="dcterms:W3CDTF">2022-04-14T08:41:00Z</dcterms:modified>
</cp:coreProperties>
</file>