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44"/>
          <w:color w:val="0A5C3B"/>
        </w:rPr>
        <w:t xml:space="preserve">GIPA Investment Opportunities Mapping Platform</w:t>
      </w:r>
    </w:p>
    <w:p>
      <w:pPr>
        <w:spacing w:before="0" w:after="40"/>
      </w:pPr>
      <w:r>
        <w:rPr>
          <w:b/>
          <w:sz w:val="30"/>
          <w:color w:val="13463A"/>
        </w:rPr>
        <w:t xml:space="preserve">Feature Implementation Brief</w:t>
      </w:r>
    </w:p>
    <w:p>
      <w:pPr>
        <w:spacing w:before="0" w:after="120"/>
      </w:pPr>
      <w:r>
        <w:rPr>
          <w:i/>
          <w:sz w:val="18"/>
          <w:color w:val="5D6B66"/>
        </w:rPr>
        <w:t xml:space="preserve">Prepared for the Project Manager  ·  Engineering Team  ·  4 September 2026  ·  Prototype build</w:t>
      </w:r>
    </w:p>
    <w:p>
      <w:pPr>
        <w:spacing w:before="320" w:after="120"/>
        <w:pBdr>
          <w:bottom w:val="single" w:sz="8" w:space="2" w:color="0A5C3B"/>
        </w:pBdr>
      </w:pPr>
      <w:r>
        <w:rPr>
          <w:b/>
          <w:sz w:val="32"/>
          <w:color w:val="0A5C3B"/>
        </w:rPr>
        <w:t xml:space="preserve">1.  Executive Summary</w:t>
      </w:r>
    </w:p>
    <w:p>
      <w:pPr>
        <w:spacing w:before="0" w:after="120"/>
      </w:pPr>
      <w:r>
        <w:t xml:space="preserve">The Investment Opportunities Mapping Platform (IOMP) is a Laravel 12 / PHP 8.2 application that helps the Ghana Investment Promotion Authority publish investment-ready opportunities, onboard and serve investors, issue tamper-evident certificates, and run the internal review, oversight and compliance workflows that sit behind them.</w:t>
      </w:r>
    </w:p>
    <w:p>
      <w:pPr>
        <w:spacing w:before="0" w:after="120"/>
      </w:pPr>
      <w:r>
        <w:t xml:space="preserve">The prototype now covers the full breadth of the intended scope. Of the six major components, four are delivered end to end (investor onboarding, certificates and anti-forgery verification, investor-to-business matchmaking, and the AI assistant), a fifth — internal automation and dashboards — is delivered with two areas still maturing (advanced reporting and an in-app settings console), and the sixth — external system integrations (ORC, GIS, payments) — is intentionally staged for a later phase.</w:t>
      </w:r>
    </w:p>
    <w:p>
      <w:pPr>
        <w:spacing w:before="0" w:after="120"/>
      </w:pPr>
      <w:r>
        <w:t xml:space="preserve">The current delivery cycle added an AI knowledge assistant, an audit-log viewer with CSV/PDF export and a configurable retention policy, an SLA monitoring dashboard with automated breach escalation to assigned reviewers, and a security-hardening pass that introduces response security headers and a strict Content-Security-Policy backed by per-request nonces. The whole platform is protected by 107 automated tests (721 assertions), all passing.</w:t>
      </w:r>
    </w:p>
    <w:p>
      <w:pPr>
        <w:spacing w:before="320" w:after="120"/>
        <w:pBdr>
          <w:bottom w:val="single" w:sz="8" w:space="2" w:color="0A5C3B"/>
        </w:pBdr>
      </w:pPr>
      <w:r>
        <w:rPr>
          <w:b/>
          <w:sz w:val="32"/>
          <w:color w:val="0A5C3B"/>
        </w:rPr>
        <w:t xml:space="preserve">2.  Platform At A Glance</w:t>
      </w:r>
    </w:p>
    <w:tbl>
      <w:tblPr>
        <w:tblW w:w="0" w:type="auto"/>
        <w:tblBorders>
          <w:top w:val="single" w:sz="4" w:space="0" w:color="C9D6D0"/>
          <w:left w:val="single" w:sz="4" w:space="0" w:color="C9D6D0"/>
          <w:bottom w:val="single" w:sz="4" w:space="0" w:color="C9D6D0"/>
          <w:right w:val="single" w:sz="4" w:space="0" w:color="C9D6D0"/>
          <w:insideH w:val="single" w:sz="4" w:space="0" w:color="C9D6D0"/>
          <w:insideV w:val="single" w:sz="4" w:space="0" w:color="C9D6D0"/>
        </w:tblBorders>
        <w:tblLook w:val="04A0"/>
      </w:tblPr>
      <w:tblGrid>
        <w:gridCol w:w="3000"/>
        <w:gridCol w:w="6360"/>
      </w:tblGrid>
      <w:tr>
        <w:tc>
          <w:tcPr>
            <w:tcW w:w="3000" w:type="dxa"/>
            <w:shd w:val="clear" w:color="auto" w:fill="0A5C3B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  <w:color w:val="FFFFFF"/>
              </w:rPr>
              <w:t xml:space="preserve">Indicator</w:t>
            </w:r>
          </w:p>
        </w:tc>
        <w:tc>
          <w:tcPr>
            <w:tcW w:w="6360" w:type="dxa"/>
            <w:shd w:val="clear" w:color="auto" w:fill="0A5C3B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  <w:color w:val="FFFFFF"/>
              </w:rPr>
              <w:t xml:space="preserve">Current position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Technology</w:t>
            </w:r>
          </w:p>
        </w:tc>
        <w:tc>
          <w:tcPr>
            <w:tcW w:w="63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Laravel 12, PHP 8.2, Vite front-end build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District registry</w:t>
            </w:r>
          </w:p>
        </w:tc>
        <w:tc>
          <w:tcPr>
            <w:tcW w:w="63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261 districts across 16 regions, seeded and governed by a draft → review → publish workflow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Staff workspace</w:t>
            </w:r>
          </w:p>
        </w:tc>
        <w:tc>
          <w:tcPr>
            <w:tcW w:w="63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58 role-gated staff routes spanning oversight, workflow, certificates, investors and reference data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Public API</w:t>
            </w:r>
          </w:p>
        </w:tc>
        <w:tc>
          <w:tcPr>
            <w:tcW w:w="63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Versioned REST (v1) with JWT auth, OpenAPI 3.1 contract and Swagger UI at /api/documentation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AI assistant</w:t>
            </w:r>
          </w:p>
        </w:tc>
        <w:tc>
          <w:tcPr>
            <w:tcW w:w="63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Provider-agnostic; offline driver by default, OpenAI-ready with no code changes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Access control</w:t>
            </w:r>
          </w:p>
        </w:tc>
        <w:tc>
          <w:tcPr>
            <w:tcW w:w="63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Spatie role/permission model with five staff roles and per-permission gating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Automated tests</w:t>
            </w:r>
          </w:p>
        </w:tc>
        <w:tc>
          <w:tcPr>
            <w:tcW w:w="63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107 passing (721 assertions) across feature and unit suites</w:t>
            </w:r>
          </w:p>
        </w:tc>
      </w:tr>
    </w:tbl>
    <w:p>
      <w:pPr>
        <w:spacing w:before="0" w:after="60"/>
      </w:pPr>
    </w:p>
    <w:p>
      <w:pPr>
        <w:spacing w:before="320" w:after="120"/>
        <w:pBdr>
          <w:bottom w:val="single" w:sz="8" w:space="2" w:color="0A5C3B"/>
        </w:pBdr>
      </w:pPr>
      <w:r>
        <w:rPr>
          <w:b/>
          <w:sz w:val="32"/>
          <w:color w:val="0A5C3B"/>
        </w:rPr>
        <w:t xml:space="preserve">3.  Scope Overview — Six Components</w:t>
      </w:r>
    </w:p>
    <w:p>
      <w:pPr>
        <w:spacing w:before="0" w:after="120"/>
      </w:pPr>
      <w:r>
        <w:t xml:space="preserve">The table below maps each contracted component to its current delivery status. Green denotes delivered, amber partial, and red planned for a future phase.</w:t>
      </w:r>
    </w:p>
    <w:tbl>
      <w:tblPr>
        <w:tblW w:w="0" w:type="auto"/>
        <w:tblBorders>
          <w:top w:val="single" w:sz="4" w:space="0" w:color="C9D6D0"/>
          <w:left w:val="single" w:sz="4" w:space="0" w:color="C9D6D0"/>
          <w:bottom w:val="single" w:sz="4" w:space="0" w:color="C9D6D0"/>
          <w:right w:val="single" w:sz="4" w:space="0" w:color="C9D6D0"/>
          <w:insideH w:val="single" w:sz="4" w:space="0" w:color="C9D6D0"/>
          <w:insideV w:val="single" w:sz="4" w:space="0" w:color="C9D6D0"/>
        </w:tblBorders>
        <w:tblLook w:val="04A0"/>
      </w:tblPr>
      <w:tblGrid>
        <w:gridCol w:w="500"/>
        <w:gridCol w:w="3100"/>
        <w:gridCol w:w="4360"/>
        <w:gridCol w:w="1400"/>
      </w:tblGrid>
      <w:tr>
        <w:tc>
          <w:tcPr>
            <w:tcW w:w="500" w:type="dxa"/>
            <w:shd w:val="clear" w:color="auto" w:fill="0A5C3B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  <w:color w:val="FFFFFF"/>
              </w:rPr>
              <w:t xml:space="preserve">#</w:t>
            </w:r>
          </w:p>
        </w:tc>
        <w:tc>
          <w:tcPr>
            <w:tcW w:w="3100" w:type="dxa"/>
            <w:shd w:val="clear" w:color="auto" w:fill="0A5C3B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  <w:color w:val="FFFFFF"/>
              </w:rPr>
              <w:t xml:space="preserve">Component</w:t>
            </w:r>
          </w:p>
        </w:tc>
        <w:tc>
          <w:tcPr>
            <w:tcW w:w="4360" w:type="dxa"/>
            <w:shd w:val="clear" w:color="auto" w:fill="0A5C3B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  <w:color w:val="FFFFFF"/>
              </w:rPr>
              <w:t xml:space="preserve">Summary</w:t>
            </w:r>
          </w:p>
        </w:tc>
        <w:tc>
          <w:tcPr>
            <w:tcW w:w="1400" w:type="dxa"/>
            <w:shd w:val="clear" w:color="auto" w:fill="0A5C3B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  <w:color w:val="FFFFFF"/>
              </w:rPr>
              <w:t xml:space="preserve">Status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31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Investor onboarding &amp; aftercare</w:t>
            </w:r>
          </w:p>
        </w:tc>
        <w:tc>
          <w:tcPr>
            <w:tcW w:w="43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Registration, portal, KYC document review, profiles, match preferences</w:t>
            </w:r>
          </w:p>
        </w:tc>
        <w:tc>
          <w:tcPr>
            <w:tcW w:w="1400" w:type="dxa"/>
            <w:shd w:val="clear" w:color="auto" w:fill="E7F3EC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Delivered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31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Certificates &amp; anti-forgery verification (MVP)</w:t>
            </w:r>
          </w:p>
        </w:tc>
        <w:tc>
          <w:tcPr>
            <w:tcW w:w="43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Signed issuance, PDF + QR artifacts, public token verification, lifecycle</w:t>
            </w:r>
          </w:p>
        </w:tc>
        <w:tc>
          <w:tcPr>
            <w:tcW w:w="1400" w:type="dxa"/>
            <w:shd w:val="clear" w:color="auto" w:fill="E7F3EC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Delivered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31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Investor-to-business matchmaking</w:t>
            </w:r>
          </w:p>
        </w:tc>
        <w:tc>
          <w:tcPr>
            <w:tcW w:w="43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Explainable scoring engine over investor preferences and opportunities</w:t>
            </w:r>
          </w:p>
        </w:tc>
        <w:tc>
          <w:tcPr>
            <w:tcW w:w="1400" w:type="dxa"/>
            <w:shd w:val="clear" w:color="auto" w:fill="E7F3EC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Delivered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31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External integrations (ORC, GIS, payments)</w:t>
            </w:r>
          </w:p>
        </w:tc>
        <w:tc>
          <w:tcPr>
            <w:tcW w:w="43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Registry cross-checks, advanced geospatial queries and payments</w:t>
            </w:r>
          </w:p>
        </w:tc>
        <w:tc>
          <w:tcPr>
            <w:tcW w:w="1400" w:type="dxa"/>
            <w:shd w:val="clear" w:color="auto" w:fill="F6E5E1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Planned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31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AI assistant (chatbot)</w:t>
            </w:r>
          </w:p>
        </w:tc>
        <w:tc>
          <w:tcPr>
            <w:tcW w:w="43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Retrieval-augmented assistant with governed knowledge base and tools</w:t>
            </w:r>
          </w:p>
        </w:tc>
        <w:tc>
          <w:tcPr>
            <w:tcW w:w="1400" w:type="dxa"/>
            <w:shd w:val="clear" w:color="auto" w:fill="E7F3EC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Delivered</w:t>
            </w:r>
          </w:p>
        </w:tc>
      </w:tr>
      <w:tr>
        <w:tc>
          <w:tcPr>
            <w:tcW w:w="5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31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Internal automation &amp; dashboards</w:t>
            </w:r>
          </w:p>
        </w:tc>
        <w:tc>
          <w:tcPr>
            <w:tcW w:w="43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Dashboards, workflow, SLA, audit, notifications, reference data, RBAC</w:t>
            </w:r>
          </w:p>
        </w:tc>
        <w:tc>
          <w:tcPr>
            <w:tcW w:w="1400" w:type="dxa"/>
            <w:shd w:val="clear" w:color="auto" w:fill="E7F3EC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Delivered</w:t>
            </w:r>
          </w:p>
        </w:tc>
      </w:tr>
    </w:tbl>
    <w:p>
      <w:pPr>
        <w:spacing w:before="0" w:after="60"/>
      </w:pPr>
    </w:p>
    <w:p>
      <w:pPr>
        <w:spacing w:before="320" w:after="120"/>
        <w:pBdr>
          <w:bottom w:val="single" w:sz="8" w:space="2" w:color="0A5C3B"/>
        </w:pBdr>
      </w:pPr>
      <w:r>
        <w:rPr>
          <w:b/>
          <w:sz w:val="32"/>
          <w:color w:val="0A5C3B"/>
        </w:rPr>
        <w:t xml:space="preserve">4.  Component Detail</w:t>
      </w:r>
    </w:p>
    <w:p>
      <w:pPr>
        <w:spacing w:before="240" w:after="80"/>
      </w:pPr>
      <w:r>
        <w:rPr>
          <w:b/>
          <w:sz w:val="26"/>
          <w:color w:val="13463A"/>
        </w:rPr>
        <w:t xml:space="preserve">4.1  Investor Onboarding &amp; Aftercare  —  Delivered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Investor self-registration, email verification and a dedicated investor portal.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Structured onboarding cases with a seven-state lifecycle (draft, submitted, under review, action required, approved, rejected, withdrawn) and an immutable event history.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KYC document upload to private storage with accept/reject review decisions and checksum integrity.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Investor profiles and match preferences (sectors, regions, investment range, readiness threshold).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Aftercare (post-approval relationship management) is scoped for a later phase.</w:t>
      </w:r>
    </w:p>
    <w:p>
      <w:pPr>
        <w:spacing w:before="240" w:after="80"/>
      </w:pPr>
      <w:r>
        <w:rPr>
          <w:b/>
          <w:sz w:val="26"/>
          <w:color w:val="13463A"/>
        </w:rPr>
        <w:t xml:space="preserve">4.2  Certificates &amp; Anti-Forgery Verification (MVP)  —  Delivered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RSA-signed certificates with a canonical payload snapshot and payload hash for tamper detection.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Asynchronous PDF and QR-code artifact generation.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Public, throttled verification by token, plus a staff verification and evidence trail.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Full lifecycle: active, suspended, revoked and superseded, each recorded to a lifecycle-event log.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District-scoped staff assignment governs who may act on which certificates.</w:t>
      </w:r>
    </w:p>
    <w:p>
      <w:pPr>
        <w:spacing w:before="240" w:after="80"/>
      </w:pPr>
      <w:r>
        <w:rPr>
          <w:b/>
          <w:sz w:val="26"/>
          <w:color w:val="13463A"/>
        </w:rPr>
        <w:t xml:space="preserve">4.3  Investor-to-Business Matchmaking  —  Delivered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A scoring service ranks publicly visible opportunities against each investor’s stored preferences.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Signals include preferred sector, preferred region, readiness score and a currency-aware investment range.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Results are explainable — each match carries the reasons that produced its score.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Exposed to authenticated investors through the JWT-protected API.</w:t>
      </w:r>
    </w:p>
    <w:p>
      <w:pPr>
        <w:spacing w:before="240" w:after="80"/>
      </w:pPr>
      <w:r>
        <w:rPr>
          <w:b/>
          <w:sz w:val="26"/>
          <w:color w:val="13463A"/>
        </w:rPr>
        <w:t xml:space="preserve">4.4  External System Integrations  —  Planned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ORC (company registry) cross-checks: a placeholder timestamp exists on verifications; the outbound integration is not yet built.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Geospatial: districts carry boundary and centroid data and a Leaflet map renders opportunity points; advanced PostGIS-style queries are a later phase.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Payments: not yet in scope for the prototype; no provider is wired.</w:t>
      </w:r>
    </w:p>
    <w:p>
      <w:pPr>
        <w:spacing w:before="240" w:after="80"/>
      </w:pPr>
      <w:r>
        <w:rPr>
          <w:b/>
          <w:sz w:val="26"/>
          <w:color w:val="13463A"/>
        </w:rPr>
        <w:t xml:space="preserve">4.5  AI Assistant (Chatbot)  —  Delivered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Retrieval-augmented generation over a governed knowledge base, with citations and strict refusal when no verified context exists.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Provider-agnostic: a deterministic offline driver is the default (safe for demos and tests); OpenAI can be enabled purely via configuration.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Domain tools surface live sectors, districts, opportunities, onboarding guidance, platform statistics and certificate checks.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Administrator knowledge-base management UI, conversation persistence and a configurable retention window with automatic pruning.</w:t>
      </w:r>
    </w:p>
    <w:p>
      <w:pPr>
        <w:spacing w:before="240" w:after="80"/>
      </w:pPr>
      <w:r>
        <w:rPr>
          <w:b/>
          <w:sz w:val="26"/>
          <w:color w:val="13463A"/>
        </w:rPr>
        <w:t xml:space="preserve">4.6  Internal Automation &amp; Dashboards  —  Delivered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Staff dashboard with headline metrics, status charts and an overdue review queue.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Workflow engine with immutable event trails for districts, opportunities, investors and certificates.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SLA monitoring dashboard plus scheduled breach escalation to assigned reviewers (see Section 5).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Audit-log viewer with filtering, CSV/PDF export and a configurable retention policy (see Section 5).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Reference-data management, role/permission directory and queued email notifications.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Maturing: standalone advanced reports and an in-app settings/maintenance console.</w:t>
      </w:r>
    </w:p>
    <w:p>
      <w:pPr>
        <w:spacing w:before="320" w:after="120"/>
        <w:pBdr>
          <w:bottom w:val="single" w:sz="8" w:space="2" w:color="0A5C3B"/>
        </w:pBdr>
      </w:pPr>
      <w:r>
        <w:rPr>
          <w:b/>
          <w:sz w:val="32"/>
          <w:color w:val="0A5C3B"/>
        </w:rPr>
        <w:t xml:space="preserve">5.  Recent Engineering Additions (This Cycle)</w:t>
      </w:r>
    </w:p>
    <w:p>
      <w:pPr>
        <w:spacing w:before="240" w:after="80"/>
      </w:pPr>
      <w:r>
        <w:rPr>
          <w:b/>
          <w:sz w:val="26"/>
          <w:color w:val="13463A"/>
        </w:rPr>
        <w:t xml:space="preserve">5.1  AI Knowledge Assistant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Full retrieval pipeline, administrator knowledge management, guest and authenticated conversations, and a daily prune command for stale conversations.</w:t>
      </w:r>
    </w:p>
    <w:p>
      <w:pPr>
        <w:spacing w:before="240" w:after="80"/>
      </w:pPr>
      <w:r>
        <w:rPr>
          <w:b/>
          <w:sz w:val="26"/>
          <w:color w:val="13463A"/>
        </w:rPr>
        <w:t xml:space="preserve">5.2  Audit-Log Viewer, Export &amp; Retention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Filterable, permission-gated audit-log viewer over the platform activity trail.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One-click CSV and PDF export that respects the active filters, gated by a dedicated export permission.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A configurable retention window enforced by a daily scheduled clean-up task.</w:t>
      </w:r>
    </w:p>
    <w:p>
      <w:pPr>
        <w:spacing w:before="240" w:after="80"/>
      </w:pPr>
      <w:r>
        <w:rPr>
          <w:b/>
          <w:sz w:val="26"/>
          <w:color w:val="13463A"/>
        </w:rPr>
        <w:t xml:space="preserve">5.3  SLA Monitoring &amp; Breach Escalation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Live dashboard classifying in-review work into breached, at-risk and on-track across approvals, publication and onboarding.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An hourly escalation task emails the assigned reviewer when an item breaches its deadline, recording the escalation so reviewers are not re-notified for the same breach.</w:t>
      </w:r>
    </w:p>
    <w:p>
      <w:pPr>
        <w:spacing w:before="240" w:after="80"/>
      </w:pPr>
      <w:r>
        <w:rPr>
          <w:b/>
          <w:sz w:val="26"/>
          <w:color w:val="13463A"/>
        </w:rPr>
        <w:t xml:space="preserve">5.4  Security Hardening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Baseline response security headers (anti-clickjacking, MIME-sniffing protection, referrer and permissions policy) and conditional HSTS over HTTPS.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A strict Content-Security-Policy with a fresh per-request nonce; former inline event handlers were externalised into first-party scripts so scripts run without unsafe-inline.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Production guidance for encrypted, secure session cookies.</w:t>
      </w:r>
    </w:p>
    <w:p>
      <w:pPr>
        <w:spacing w:before="320" w:after="120"/>
        <w:pBdr>
          <w:bottom w:val="single" w:sz="8" w:space="2" w:color="0A5C3B"/>
        </w:pBdr>
      </w:pPr>
      <w:r>
        <w:rPr>
          <w:b/>
          <w:sz w:val="32"/>
          <w:color w:val="0A5C3B"/>
        </w:rPr>
        <w:t xml:space="preserve">6.  Prototype Modules (A–N)</w:t>
      </w:r>
    </w:p>
    <w:tbl>
      <w:tblPr>
        <w:tblW w:w="0" w:type="auto"/>
        <w:tblBorders>
          <w:top w:val="single" w:sz="4" w:space="0" w:color="C9D6D0"/>
          <w:left w:val="single" w:sz="4" w:space="0" w:color="C9D6D0"/>
          <w:bottom w:val="single" w:sz="4" w:space="0" w:color="C9D6D0"/>
          <w:right w:val="single" w:sz="4" w:space="0" w:color="C9D6D0"/>
          <w:insideH w:val="single" w:sz="4" w:space="0" w:color="C9D6D0"/>
          <w:insideV w:val="single" w:sz="4" w:space="0" w:color="C9D6D0"/>
        </w:tblBorders>
        <w:tblLook w:val="04A0"/>
      </w:tblPr>
      <w:tblGrid>
        <w:gridCol w:w="3000"/>
        <w:gridCol w:w="4960"/>
        <w:gridCol w:w="1400"/>
      </w:tblGrid>
      <w:tr>
        <w:tc>
          <w:tcPr>
            <w:tcW w:w="3000" w:type="dxa"/>
            <w:shd w:val="clear" w:color="auto" w:fill="0A5C3B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  <w:color w:val="FFFFFF"/>
              </w:rPr>
              <w:t xml:space="preserve">Module</w:t>
            </w:r>
          </w:p>
        </w:tc>
        <w:tc>
          <w:tcPr>
            <w:tcW w:w="4960" w:type="dxa"/>
            <w:shd w:val="clear" w:color="auto" w:fill="0A5C3B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  <w:color w:val="FFFFFF"/>
              </w:rPr>
              <w:t xml:space="preserve">Scope</w:t>
            </w:r>
          </w:p>
        </w:tc>
        <w:tc>
          <w:tcPr>
            <w:tcW w:w="1400" w:type="dxa"/>
            <w:shd w:val="clear" w:color="auto" w:fill="0A5C3B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  <w:color w:val="FFFFFF"/>
              </w:rPr>
              <w:t xml:space="preserve">Status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A  Public Portal</w:t>
            </w:r>
          </w:p>
        </w:tc>
        <w:tc>
          <w:tcPr>
            <w:tcW w:w="49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Landing, search, district and opportunity directories, map, inquiry, PWA shell</w:t>
            </w:r>
          </w:p>
        </w:tc>
        <w:tc>
          <w:tcPr>
            <w:tcW w:w="1400" w:type="dxa"/>
            <w:shd w:val="clear" w:color="auto" w:fill="E7F3EC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Delivered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B  Authentication &amp; Access</w:t>
            </w:r>
          </w:p>
        </w:tc>
        <w:tc>
          <w:tcPr>
            <w:tcW w:w="49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Dual login, password reset, roles, permissions, district-level scoping</w:t>
            </w:r>
          </w:p>
        </w:tc>
        <w:tc>
          <w:tcPr>
            <w:tcW w:w="1400" w:type="dxa"/>
            <w:shd w:val="clear" w:color="auto" w:fill="E7F3EC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Delivered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C  Region &amp; District Management</w:t>
            </w:r>
          </w:p>
        </w:tc>
        <w:tc>
          <w:tcPr>
            <w:tcW w:w="49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261-district registry, hierarchy, readiness, draft/review/publish</w:t>
            </w:r>
          </w:p>
        </w:tc>
        <w:tc>
          <w:tcPr>
            <w:tcW w:w="1400" w:type="dxa"/>
            <w:shd w:val="clear" w:color="auto" w:fill="E7F3EC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Delivered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  Opportunity Management</w:t>
            </w:r>
          </w:p>
        </w:tc>
        <w:tc>
          <w:tcPr>
            <w:tcW w:w="49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Structured form, sectors, financials, documents, lifecycle</w:t>
            </w:r>
          </w:p>
        </w:tc>
        <w:tc>
          <w:tcPr>
            <w:tcW w:w="1400" w:type="dxa"/>
            <w:shd w:val="clear" w:color="auto" w:fill="E7F3EC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Delivered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E  Workflow &amp; SLA</w:t>
            </w:r>
          </w:p>
        </w:tc>
        <w:tc>
          <w:tcPr>
            <w:tcW w:w="49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Lifecycle transitions, SLA timers, breach alerts and escalation</w:t>
            </w:r>
          </w:p>
        </w:tc>
        <w:tc>
          <w:tcPr>
            <w:tcW w:w="1400" w:type="dxa"/>
            <w:shd w:val="clear" w:color="auto" w:fill="E7F3EC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Delivered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F  Geospatial &amp; Investment Map</w:t>
            </w:r>
          </w:p>
        </w:tc>
        <w:tc>
          <w:tcPr>
            <w:tcW w:w="49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Leaflet map and district geometry; advanced spatial queries pending</w:t>
            </w:r>
          </w:p>
        </w:tc>
        <w:tc>
          <w:tcPr>
            <w:tcW w:w="1400" w:type="dxa"/>
            <w:shd w:val="clear" w:color="auto" w:fill="FBF3DC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Partial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G  Investor Inquiries</w:t>
            </w:r>
          </w:p>
        </w:tc>
        <w:tc>
          <w:tcPr>
            <w:tcW w:w="49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Public inquiry form, assignment and response status tracking</w:t>
            </w:r>
          </w:p>
        </w:tc>
        <w:tc>
          <w:tcPr>
            <w:tcW w:w="1400" w:type="dxa"/>
            <w:shd w:val="clear" w:color="auto" w:fill="E7F3EC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Delivered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H  Dashboard &amp; Reports</w:t>
            </w:r>
          </w:p>
        </w:tc>
        <w:tc>
          <w:tcPr>
            <w:tcW w:w="49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Dashboard metrics and charts; standalone advanced reports pending</w:t>
            </w:r>
          </w:p>
        </w:tc>
        <w:tc>
          <w:tcPr>
            <w:tcW w:w="1400" w:type="dxa"/>
            <w:shd w:val="clear" w:color="auto" w:fill="FBF3DC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Partial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I  Audit &amp; Compliance</w:t>
            </w:r>
          </w:p>
        </w:tc>
        <w:tc>
          <w:tcPr>
            <w:tcW w:w="49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Actor/time/before-after logging, retention and export</w:t>
            </w:r>
          </w:p>
        </w:tc>
        <w:tc>
          <w:tcPr>
            <w:tcW w:w="1400" w:type="dxa"/>
            <w:shd w:val="clear" w:color="auto" w:fill="E7F3EC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Delivered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J  Notifications</w:t>
            </w:r>
          </w:p>
        </w:tc>
        <w:tc>
          <w:tcPr>
            <w:tcW w:w="49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Email notifications for workflow, inquiry and SLA breach events</w:t>
            </w:r>
          </w:p>
        </w:tc>
        <w:tc>
          <w:tcPr>
            <w:tcW w:w="1400" w:type="dxa"/>
            <w:shd w:val="clear" w:color="auto" w:fill="E7F3EC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Delivered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K  Settings &amp; Maintenance</w:t>
            </w:r>
          </w:p>
        </w:tc>
        <w:tc>
          <w:tcPr>
            <w:tcW w:w="49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Config-driven today; admin settings UI and IP whitelist pending</w:t>
            </w:r>
          </w:p>
        </w:tc>
        <w:tc>
          <w:tcPr>
            <w:tcW w:w="1400" w:type="dxa"/>
            <w:shd w:val="clear" w:color="auto" w:fill="F6E5E1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Planned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L  API</w:t>
            </w:r>
          </w:p>
        </w:tc>
        <w:tc>
          <w:tcPr>
            <w:tcW w:w="49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Versioned REST, JWT auth, OpenAPI 3.1 and Swagger UI</w:t>
            </w:r>
          </w:p>
        </w:tc>
        <w:tc>
          <w:tcPr>
            <w:tcW w:w="1400" w:type="dxa"/>
            <w:shd w:val="clear" w:color="auto" w:fill="E7F3EC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Delivered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M  Onboarding &amp; Messaging</w:t>
            </w:r>
          </w:p>
        </w:tc>
        <w:tc>
          <w:tcPr>
            <w:tcW w:w="49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Investor onboarding delivered; peer messaging pending</w:t>
            </w:r>
          </w:p>
        </w:tc>
        <w:tc>
          <w:tcPr>
            <w:tcW w:w="1400" w:type="dxa"/>
            <w:shd w:val="clear" w:color="auto" w:fill="FBF3DC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Partial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N  PWA</w:t>
            </w:r>
          </w:p>
        </w:tc>
        <w:tc>
          <w:tcPr>
            <w:tcW w:w="49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Service worker, offline fallback and health check</w:t>
            </w:r>
          </w:p>
        </w:tc>
        <w:tc>
          <w:tcPr>
            <w:tcW w:w="1400" w:type="dxa"/>
            <w:shd w:val="clear" w:color="auto" w:fill="E7F3EC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Delivered</w:t>
            </w:r>
          </w:p>
        </w:tc>
      </w:tr>
    </w:tbl>
    <w:p>
      <w:pPr>
        <w:spacing w:before="0" w:after="60"/>
      </w:pPr>
    </w:p>
    <w:p>
      <w:pPr>
        <w:spacing w:before="320" w:after="120"/>
        <w:pBdr>
          <w:bottom w:val="single" w:sz="8" w:space="2" w:color="0A5C3B"/>
        </w:pBdr>
      </w:pPr>
      <w:r>
        <w:rPr>
          <w:b/>
          <w:sz w:val="32"/>
          <w:color w:val="0A5C3B"/>
        </w:rPr>
        <w:t xml:space="preserve">7.  Security &amp; Compliance Posture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Role-based access control on every staff route via the Spatie permission model.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Comprehensive, queryable audit trail with configurable retention and export for evidence packs.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Response security headers, strict CSP with per-request nonce, and conditional HSTS.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Eloquent-only data access (no raw SQL), explicit mass-assignment allow-lists and escaped output.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Private, validated file uploads with checksum verification and UUID storage names.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JWT access tokens with hashed, rotating refresh sessions; purpose-specific API rate limiting.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Strong password policies and secrets sourced only from environment configuration.</w:t>
      </w:r>
    </w:p>
    <w:p>
      <w:pPr>
        <w:spacing w:before="320" w:after="120"/>
        <w:pBdr>
          <w:bottom w:val="single" w:sz="8" w:space="2" w:color="0A5C3B"/>
        </w:pBdr>
      </w:pPr>
      <w:r>
        <w:rPr>
          <w:b/>
          <w:sz w:val="32"/>
          <w:color w:val="0A5C3B"/>
        </w:rPr>
        <w:t xml:space="preserve">8.  Quality Assurance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107 automated tests (721 assertions) across feature and unit suites, all passing.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Static formatting enforced with Laravel Pint; OpenAPI contract linting available.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Production asset build verified through Vite.</w:t>
      </w:r>
    </w:p>
    <w:p>
      <w:pPr>
        <w:spacing w:before="320" w:after="120"/>
        <w:pBdr>
          <w:bottom w:val="single" w:sz="8" w:space="2" w:color="0A5C3B"/>
        </w:pBdr>
      </w:pPr>
      <w:r>
        <w:rPr>
          <w:b/>
          <w:sz w:val="32"/>
          <w:color w:val="0A5C3B"/>
        </w:rPr>
        <w:t xml:space="preserve">9.  Delivery Status Summary</w:t>
      </w:r>
    </w:p>
    <w:tbl>
      <w:tblPr>
        <w:tblW w:w="0" w:type="auto"/>
        <w:tblBorders>
          <w:top w:val="single" w:sz="4" w:space="0" w:color="C9D6D0"/>
          <w:left w:val="single" w:sz="4" w:space="0" w:color="C9D6D0"/>
          <w:bottom w:val="single" w:sz="4" w:space="0" w:color="C9D6D0"/>
          <w:right w:val="single" w:sz="4" w:space="0" w:color="C9D6D0"/>
          <w:insideH w:val="single" w:sz="4" w:space="0" w:color="C9D6D0"/>
          <w:insideV w:val="single" w:sz="4" w:space="0" w:color="C9D6D0"/>
        </w:tblBorders>
        <w:tblLook w:val="04A0"/>
      </w:tblPr>
      <w:tblGrid>
        <w:gridCol w:w="1600"/>
        <w:gridCol w:w="7760"/>
      </w:tblGrid>
      <w:tr>
        <w:tc>
          <w:tcPr>
            <w:tcW w:w="1600" w:type="dxa"/>
            <w:shd w:val="clear" w:color="auto" w:fill="0A5C3B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  <w:color w:val="FFFFFF"/>
              </w:rPr>
              <w:t xml:space="preserve">Status</w:t>
            </w:r>
          </w:p>
        </w:tc>
        <w:tc>
          <w:tcPr>
            <w:tcW w:w="7760" w:type="dxa"/>
            <w:shd w:val="clear" w:color="auto" w:fill="0A5C3B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  <w:color w:val="FFFFFF"/>
              </w:rPr>
              <w:t xml:space="preserve">Items</w:t>
            </w:r>
          </w:p>
        </w:tc>
      </w:tr>
      <w:tr>
        <w:tc>
          <w:tcPr>
            <w:tcW w:w="16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Delivered</w:t>
            </w:r>
          </w:p>
        </w:tc>
        <w:tc>
          <w:tcPr>
            <w:tcW w:w="77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Investor onboarding &amp; KYC, certificates &amp; verification, matchmaking, AI assistant, dashboards &amp; workflow, SLA monitoring &amp; escalation, audit log &amp; export, RBAC, public/investor/staff surfaces, API v1, PWA, inquiries, reference data, notifications, security headers &amp; CSP</w:t>
            </w:r>
          </w:p>
        </w:tc>
      </w:tr>
      <w:tr>
        <w:tc>
          <w:tcPr>
            <w:tcW w:w="16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Partial</w:t>
            </w:r>
          </w:p>
        </w:tc>
        <w:tc>
          <w:tcPr>
            <w:tcW w:w="77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Advanced reports &amp; analytics, in-app settings/maintenance console, advanced geospatial queries, peer-to-peer messaging</w:t>
            </w:r>
          </w:p>
        </w:tc>
      </w:tr>
      <w:tr>
        <w:tc>
          <w:tcPr>
            <w:tcW w:w="160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Planned</w:t>
            </w:r>
          </w:p>
        </w:tc>
        <w:tc>
          <w:tcPr>
            <w:tcW w:w="7760" w:type="dxa"/>
            <w:vAlign w:val="center"/>
          </w:tcPr>
          <w:p>
            <w:pPr>
              <w:spacing w:before="20" w:after="20"/>
            </w:pPr>
            <w:r>
              <w:rPr>
                <w:sz w:val="18"/>
              </w:rPr>
              <w:t xml:space="preserve">External integrations (ORC registry, payments), investor aftercare lifecycle, IP whitelist</w:t>
            </w:r>
          </w:p>
        </w:tc>
      </w:tr>
    </w:tbl>
    <w:p>
      <w:pPr>
        <w:spacing w:before="0" w:after="60"/>
      </w:pPr>
    </w:p>
    <w:p>
      <w:pPr>
        <w:spacing w:before="320" w:after="120"/>
        <w:pBdr>
          <w:bottom w:val="single" w:sz="8" w:space="2" w:color="0A5C3B"/>
        </w:pBdr>
      </w:pPr>
      <w:r>
        <w:rPr>
          <w:b/>
          <w:sz w:val="32"/>
          <w:color w:val="0A5C3B"/>
        </w:rPr>
        <w:t xml:space="preserve">10.  Recommended Next Steps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Build the standalone reports module (regional distribution, investment by sector, opportunity timeline).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Deliver an in-app settings and maintenance console, including IP whitelist and a graceful maintenance toggle.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Scope and integrate external systems: ORC registry cross-checks, advanced GIS queries and payments.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Add the investor aftercare lifecycle and, if required, controlled user-to-user administrative messaging.</w:t>
      </w:r>
    </w:p>
    <w:p>
      <w:pPr>
        <w:spacing w:before="0" w:after="40"/>
        <w:ind w:left="360" w:hanging="220"/>
      </w:pPr>
      <w:r>
        <w:rPr>
          <w:b/>
          <w:color w:val="0A5C3B"/>
        </w:rPr>
        <w:t xml:space="preserve">•  </w:t>
      </w:r>
      <w:r>
        <w:t xml:space="preserve">Provide an administrator editor for notification templates.</w:t>
      </w:r>
    </w:p>
    <w:sectPr>
      <w:pgSz w:w="12240" w:h="15840"/>
      <w:pgMar w:top="1440" w:right="1440" w:bottom="1440" w:left="1440" w:header="720" w:footer="720" w:gutter="0"/>
    </w:sectPr>
  </w:body>
</w:document>
</file>

<file path=docProps/app.xml><?xml version="1.0" encoding="utf-8"?>
<Properties xmlns="http://schemas.openxmlformats.org/officeDocument/2006/extended-properties">
  <Application>GIPA IOMP</Application>
  <Company>Ghana Investment Promotion Authority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GIPA IOMP Feature Implementation Brief</dc:title>
  <dc:creator>Engineering Team</dc:creator>
  <cp:lastModifiedBy>Engineering Team</cp:lastModifiedBy>
  <dcterms:created xsi:type="dcterms:W3CDTF">2026-09-04T11:19:21Z</dcterms:created>
  <dcterms:modified xsi:type="dcterms:W3CDTF">2026-09-04T11:19:21Z</dcterms:modified>
</cp:coreProperties>
</file>