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90F87" w:rsidRDefault="00D90F87" w:rsidP="00D90F87">
      <w:pPr>
        <w:pStyle w:val="ui-markdownparagraph"/>
      </w:pPr>
      <w:r>
        <w:rPr>
          <w:b/>
        </w:rPr>
        <w:br/>
      </w:r>
      <w:proofErr w:type="spellStart"/>
      <w:r w:rsidR="008E1009">
        <w:rPr>
          <w:b/>
        </w:rPr>
        <w:t>WorkSpace</w:t>
      </w:r>
      <w:proofErr w:type="spellEnd"/>
      <w:r w:rsidR="008E1009">
        <w:rPr>
          <w:b/>
        </w:rPr>
        <w:t xml:space="preserve"> Refined</w:t>
      </w:r>
      <w:r>
        <w:rPr>
          <w:b/>
        </w:rPr>
        <w:br/>
      </w:r>
      <w:r>
        <w:t xml:space="preserve">The workspace now has a fixed left </w:t>
      </w:r>
      <w:proofErr w:type="spellStart"/>
      <w:r>
        <w:t>navbar</w:t>
      </w:r>
      <w:proofErr w:type="spellEnd"/>
      <w:r>
        <w:t xml:space="preserve">, separated staff vs users, and role/permission management with platform and </w:t>
      </w:r>
      <w:proofErr w:type="spellStart"/>
      <w:r>
        <w:t>organisation</w:t>
      </w:r>
      <w:proofErr w:type="spellEnd"/>
      <w:r>
        <w:t xml:space="preserve"> consoles kept on different routes.</w:t>
      </w:r>
    </w:p>
    <w:p w:rsidR="00D90F87" w:rsidRDefault="00D90F87" w:rsidP="00D90F87">
      <w:pPr>
        <w:pStyle w:val="ui-markdownparagraph"/>
      </w:pPr>
      <w:r>
        <w:t>Email. HTML mail uses the light ORBIT lockup (</w:t>
      </w:r>
      <w:r>
        <w:rPr>
          <w:rStyle w:val="ui-markdowninline-path-prefix"/>
          <w:rFonts w:ascii="Courier New" w:hAnsi="Courier New" w:cs="Courier New"/>
          <w:sz w:val="20"/>
          <w:szCs w:val="20"/>
        </w:rPr>
        <w:t>public/images/brand/</w:t>
      </w:r>
      <w:r>
        <w:rPr>
          <w:rStyle w:val="ui-markdowninline-path-filename"/>
          <w:rFonts w:ascii="Courier New" w:hAnsi="Courier New" w:cs="Courier New"/>
          <w:sz w:val="20"/>
          <w:szCs w:val="20"/>
        </w:rPr>
        <w:t>orbit-lockup-light.png</w:t>
      </w:r>
      <w:r>
        <w:t>) with </w:t>
      </w:r>
      <w:r>
        <w:rPr>
          <w:rStyle w:val="HTMLCode"/>
        </w:rPr>
        <w:t>alt="ORBIT"</w:t>
      </w:r>
      <w:r>
        <w:t xml:space="preserve">. </w:t>
      </w:r>
      <w:proofErr w:type="spellStart"/>
      <w:r>
        <w:t>Auth</w:t>
      </w:r>
      <w:proofErr w:type="spellEnd"/>
      <w:r>
        <w:t xml:space="preserve"> and the landing CTA already use the dark lockup.</w:t>
      </w:r>
    </w:p>
    <w:p w:rsidR="00D90F87" w:rsidRDefault="00D90F87" w:rsidP="00D90F87">
      <w:pPr>
        <w:pStyle w:val="ui-markdownparagraph"/>
      </w:pPr>
      <w:r>
        <w:t xml:space="preserve">UI. Cards sit on a floating shadow and lift on hover. Buttons use a pointer cursor (including checkbox labels). Public, </w:t>
      </w:r>
      <w:proofErr w:type="spellStart"/>
      <w:r>
        <w:t>auth</w:t>
      </w:r>
      <w:proofErr w:type="spellEnd"/>
      <w:r>
        <w:t>, and dashboard surfaces were brought in line with that.</w:t>
      </w:r>
    </w:p>
    <w:p w:rsidR="00D90F87" w:rsidRDefault="00D90F87" w:rsidP="00D90F87">
      <w:pPr>
        <w:pStyle w:val="ui-markdownparagraph"/>
      </w:pPr>
      <w:r>
        <w:t>Dashboards and nav. The sidebar is </w:t>
      </w:r>
      <w:r>
        <w:rPr>
          <w:rStyle w:val="HTMLCode"/>
        </w:rPr>
        <w:t>fixed</w:t>
      </w:r>
      <w:r>
        <w:t xml:space="preserve"> so it does not scroll with the page; the </w:t>
      </w:r>
      <w:proofErr w:type="spellStart"/>
      <w:r>
        <w:t>nav</w:t>
      </w:r>
      <w:proofErr w:type="spellEnd"/>
      <w:r>
        <w:t xml:space="preserve"> list scrolls on its own. Sections are labelled. Users &amp; access and Audit &amp; security expand. Planned modules are real routes with a Soon badge and a labelled placeholder (no dead links). The drawer works on phones, including body scroll lock.</w:t>
      </w:r>
    </w:p>
    <w:p w:rsidR="00D90F87" w:rsidRDefault="00D90F87" w:rsidP="00D90F87">
      <w:pPr>
        <w:pStyle w:val="ui-markdownparagraph"/>
      </w:pPr>
      <w:r>
        <w:t>Staff vs users. The staff register is a people record (</w:t>
      </w:r>
      <w:r>
        <w:rPr>
          <w:rStyle w:val="ui-markdowninline-path-prefix"/>
          <w:rFonts w:ascii="Courier New" w:hAnsi="Courier New" w:cs="Courier New"/>
          <w:sz w:val="20"/>
          <w:szCs w:val="20"/>
        </w:rPr>
        <w:t>/org/</w:t>
      </w:r>
      <w:r>
        <w:rPr>
          <w:rStyle w:val="ui-markdowninline-path-filename"/>
          <w:rFonts w:ascii="Courier New" w:hAnsi="Courier New" w:cs="Courier New"/>
          <w:sz w:val="20"/>
          <w:szCs w:val="20"/>
        </w:rPr>
        <w:t>staff</w:t>
      </w:r>
      <w:r>
        <w:t>). User accounts are logins (</w:t>
      </w:r>
      <w:r>
        <w:rPr>
          <w:rStyle w:val="ui-markdowninline-path-prefix"/>
          <w:rFonts w:ascii="Courier New" w:hAnsi="Courier New" w:cs="Courier New"/>
          <w:sz w:val="20"/>
          <w:szCs w:val="20"/>
        </w:rPr>
        <w:t>/org/</w:t>
      </w:r>
      <w:r>
        <w:rPr>
          <w:rStyle w:val="ui-markdowninline-path-filename"/>
          <w:rFonts w:ascii="Courier New" w:hAnsi="Courier New" w:cs="Courier New"/>
          <w:sz w:val="20"/>
          <w:szCs w:val="20"/>
        </w:rPr>
        <w:t>users</w:t>
      </w:r>
      <w:r>
        <w:t xml:space="preserve">). Org admins list their </w:t>
      </w:r>
      <w:proofErr w:type="spellStart"/>
      <w:r>
        <w:t>organisation’s</w:t>
      </w:r>
      <w:proofErr w:type="spellEnd"/>
      <w:r>
        <w:t xml:space="preserve"> users, invite them, and assign or revoke any tenant-scoped role (including custom roles created in the platform console) plus only the permissions they themselves hold. Super admins see every account (platform + all orgs) at </w:t>
      </w:r>
      <w:r>
        <w:rPr>
          <w:rStyle w:val="ui-markdowninline-path-prefix"/>
          <w:rFonts w:ascii="Courier New" w:hAnsi="Courier New" w:cs="Courier New"/>
          <w:sz w:val="20"/>
          <w:szCs w:val="20"/>
        </w:rPr>
        <w:t>/admin/</w:t>
      </w:r>
      <w:r>
        <w:rPr>
          <w:rStyle w:val="ui-markdowninline-path-filename"/>
          <w:rFonts w:ascii="Courier New" w:hAnsi="Courier New" w:cs="Courier New"/>
          <w:sz w:val="20"/>
          <w:szCs w:val="20"/>
        </w:rPr>
        <w:t>users</w:t>
      </w:r>
      <w:r>
        <w:t>.</w:t>
      </w:r>
    </w:p>
    <w:p w:rsidR="00D90F87" w:rsidRDefault="00D90F87" w:rsidP="00D90F87">
      <w:pPr>
        <w:pStyle w:val="ui-markdownparagraph"/>
      </w:pPr>
      <w:r>
        <w:t>Roles, permissions, audit. Super admins have full role/permission CRUD under </w:t>
      </w:r>
      <w:r>
        <w:rPr>
          <w:rStyle w:val="ui-markdowninline-path-prefix"/>
          <w:rFonts w:ascii="Courier New" w:hAnsi="Courier New" w:cs="Courier New"/>
          <w:sz w:val="20"/>
          <w:szCs w:val="20"/>
        </w:rPr>
        <w:t>/</w:t>
      </w:r>
      <w:r>
        <w:rPr>
          <w:rStyle w:val="ui-markdowninline-path-filename"/>
          <w:rFonts w:ascii="Courier New" w:hAnsi="Courier New" w:cs="Courier New"/>
          <w:sz w:val="20"/>
          <w:szCs w:val="20"/>
        </w:rPr>
        <w:t>admin</w:t>
      </w:r>
      <w:r>
        <w:t>. A role’s scope cannot be flipped after create, so a tenant role cannot pick up </w:t>
      </w:r>
      <w:r>
        <w:rPr>
          <w:rStyle w:val="HTMLCode"/>
        </w:rPr>
        <w:t>platform.*</w:t>
      </w:r>
      <w:r>
        <w:t>. Only a super admin can mint another super admin. Audit trail and sign-in history are separate pages in both consoles. Lockouts for a known email now stamp </w:t>
      </w:r>
      <w:proofErr w:type="spellStart"/>
      <w:r>
        <w:rPr>
          <w:rStyle w:val="HTMLCode"/>
        </w:rPr>
        <w:t>user_id</w:t>
      </w:r>
      <w:proofErr w:type="spellEnd"/>
      <w:r>
        <w:t> and </w:t>
      </w:r>
      <w:proofErr w:type="spellStart"/>
      <w:r>
        <w:rPr>
          <w:rStyle w:val="HTMLCode"/>
        </w:rPr>
        <w:t>organization_id</w:t>
      </w:r>
      <w:proofErr w:type="spellEnd"/>
      <w:r>
        <w:t>.</w:t>
      </w:r>
    </w:p>
    <w:p w:rsidR="00D90F87" w:rsidRDefault="00D90F87" w:rsidP="00D90F87">
      <w:pPr>
        <w:pStyle w:val="ui-markdownparagraph"/>
      </w:pPr>
      <w:r>
        <w:t>Route split. </w:t>
      </w:r>
      <w:r>
        <w:rPr>
          <w:rStyle w:val="ui-markdowninline-path-prefix"/>
          <w:rFonts w:ascii="Courier New" w:hAnsi="Courier New" w:cs="Courier New"/>
          <w:sz w:val="20"/>
          <w:szCs w:val="20"/>
        </w:rPr>
        <w:t>/</w:t>
      </w:r>
      <w:r>
        <w:rPr>
          <w:rStyle w:val="ui-markdowninline-path-filename"/>
          <w:rFonts w:ascii="Courier New" w:hAnsi="Courier New" w:cs="Courier New"/>
          <w:sz w:val="20"/>
          <w:szCs w:val="20"/>
        </w:rPr>
        <w:t>org</w:t>
      </w:r>
      <w:r>
        <w:t xml:space="preserve"> is the </w:t>
      </w:r>
      <w:proofErr w:type="spellStart"/>
      <w:r>
        <w:t>organisation</w:t>
      </w:r>
      <w:proofErr w:type="spellEnd"/>
      <w:r>
        <w:t xml:space="preserve"> workspace, </w:t>
      </w:r>
      <w:r>
        <w:rPr>
          <w:rStyle w:val="ui-markdowninline-path-prefix"/>
          <w:rFonts w:ascii="Courier New" w:hAnsi="Courier New" w:cs="Courier New"/>
          <w:sz w:val="20"/>
          <w:szCs w:val="20"/>
        </w:rPr>
        <w:t>/</w:t>
      </w:r>
      <w:r>
        <w:rPr>
          <w:rStyle w:val="ui-markdowninline-path-filename"/>
          <w:rFonts w:ascii="Courier New" w:hAnsi="Courier New" w:cs="Courier New"/>
          <w:sz w:val="20"/>
          <w:szCs w:val="20"/>
        </w:rPr>
        <w:t>admin</w:t>
      </w:r>
      <w:r>
        <w:t> is the platform console, </w:t>
      </w:r>
      <w:r>
        <w:rPr>
          <w:rStyle w:val="ui-markdowninline-path-prefix"/>
          <w:rFonts w:ascii="Courier New" w:hAnsi="Courier New" w:cs="Courier New"/>
          <w:sz w:val="20"/>
          <w:szCs w:val="20"/>
        </w:rPr>
        <w:t>/</w:t>
      </w:r>
      <w:r>
        <w:rPr>
          <w:rStyle w:val="ui-markdowninline-path-filename"/>
          <w:rFonts w:ascii="Courier New" w:hAnsi="Courier New" w:cs="Courier New"/>
          <w:sz w:val="20"/>
          <w:szCs w:val="20"/>
        </w:rPr>
        <w:t>app</w:t>
      </w:r>
      <w:r>
        <w:t> is the post-login landing + profile.</w:t>
      </w:r>
    </w:p>
    <w:p w:rsidR="00D90F87" w:rsidRDefault="00D90F87" w:rsidP="00D90F87">
      <w:pPr>
        <w:pStyle w:val="ui-markdownparagraph"/>
      </w:pPr>
      <w:r>
        <w:t>Verified. </w:t>
      </w:r>
      <w:r>
        <w:rPr>
          <w:rStyle w:val="HTMLCode"/>
        </w:rPr>
        <w:t>141</w:t>
      </w:r>
      <w:r>
        <w:t> tests passed, Pint passed, assets rebuilt. Browser pass: landing, mobile menu, register, tenant dashboard, user accounts, and a coming-soon attendance page.</w:t>
      </w:r>
    </w:p>
    <w:p w:rsidR="00D90F87" w:rsidRDefault="00D90F87" w:rsidP="00D90F87">
      <w:pPr>
        <w:pStyle w:val="ui-markdownparagraph"/>
      </w:pPr>
      <w:r>
        <w:t xml:space="preserve">A local </w:t>
      </w:r>
      <w:proofErr w:type="spellStart"/>
      <w:r>
        <w:t>organisation</w:t>
      </w:r>
      <w:proofErr w:type="spellEnd"/>
      <w:r>
        <w:t xml:space="preserve"> named Fictional Review Institute was created during that browser check. You can delete it from the database if you do not want it kept.</w:t>
      </w:r>
    </w:p>
    <w:p w:rsidR="00D90F87" w:rsidRDefault="00D90F87" w:rsidP="00D90F87">
      <w:pPr>
        <w:pStyle w:val="ui-markdownparagraph"/>
      </w:pPr>
      <w:r>
        <w:t>Attendance, QR, field, schedules, leave, notifications, and analytics remain placeholders, as the phase plan requires. Next planned module is attendance (QR sessions and field check-in).</w:t>
      </w:r>
    </w:p>
    <w:p w:rsidR="00D90F87" w:rsidRDefault="00D90F87" w:rsidP="0019306B">
      <w:pPr>
        <w:rPr>
          <w:b/>
        </w:rPr>
      </w:pPr>
    </w:p>
    <w:p w:rsidR="00D90F87" w:rsidRDefault="00D90F87" w:rsidP="0019306B">
      <w:pPr>
        <w:pBdr>
          <w:top w:val="double" w:sz="6" w:space="1" w:color="auto"/>
          <w:bottom w:val="double" w:sz="6" w:space="1" w:color="auto"/>
        </w:pBdr>
        <w:rPr>
          <w:b/>
        </w:rPr>
      </w:pPr>
    </w:p>
    <w:p w:rsidR="0019306B" w:rsidRDefault="00D90F87" w:rsidP="0019306B">
      <w:pPr>
        <w:rPr>
          <w:b/>
        </w:rPr>
      </w:pPr>
      <w:r>
        <w:rPr>
          <w:b/>
        </w:rPr>
        <w:br/>
      </w:r>
      <w:r>
        <w:rPr>
          <w:b/>
        </w:rPr>
        <w:br/>
      </w:r>
      <w:r w:rsidR="0019306B" w:rsidRPr="00BE16D9">
        <w:rPr>
          <w:b/>
        </w:rPr>
        <w:t xml:space="preserve">Tenancy </w:t>
      </w:r>
      <w:r w:rsidR="00BE16D9" w:rsidRPr="00BE16D9">
        <w:rPr>
          <w:b/>
        </w:rPr>
        <w:t xml:space="preserve">work done and </w:t>
      </w:r>
      <w:r w:rsidR="00F0062A">
        <w:rPr>
          <w:b/>
        </w:rPr>
        <w:t>pending</w:t>
      </w:r>
    </w:p>
    <w:p w:rsidR="004C232A" w:rsidRDefault="004C232A" w:rsidP="0019306B">
      <w:pPr>
        <w:rPr>
          <w:b/>
        </w:rPr>
      </w:pPr>
    </w:p>
    <w:p w:rsidR="004C232A" w:rsidRPr="004C232A" w:rsidRDefault="004C232A" w:rsidP="004C232A">
      <w:pPr>
        <w:spacing w:before="330" w:after="6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2"/>
          <w:szCs w:val="32"/>
          <w14:ligatures w14:val="none"/>
        </w:rPr>
      </w:pPr>
      <w:r w:rsidRPr="004C232A">
        <w:rPr>
          <w:rFonts w:ascii="Segoe UI" w:eastAsia="Times New Roman" w:hAnsi="Segoe UI" w:cs="Segoe UI"/>
          <w:b/>
          <w:bCs/>
          <w:kern w:val="0"/>
          <w:sz w:val="32"/>
          <w:szCs w:val="32"/>
          <w14:ligatures w14:val="none"/>
        </w:rPr>
        <w:t>Package choice</w:t>
      </w:r>
    </w:p>
    <w:p w:rsidR="004C232A" w:rsidRPr="004C232A" w:rsidRDefault="004C232A" w:rsidP="004C232A">
      <w:pPr>
        <w:spacing w:before="60" w:after="240" w:line="240" w:lineRule="auto"/>
        <w:rPr>
          <w:rFonts w:ascii="Segoe UI" w:eastAsia="Times New Roman" w:hAnsi="Segoe UI" w:cs="Segoe UI"/>
          <w:kern w:val="0"/>
          <w:sz w:val="23"/>
          <w:szCs w:val="23"/>
          <w14:ligatures w14:val="none"/>
        </w:rPr>
      </w:pPr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Neither tenancy package was installed. </w:t>
      </w:r>
      <w:proofErr w:type="spellStart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Spatie</w:t>
      </w:r>
      <w:proofErr w:type="spellEnd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 xml:space="preserve"> Multitenancy 4.3.0 is compatible with PHP 8.4 / Laravel 13, but it models one </w:t>
      </w:r>
      <w:r w:rsidRPr="004C232A">
        <w:rPr>
          <w:rFonts w:ascii="Consolas" w:eastAsia="Times New Roman" w:hAnsi="Consolas" w:cs="Courier New"/>
          <w:kern w:val="0"/>
          <w:sz w:val="21"/>
          <w:szCs w:val="21"/>
          <w14:ligatures w14:val="none"/>
        </w:rPr>
        <w:t>domain</w:t>
      </w:r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 column and does not provide shared-schema scopes. ORBIT already has </w:t>
      </w:r>
      <w:proofErr w:type="spellStart"/>
      <w:r w:rsidRPr="004C232A">
        <w:rPr>
          <w:rFonts w:ascii="Consolas" w:eastAsia="Times New Roman" w:hAnsi="Consolas" w:cs="Courier New"/>
          <w:kern w:val="0"/>
          <w:sz w:val="21"/>
          <w:szCs w:val="21"/>
          <w14:ligatures w14:val="none"/>
        </w:rPr>
        <w:t>TenantContext</w:t>
      </w:r>
      <w:proofErr w:type="spellEnd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, </w:t>
      </w:r>
      <w:proofErr w:type="spellStart"/>
      <w:r w:rsidRPr="004C232A">
        <w:rPr>
          <w:rFonts w:ascii="Consolas" w:eastAsia="Times New Roman" w:hAnsi="Consolas" w:cs="Courier New"/>
          <w:kern w:val="0"/>
          <w:sz w:val="21"/>
          <w:szCs w:val="21"/>
          <w14:ligatures w14:val="none"/>
        </w:rPr>
        <w:t>organization_id</w:t>
      </w:r>
      <w:proofErr w:type="spellEnd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 xml:space="preserve"> scoping, and policies. A custom finder would still have been required for aliases and custom domains. </w:t>
      </w:r>
      <w:proofErr w:type="spellStart"/>
      <w:proofErr w:type="gramStart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stancl</w:t>
      </w:r>
      <w:proofErr w:type="spellEnd"/>
      <w:proofErr w:type="gramEnd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 xml:space="preserve"> defaults to database-per-tenant, which contradicts ADR-0002.</w:t>
      </w:r>
    </w:p>
    <w:p w:rsidR="004C232A" w:rsidRPr="004C232A" w:rsidRDefault="004C232A" w:rsidP="004C232A">
      <w:pPr>
        <w:spacing w:before="240" w:after="240" w:line="240" w:lineRule="auto"/>
        <w:rPr>
          <w:rFonts w:ascii="Segoe UI" w:eastAsia="Times New Roman" w:hAnsi="Segoe UI" w:cs="Segoe UI"/>
          <w:kern w:val="0"/>
          <w:sz w:val="23"/>
          <w:szCs w:val="23"/>
          <w14:ligatures w14:val="none"/>
        </w:rPr>
      </w:pPr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Routing, branding, and isolation stay three separate pieces.</w:t>
      </w:r>
    </w:p>
    <w:p w:rsidR="004C232A" w:rsidRPr="004C232A" w:rsidRDefault="004C232A" w:rsidP="004C232A">
      <w:pPr>
        <w:spacing w:before="330" w:after="6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2"/>
          <w:szCs w:val="32"/>
          <w14:ligatures w14:val="none"/>
        </w:rPr>
      </w:pPr>
      <w:r w:rsidRPr="004C232A">
        <w:rPr>
          <w:rFonts w:ascii="Segoe UI" w:eastAsia="Times New Roman" w:hAnsi="Segoe UI" w:cs="Segoe UI"/>
          <w:b/>
          <w:bCs/>
          <w:kern w:val="0"/>
          <w:sz w:val="32"/>
          <w:szCs w:val="32"/>
          <w14:ligatures w14:val="none"/>
        </w:rPr>
        <w:t>What you get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9"/>
        <w:gridCol w:w="5422"/>
      </w:tblGrid>
      <w:tr w:rsidR="004C232A" w:rsidRPr="004C232A" w:rsidTr="001A69EF">
        <w:tc>
          <w:tcPr>
            <w:tcW w:w="0" w:type="auto"/>
            <w:noWrap/>
            <w:hideMark/>
          </w:tcPr>
          <w:p w:rsidR="004C232A" w:rsidRPr="004C232A" w:rsidRDefault="004C232A" w:rsidP="004C232A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C232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Host (Herd: </w:t>
            </w:r>
            <w:proofErr w:type="spellStart"/>
            <w:r w:rsidRPr="004C232A">
              <w:rPr>
                <w:rFonts w:ascii="Consolas" w:eastAsia="Times New Roman" w:hAnsi="Consolas" w:cs="Courier New"/>
                <w:b/>
                <w:bCs/>
                <w:kern w:val="0"/>
                <w:sz w:val="22"/>
                <w:szCs w:val="22"/>
                <w14:ligatures w14:val="none"/>
              </w:rPr>
              <w:t>orbit.test</w:t>
            </w:r>
            <w:proofErr w:type="spellEnd"/>
            <w:r w:rsidRPr="004C232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noWrap/>
            <w:hideMark/>
          </w:tcPr>
          <w:p w:rsidR="004C232A" w:rsidRPr="004C232A" w:rsidRDefault="004C232A" w:rsidP="004C232A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C232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Role</w:t>
            </w:r>
          </w:p>
        </w:tc>
      </w:tr>
      <w:tr w:rsidR="004C232A" w:rsidRPr="004C232A" w:rsidTr="001A69EF">
        <w:tc>
          <w:tcPr>
            <w:tcW w:w="0" w:type="auto"/>
            <w:hideMark/>
          </w:tcPr>
          <w:p w:rsidR="004C232A" w:rsidRPr="004C232A" w:rsidRDefault="004C232A" w:rsidP="004C232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4C232A">
              <w:rPr>
                <w:rFonts w:ascii="Consolas" w:eastAsia="Times New Roman" w:hAnsi="Consolas" w:cs="Courier New"/>
                <w:kern w:val="0"/>
                <w:sz w:val="22"/>
                <w:szCs w:val="22"/>
                <w14:ligatures w14:val="none"/>
              </w:rPr>
              <w:t>orbit.test</w:t>
            </w:r>
            <w:proofErr w:type="spellEnd"/>
          </w:p>
        </w:tc>
        <w:tc>
          <w:tcPr>
            <w:tcW w:w="0" w:type="auto"/>
            <w:hideMark/>
          </w:tcPr>
          <w:p w:rsidR="004C232A" w:rsidRPr="004C232A" w:rsidRDefault="004C232A" w:rsidP="004C232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C232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Public site, </w:t>
            </w:r>
            <w:proofErr w:type="spellStart"/>
            <w:r w:rsidRPr="004C232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organisation</w:t>
            </w:r>
            <w:proofErr w:type="spellEnd"/>
            <w:r w:rsidRPr="004C232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registration, platform console</w:t>
            </w:r>
          </w:p>
        </w:tc>
      </w:tr>
      <w:tr w:rsidR="004C232A" w:rsidRPr="004C232A" w:rsidTr="001A69EF">
        <w:tc>
          <w:tcPr>
            <w:tcW w:w="0" w:type="auto"/>
            <w:hideMark/>
          </w:tcPr>
          <w:p w:rsidR="004C232A" w:rsidRPr="004C232A" w:rsidRDefault="004C232A" w:rsidP="004C232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4C232A">
              <w:rPr>
                <w:rFonts w:ascii="Consolas" w:eastAsia="Times New Roman" w:hAnsi="Consolas" w:cs="Courier New"/>
                <w:kern w:val="0"/>
                <w:sz w:val="22"/>
                <w:szCs w:val="22"/>
                <w14:ligatures w14:val="none"/>
              </w:rPr>
              <w:t>mobilecontent.orbit.test</w:t>
            </w:r>
            <w:proofErr w:type="spellEnd"/>
          </w:p>
        </w:tc>
        <w:tc>
          <w:tcPr>
            <w:tcW w:w="0" w:type="auto"/>
            <w:hideMark/>
          </w:tcPr>
          <w:p w:rsidR="004C232A" w:rsidRPr="004C232A" w:rsidRDefault="004C232A" w:rsidP="004C232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C232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Mobile Content Ltd (primary)</w:t>
            </w:r>
          </w:p>
        </w:tc>
      </w:tr>
      <w:tr w:rsidR="004C232A" w:rsidRPr="004C232A" w:rsidTr="001A69EF">
        <w:tc>
          <w:tcPr>
            <w:tcW w:w="0" w:type="auto"/>
            <w:hideMark/>
          </w:tcPr>
          <w:p w:rsidR="004C232A" w:rsidRPr="004C232A" w:rsidRDefault="004C232A" w:rsidP="004C232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4C232A">
              <w:rPr>
                <w:rFonts w:ascii="Consolas" w:eastAsia="Times New Roman" w:hAnsi="Consolas" w:cs="Courier New"/>
                <w:kern w:val="0"/>
                <w:sz w:val="22"/>
                <w:szCs w:val="22"/>
                <w14:ligatures w14:val="none"/>
              </w:rPr>
              <w:t>mcc.orbit.test</w:t>
            </w:r>
            <w:proofErr w:type="spellEnd"/>
          </w:p>
        </w:tc>
        <w:tc>
          <w:tcPr>
            <w:tcW w:w="0" w:type="auto"/>
            <w:hideMark/>
          </w:tcPr>
          <w:p w:rsidR="004C232A" w:rsidRPr="004C232A" w:rsidRDefault="004C232A" w:rsidP="004C232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C232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Same </w:t>
            </w:r>
            <w:proofErr w:type="spellStart"/>
            <w:r w:rsidRPr="004C232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organisation</w:t>
            </w:r>
            <w:proofErr w:type="spellEnd"/>
            <w:r w:rsidRPr="004C232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(alias)</w:t>
            </w:r>
          </w:p>
        </w:tc>
      </w:tr>
      <w:tr w:rsidR="004C232A" w:rsidRPr="004C232A" w:rsidTr="001A69EF">
        <w:tc>
          <w:tcPr>
            <w:tcW w:w="0" w:type="auto"/>
            <w:hideMark/>
          </w:tcPr>
          <w:p w:rsidR="004C232A" w:rsidRPr="004C232A" w:rsidRDefault="004C232A" w:rsidP="004C232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4C232A">
              <w:rPr>
                <w:rFonts w:ascii="Consolas" w:eastAsia="Times New Roman" w:hAnsi="Consolas" w:cs="Courier New"/>
                <w:kern w:val="0"/>
                <w:sz w:val="22"/>
                <w:szCs w:val="22"/>
                <w14:ligatures w14:val="none"/>
              </w:rPr>
              <w:t>epa.orbit.test</w:t>
            </w:r>
            <w:proofErr w:type="spellEnd"/>
          </w:p>
        </w:tc>
        <w:tc>
          <w:tcPr>
            <w:tcW w:w="0" w:type="auto"/>
            <w:hideMark/>
          </w:tcPr>
          <w:p w:rsidR="004C232A" w:rsidRPr="004C232A" w:rsidRDefault="004C232A" w:rsidP="004C232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C232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EPA Demo</w:t>
            </w:r>
          </w:p>
        </w:tc>
      </w:tr>
      <w:tr w:rsidR="004C232A" w:rsidRPr="004C232A" w:rsidTr="001A69EF">
        <w:tc>
          <w:tcPr>
            <w:tcW w:w="0" w:type="auto"/>
            <w:hideMark/>
          </w:tcPr>
          <w:p w:rsidR="004C232A" w:rsidRPr="004C232A" w:rsidRDefault="004C232A" w:rsidP="004C232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4C232A">
              <w:rPr>
                <w:rFonts w:ascii="Consolas" w:eastAsia="Times New Roman" w:hAnsi="Consolas" w:cs="Courier New"/>
                <w:kern w:val="0"/>
                <w:sz w:val="22"/>
                <w:szCs w:val="22"/>
                <w14:ligatures w14:val="none"/>
              </w:rPr>
              <w:t>upsa.orbit.test</w:t>
            </w:r>
            <w:proofErr w:type="spellEnd"/>
          </w:p>
        </w:tc>
        <w:tc>
          <w:tcPr>
            <w:tcW w:w="0" w:type="auto"/>
            <w:hideMark/>
          </w:tcPr>
          <w:p w:rsidR="004C232A" w:rsidRPr="004C232A" w:rsidRDefault="004C232A" w:rsidP="004C232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C232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UPSA Demo</w:t>
            </w:r>
          </w:p>
        </w:tc>
      </w:tr>
      <w:tr w:rsidR="004C232A" w:rsidRPr="004C232A" w:rsidTr="001A69EF">
        <w:tc>
          <w:tcPr>
            <w:tcW w:w="0" w:type="auto"/>
            <w:hideMark/>
          </w:tcPr>
          <w:p w:rsidR="004C232A" w:rsidRPr="004C232A" w:rsidRDefault="004C232A" w:rsidP="004C232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4C232A">
              <w:rPr>
                <w:rFonts w:ascii="Consolas" w:eastAsia="Times New Roman" w:hAnsi="Consolas" w:cs="Courier New"/>
                <w:kern w:val="0"/>
                <w:sz w:val="22"/>
                <w:szCs w:val="22"/>
                <w14:ligatures w14:val="none"/>
              </w:rPr>
              <w:t>review.orbit.test</w:t>
            </w:r>
            <w:proofErr w:type="spellEnd"/>
          </w:p>
        </w:tc>
        <w:tc>
          <w:tcPr>
            <w:tcW w:w="0" w:type="auto"/>
            <w:hideMark/>
          </w:tcPr>
          <w:p w:rsidR="004C232A" w:rsidRPr="004C232A" w:rsidRDefault="004C232A" w:rsidP="004C232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C232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Fictional Review Institute</w:t>
            </w:r>
          </w:p>
        </w:tc>
      </w:tr>
    </w:tbl>
    <w:p w:rsidR="004C232A" w:rsidRPr="004C232A" w:rsidRDefault="004C232A" w:rsidP="004C232A">
      <w:pPr>
        <w:spacing w:before="240" w:after="240" w:line="240" w:lineRule="auto"/>
        <w:rPr>
          <w:rFonts w:ascii="Segoe UI" w:eastAsia="Times New Roman" w:hAnsi="Segoe UI" w:cs="Segoe UI"/>
          <w:kern w:val="0"/>
          <w:sz w:val="23"/>
          <w:szCs w:val="23"/>
          <w14:ligatures w14:val="none"/>
        </w:rPr>
      </w:pPr>
      <w:proofErr w:type="spellStart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Organisation</w:t>
      </w:r>
      <w:proofErr w:type="spellEnd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 xml:space="preserve"> members sign in on their workspace host. Platform operators sign in on </w:t>
      </w:r>
      <w:proofErr w:type="spellStart"/>
      <w:r w:rsidRPr="004C232A">
        <w:rPr>
          <w:rFonts w:ascii="Consolas" w:eastAsia="Times New Roman" w:hAnsi="Consolas" w:cs="Courier New"/>
          <w:kern w:val="0"/>
          <w:sz w:val="21"/>
          <w:szCs w:val="21"/>
          <w14:ligatures w14:val="none"/>
        </w:rPr>
        <w:t>orbit.test</w:t>
      </w:r>
      <w:proofErr w:type="spellEnd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. Session cookies stay host-only.</w:t>
      </w:r>
    </w:p>
    <w:p w:rsidR="004C232A" w:rsidRPr="004C232A" w:rsidRDefault="004C232A" w:rsidP="004C232A">
      <w:pPr>
        <w:spacing w:before="240" w:after="240" w:line="240" w:lineRule="auto"/>
        <w:rPr>
          <w:rFonts w:ascii="Segoe UI" w:eastAsia="Times New Roman" w:hAnsi="Segoe UI" w:cs="Segoe UI"/>
          <w:kern w:val="0"/>
          <w:sz w:val="23"/>
          <w:szCs w:val="23"/>
          <w14:ligatures w14:val="none"/>
        </w:rPr>
      </w:pPr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 xml:space="preserve">Settings are tabbed: Profile · Domains · Branding — for </w:t>
      </w:r>
      <w:proofErr w:type="spellStart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organisation</w:t>
      </w:r>
      <w:proofErr w:type="spellEnd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 xml:space="preserve"> admins and super admins. Branding uses a </w:t>
      </w:r>
      <w:proofErr w:type="spellStart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colour</w:t>
      </w:r>
      <w:proofErr w:type="spellEnd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 xml:space="preserve"> picker, draft → preview → publish, and PNG/JPG/WEBP/ICO uploads (not SVG). Files live under </w:t>
      </w:r>
      <w:r w:rsidRPr="004C232A">
        <w:rPr>
          <w:rFonts w:ascii="Consolas" w:eastAsia="Times New Roman" w:hAnsi="Consolas" w:cs="Courier New"/>
          <w:kern w:val="0"/>
          <w:sz w:val="21"/>
          <w:szCs w:val="21"/>
          <w14:ligatures w14:val="none"/>
        </w:rPr>
        <w:t>storage/app/organizations</w:t>
      </w:r>
      <w:proofErr w:type="gramStart"/>
      <w:r w:rsidRPr="004C232A">
        <w:rPr>
          <w:rFonts w:ascii="Consolas" w:eastAsia="Times New Roman" w:hAnsi="Consolas" w:cs="Courier New"/>
          <w:kern w:val="0"/>
          <w:sz w:val="21"/>
          <w:szCs w:val="21"/>
          <w14:ligatures w14:val="none"/>
        </w:rPr>
        <w:t>/{</w:t>
      </w:r>
      <w:proofErr w:type="spellStart"/>
      <w:proofErr w:type="gramEnd"/>
      <w:r w:rsidRPr="004C232A">
        <w:rPr>
          <w:rFonts w:ascii="Consolas" w:eastAsia="Times New Roman" w:hAnsi="Consolas" w:cs="Courier New"/>
          <w:kern w:val="0"/>
          <w:sz w:val="21"/>
          <w:szCs w:val="21"/>
          <w14:ligatures w14:val="none"/>
        </w:rPr>
        <w:t>uuid</w:t>
      </w:r>
      <w:proofErr w:type="spellEnd"/>
      <w:r w:rsidRPr="004C232A">
        <w:rPr>
          <w:rFonts w:ascii="Consolas" w:eastAsia="Times New Roman" w:hAnsi="Consolas" w:cs="Courier New"/>
          <w:kern w:val="0"/>
          <w:sz w:val="21"/>
          <w:szCs w:val="21"/>
          <w14:ligatures w14:val="none"/>
        </w:rPr>
        <w:t>}/branding/</w:t>
      </w:r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 xml:space="preserve"> and are served only on that </w:t>
      </w:r>
      <w:proofErr w:type="spellStart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organisation’s</w:t>
      </w:r>
      <w:proofErr w:type="spellEnd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 xml:space="preserve"> host.</w:t>
      </w:r>
    </w:p>
    <w:p w:rsidR="004C232A" w:rsidRPr="004C232A" w:rsidRDefault="004C232A" w:rsidP="004C232A">
      <w:pPr>
        <w:spacing w:before="330" w:after="6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2"/>
          <w:szCs w:val="32"/>
          <w14:ligatures w14:val="none"/>
        </w:rPr>
      </w:pPr>
      <w:r w:rsidRPr="004C232A">
        <w:rPr>
          <w:rFonts w:ascii="Segoe UI" w:eastAsia="Times New Roman" w:hAnsi="Segoe UI" w:cs="Segoe UI"/>
          <w:b/>
          <w:bCs/>
          <w:kern w:val="0"/>
          <w:sz w:val="32"/>
          <w:szCs w:val="32"/>
          <w14:ligatures w14:val="none"/>
        </w:rPr>
        <w:t>Also in this increment</w:t>
      </w:r>
    </w:p>
    <w:p w:rsidR="004C232A" w:rsidRPr="004C232A" w:rsidRDefault="004C232A" w:rsidP="004C232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3"/>
          <w:szCs w:val="23"/>
          <w14:ligatures w14:val="none"/>
        </w:rPr>
      </w:pPr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Sortable column headers and “Showing x–y of z” on large tables</w:t>
      </w:r>
    </w:p>
    <w:p w:rsidR="004C232A" w:rsidRPr="004C232A" w:rsidRDefault="004C232A" w:rsidP="004C232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3"/>
          <w:szCs w:val="23"/>
          <w14:ligatures w14:val="none"/>
        </w:rPr>
      </w:pPr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Student is only offered to educational institutions (UPSA yes, EPA no)</w:t>
      </w:r>
    </w:p>
    <w:p w:rsidR="004C232A" w:rsidRPr="004C232A" w:rsidRDefault="004C232A" w:rsidP="004C232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3"/>
          <w:szCs w:val="23"/>
          <w14:ligatures w14:val="none"/>
        </w:rPr>
      </w:pPr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Super-admin sidebar again shows Attendance, QR, Field, Schedules, Leave, Notifications, Analytics as coming soon</w:t>
      </w:r>
    </w:p>
    <w:p w:rsidR="004C232A" w:rsidRPr="004C232A" w:rsidRDefault="004C232A" w:rsidP="004C232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3"/>
          <w:szCs w:val="23"/>
          <w14:ligatures w14:val="none"/>
        </w:rPr>
      </w:pPr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Attendance modules themselves are still placeholders</w:t>
      </w:r>
    </w:p>
    <w:p w:rsidR="004C232A" w:rsidRPr="004C232A" w:rsidRDefault="004C232A" w:rsidP="004C232A">
      <w:pPr>
        <w:spacing w:before="330" w:after="6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2"/>
          <w:szCs w:val="32"/>
          <w14:ligatures w14:val="none"/>
        </w:rPr>
      </w:pPr>
      <w:r w:rsidRPr="004C232A">
        <w:rPr>
          <w:rFonts w:ascii="Segoe UI" w:eastAsia="Times New Roman" w:hAnsi="Segoe UI" w:cs="Segoe UI"/>
          <w:b/>
          <w:bCs/>
          <w:kern w:val="0"/>
          <w:sz w:val="32"/>
          <w:szCs w:val="32"/>
          <w14:ligatures w14:val="none"/>
        </w:rPr>
        <w:t>Tests and docs</w:t>
      </w:r>
    </w:p>
    <w:p w:rsidR="004C232A" w:rsidRPr="004C232A" w:rsidRDefault="004C232A" w:rsidP="004C232A">
      <w:pPr>
        <w:spacing w:before="60" w:after="120" w:line="240" w:lineRule="auto"/>
        <w:rPr>
          <w:rFonts w:ascii="Segoe UI" w:eastAsia="Times New Roman" w:hAnsi="Segoe UI" w:cs="Segoe UI"/>
          <w:kern w:val="0"/>
          <w:sz w:val="23"/>
          <w:szCs w:val="23"/>
          <w14:ligatures w14:val="none"/>
        </w:rPr>
      </w:pPr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 xml:space="preserve">Covered: central vs tenant routing, aliases, unknown hosts, closed orgs, unverified custom domains, reserved subdomains, branding cache, cross-tenant records/files, tenant-aware jobs, context cleanup, domain/branding </w:t>
      </w:r>
      <w:proofErr w:type="spellStart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authorisation</w:t>
      </w:r>
      <w:proofErr w:type="spellEnd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, academic role audience.</w:t>
      </w:r>
    </w:p>
    <w:p w:rsidR="004C232A" w:rsidRPr="004C232A" w:rsidRDefault="004C232A" w:rsidP="004C232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3"/>
          <w:szCs w:val="23"/>
          <w14:ligatures w14:val="none"/>
        </w:rPr>
      </w:pPr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lastRenderedPageBreak/>
        <w:t>Assessment: </w:t>
      </w:r>
      <w:r w:rsidRPr="004C232A">
        <w:rPr>
          <w:rFonts w:ascii="Consolas" w:eastAsia="Times New Roman" w:hAnsi="Consolas" w:cs="Courier New"/>
          <w:kern w:val="0"/>
          <w:sz w:val="21"/>
          <w:szCs w:val="21"/>
          <w14:ligatures w14:val="none"/>
        </w:rPr>
        <w:t>.cursor/docs/implementation/tenancy-routing-assessment.md</w:t>
      </w:r>
    </w:p>
    <w:p w:rsidR="004C232A" w:rsidRPr="004C232A" w:rsidRDefault="004C232A" w:rsidP="004C232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3"/>
          <w:szCs w:val="23"/>
          <w14:ligatures w14:val="none"/>
        </w:rPr>
      </w:pPr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Feature notes: </w:t>
      </w:r>
      <w:r w:rsidRPr="004C232A">
        <w:rPr>
          <w:rFonts w:ascii="Consolas" w:eastAsia="Times New Roman" w:hAnsi="Consolas" w:cs="Courier New"/>
          <w:kern w:val="0"/>
          <w:sz w:val="21"/>
          <w:szCs w:val="21"/>
          <w14:ligatures w14:val="none"/>
        </w:rPr>
        <w:t>.cursor/docs/implementation/tenancy-hostname-routing.md</w:t>
      </w:r>
    </w:p>
    <w:p w:rsidR="004C232A" w:rsidRPr="004C232A" w:rsidRDefault="004C232A" w:rsidP="004C232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3"/>
          <w:szCs w:val="23"/>
          <w14:ligatures w14:val="none"/>
        </w:rPr>
      </w:pPr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DNS/TLS (not applied): </w:t>
      </w:r>
      <w:r w:rsidRPr="004C232A">
        <w:rPr>
          <w:rFonts w:ascii="Consolas" w:eastAsia="Times New Roman" w:hAnsi="Consolas" w:cs="Courier New"/>
          <w:kern w:val="0"/>
          <w:sz w:val="21"/>
          <w:szCs w:val="21"/>
          <w14:ligatures w14:val="none"/>
        </w:rPr>
        <w:t>.cursor/docs/implementation/dns-and-tls.md</w:t>
      </w:r>
    </w:p>
    <w:p w:rsidR="004C232A" w:rsidRPr="004C232A" w:rsidRDefault="004C232A" w:rsidP="004C232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3"/>
          <w:szCs w:val="23"/>
          <w14:ligatures w14:val="none"/>
        </w:rPr>
      </w:pPr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ADR-0011</w:t>
      </w:r>
    </w:p>
    <w:p w:rsidR="004C232A" w:rsidRPr="004C232A" w:rsidRDefault="004C232A" w:rsidP="004C232A">
      <w:pPr>
        <w:spacing w:before="240" w:after="240" w:line="240" w:lineRule="auto"/>
        <w:rPr>
          <w:rFonts w:ascii="Segoe UI" w:eastAsia="Times New Roman" w:hAnsi="Segoe UI" w:cs="Segoe UI"/>
          <w:kern w:val="0"/>
          <w:sz w:val="23"/>
          <w:szCs w:val="23"/>
          <w14:ligatures w14:val="none"/>
        </w:rPr>
      </w:pPr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Octane was not installed. Tenant context is a scoped binding with request/queue cleanup, which is the pattern Octane needs when you adopt it later.</w:t>
      </w:r>
    </w:p>
    <w:p w:rsidR="004C232A" w:rsidRPr="004C232A" w:rsidRDefault="004C232A" w:rsidP="004C232A">
      <w:pPr>
        <w:spacing w:before="240" w:after="0" w:line="240" w:lineRule="auto"/>
        <w:rPr>
          <w:rFonts w:ascii="Segoe UI" w:eastAsia="Times New Roman" w:hAnsi="Segoe UI" w:cs="Segoe UI"/>
          <w:kern w:val="0"/>
          <w:sz w:val="23"/>
          <w:szCs w:val="23"/>
          <w14:ligatures w14:val="none"/>
        </w:rPr>
      </w:pPr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Next milestone: Stage 4 attendance (QR sessions and field check-in), on these tenant hosts.</w:t>
      </w:r>
    </w:p>
    <w:p w:rsidR="004C232A" w:rsidRPr="00BE16D9" w:rsidRDefault="004C232A" w:rsidP="0019306B">
      <w:pPr>
        <w:rPr>
          <w:b/>
        </w:rPr>
      </w:pPr>
    </w:p>
    <w:p w:rsidR="0019306B" w:rsidRPr="00434060" w:rsidRDefault="00434060" w:rsidP="0019306B">
      <w:pPr>
        <w:rPr>
          <w:b/>
        </w:rPr>
      </w:pPr>
      <w:r w:rsidRPr="00434060">
        <w:rPr>
          <w:b/>
        </w:rPr>
        <w:t>Tenancy Isolation work</w:t>
      </w:r>
    </w:p>
    <w:p w:rsidR="0019306B" w:rsidRDefault="0019306B" w:rsidP="0019306B">
      <w:r>
        <w:t>The tenancy **foundation, isolation, branding core, and admin UI** are in place. Production readiness is **documented and test-covered, not a live ops sign-off**.</w:t>
      </w:r>
    </w:p>
    <w:p w:rsidR="0019306B" w:rsidRDefault="0019306B" w:rsidP="0019306B"/>
    <w:p w:rsidR="0019306B" w:rsidRDefault="0019306B" w:rsidP="0019306B">
      <w:r>
        <w:t xml:space="preserve">## </w:t>
      </w:r>
      <w:r w:rsidRPr="00BE16D9">
        <w:rPr>
          <w:b/>
        </w:rPr>
        <w:t>Tenant foundation — done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4"/>
        <w:gridCol w:w="7196"/>
      </w:tblGrid>
      <w:tr w:rsidR="0019306B" w:rsidRPr="0019306B" w:rsidTr="0019306B">
        <w:tc>
          <w:tcPr>
            <w:tcW w:w="0" w:type="auto"/>
            <w:noWrap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Item</w:t>
            </w:r>
          </w:p>
        </w:tc>
        <w:tc>
          <w:tcPr>
            <w:tcW w:w="0" w:type="auto"/>
            <w:noWrap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Status</w:t>
            </w:r>
          </w:p>
        </w:tc>
      </w:tr>
      <w:tr w:rsidR="0019306B" w:rsidRPr="0019306B" w:rsidTr="0019306B"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Repository assessment</w:t>
            </w:r>
          </w:p>
        </w:tc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 </w:t>
            </w:r>
            <w:r w:rsidRPr="0019306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.cursor/docs/implementation/tenancy-routing-assessment.md</w:t>
            </w:r>
          </w:p>
        </w:tc>
      </w:tr>
      <w:tr w:rsidR="0019306B" w:rsidRPr="0019306B" w:rsidTr="0019306B"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Package evaluation</w:t>
            </w:r>
          </w:p>
        </w:tc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Done — </w:t>
            </w:r>
            <w:proofErr w:type="spellStart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Spatie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v4 vs </w:t>
            </w:r>
            <w:proofErr w:type="spellStart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stancl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vs native; neither package installed (ADR-0011)</w:t>
            </w:r>
          </w:p>
        </w:tc>
      </w:tr>
      <w:tr w:rsidR="0019306B" w:rsidRPr="0019306B" w:rsidTr="0019306B"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Organisation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domain registry</w:t>
            </w:r>
          </w:p>
        </w:tc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 </w:t>
            </w:r>
            <w:proofErr w:type="spellStart"/>
            <w:r w:rsidRPr="0019306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organization_domains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 with primary / alias / custom, verification, activation</w:t>
            </w:r>
          </w:p>
        </w:tc>
      </w:tr>
      <w:tr w:rsidR="0019306B" w:rsidRPr="0019306B" w:rsidTr="0019306B"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Tenant resolution</w:t>
            </w:r>
          </w:p>
        </w:tc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 </w:t>
            </w:r>
            <w:proofErr w:type="spellStart"/>
            <w:r w:rsidRPr="0019306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IdentifyTenant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 + </w:t>
            </w:r>
            <w:proofErr w:type="spellStart"/>
            <w:r w:rsidRPr="0019306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TenantFinder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 from hostname, before bindings</w:t>
            </w:r>
          </w:p>
        </w:tc>
      </w:tr>
      <w:tr w:rsidR="0019306B" w:rsidRPr="0019306B" w:rsidTr="0019306B"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Tenant context lifecycle</w:t>
            </w:r>
          </w:p>
        </w:tc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 scoped </w:t>
            </w:r>
            <w:proofErr w:type="spellStart"/>
            <w:r w:rsidRPr="0019306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TenantContext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, cleared after request and around jobs</w:t>
            </w:r>
          </w:p>
        </w:tc>
      </w:tr>
      <w:tr w:rsidR="0019306B" w:rsidRPr="0019306B" w:rsidTr="0019306B"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Subdomain and alias routing</w:t>
            </w:r>
          </w:p>
        </w:tc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 central </w:t>
            </w:r>
            <w:proofErr w:type="spellStart"/>
            <w:r w:rsidRPr="0019306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orbit.test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, tenant </w:t>
            </w:r>
            <w:r w:rsidRPr="0019306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*.</w:t>
            </w:r>
            <w:proofErr w:type="spellStart"/>
            <w:r w:rsidRPr="0019306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orbit.test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, MCC </w:t>
            </w:r>
            <w:proofErr w:type="spellStart"/>
            <w:r w:rsidRPr="0019306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mobilecontent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 + </w:t>
            </w:r>
            <w:r w:rsidRPr="0019306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mcc</w:t>
            </w: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 alias</w:t>
            </w:r>
          </w:p>
        </w:tc>
      </w:tr>
      <w:tr w:rsidR="0019306B" w:rsidRPr="0019306B" w:rsidTr="0019306B"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Core automated tests</w:t>
            </w:r>
          </w:p>
        </w:tc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 </w:t>
            </w:r>
            <w:proofErr w:type="spellStart"/>
            <w:r w:rsidRPr="0019306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HostnameRoutingTest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, </w:t>
            </w:r>
            <w:proofErr w:type="spellStart"/>
            <w:r w:rsidRPr="0019306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CustomDomainVerificationTest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, plus the existing suite</w:t>
            </w:r>
          </w:p>
        </w:tc>
      </w:tr>
    </w:tbl>
    <w:p w:rsidR="0019306B" w:rsidRDefault="0019306B" w:rsidP="0019306B"/>
    <w:p w:rsidR="0019306B" w:rsidRDefault="0019306B" w:rsidP="0019306B">
      <w:r>
        <w:t xml:space="preserve">## </w:t>
      </w:r>
      <w:r w:rsidRPr="00BE16D9">
        <w:rPr>
          <w:b/>
        </w:rPr>
        <w:t>Tenant isolation — done</w:t>
      </w:r>
    </w:p>
    <w:p w:rsidR="0019306B" w:rsidRDefault="0019306B" w:rsidP="0019306B"/>
    <w:p w:rsidR="0019306B" w:rsidRDefault="0019306B" w:rsidP="0019306B">
      <w:r>
        <w:t>This layer was already in ORBIT (`</w:t>
      </w:r>
      <w:proofErr w:type="spellStart"/>
      <w:r>
        <w:t>organization_id</w:t>
      </w:r>
      <w:proofErr w:type="spellEnd"/>
      <w:r>
        <w:t>`, global scope, policies). Hostname tenancy now **activates** that context instead of deriving it from the logged-in user.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38"/>
        <w:gridCol w:w="7212"/>
      </w:tblGrid>
      <w:tr w:rsidR="0019306B" w:rsidRPr="0019306B" w:rsidTr="0019306B">
        <w:tc>
          <w:tcPr>
            <w:tcW w:w="0" w:type="auto"/>
            <w:noWrap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Item</w:t>
            </w:r>
          </w:p>
        </w:tc>
        <w:tc>
          <w:tcPr>
            <w:tcW w:w="0" w:type="auto"/>
            <w:noWrap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Status</w:t>
            </w:r>
          </w:p>
        </w:tc>
      </w:tr>
      <w:tr w:rsidR="0019306B" w:rsidRPr="0019306B" w:rsidTr="0019306B"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lastRenderedPageBreak/>
              <w:t>Organisation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ownership</w:t>
            </w:r>
          </w:p>
        </w:tc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 FKs, auto-stamp on create</w:t>
            </w:r>
          </w:p>
        </w:tc>
      </w:tr>
      <w:tr w:rsidR="0019306B" w:rsidRPr="0019306B" w:rsidTr="0019306B"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Tenant-aware queries</w:t>
            </w:r>
          </w:p>
        </w:tc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 </w:t>
            </w:r>
            <w:proofErr w:type="spellStart"/>
            <w:r w:rsidRPr="0019306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BelongsToOrganization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 / </w:t>
            </w:r>
            <w:proofErr w:type="spellStart"/>
            <w:r w:rsidRPr="0019306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OrganizationScope</w:t>
            </w:r>
            <w:proofErr w:type="spellEnd"/>
          </w:p>
        </w:tc>
      </w:tr>
      <w:tr w:rsidR="0019306B" w:rsidRPr="0019306B" w:rsidTr="0019306B"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Policies</w:t>
            </w:r>
          </w:p>
        </w:tc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 plus </w:t>
            </w:r>
            <w:proofErr w:type="spellStart"/>
            <w:r w:rsidRPr="0019306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manageWorkspace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 for domains/branding</w:t>
            </w:r>
          </w:p>
        </w:tc>
      </w:tr>
      <w:tr w:rsidR="0019306B" w:rsidRPr="0019306B" w:rsidTr="0019306B"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Membership checks</w:t>
            </w:r>
          </w:p>
        </w:tc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Done — tenant user must belong to the host’s </w:t>
            </w:r>
            <w:proofErr w:type="spellStart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organisation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; platform stays on the central host</w:t>
            </w:r>
          </w:p>
        </w:tc>
      </w:tr>
      <w:tr w:rsidR="0019306B" w:rsidRPr="0019306B" w:rsidTr="0019306B"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Cross-tenant security tests</w:t>
            </w:r>
          </w:p>
        </w:tc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 </w:t>
            </w:r>
            <w:proofErr w:type="spellStart"/>
            <w:r w:rsidRPr="0019306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TenantIsolationTest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 + hostname tests for records and branding files</w:t>
            </w:r>
          </w:p>
        </w:tc>
      </w:tr>
    </w:tbl>
    <w:p w:rsidR="0019306B" w:rsidRDefault="0019306B" w:rsidP="0019306B"/>
    <w:p w:rsidR="0019306B" w:rsidRDefault="0019306B" w:rsidP="0019306B"/>
    <w:p w:rsidR="0019306B" w:rsidRDefault="0019306B" w:rsidP="0019306B">
      <w:r>
        <w:t xml:space="preserve">One deliberate product rule: **one user still belongs to one </w:t>
      </w:r>
      <w:proofErr w:type="spellStart"/>
      <w:r>
        <w:t>organisation</w:t>
      </w:r>
      <w:proofErr w:type="spellEnd"/>
      <w:r>
        <w:t xml:space="preserve"> or the platform** (ADR-0009). There is no multi-org switching. That was the existing account model, not a miss in this work.</w:t>
      </w:r>
    </w:p>
    <w:p w:rsidR="0019306B" w:rsidRDefault="0019306B" w:rsidP="0019306B"/>
    <w:p w:rsidR="0019306B" w:rsidRDefault="0019306B" w:rsidP="0019306B">
      <w:r>
        <w:t xml:space="preserve">## </w:t>
      </w:r>
      <w:r w:rsidRPr="00BE16D9">
        <w:rPr>
          <w:b/>
        </w:rPr>
        <w:t>Branding — done, with two polish gaps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3"/>
        <w:gridCol w:w="6797"/>
      </w:tblGrid>
      <w:tr w:rsidR="00BE16D9" w:rsidRPr="00BE16D9" w:rsidTr="00BE16D9">
        <w:tc>
          <w:tcPr>
            <w:tcW w:w="0" w:type="auto"/>
            <w:noWrap/>
            <w:hideMark/>
          </w:tcPr>
          <w:p w:rsidR="00BE16D9" w:rsidRPr="00BE16D9" w:rsidRDefault="00BE16D9" w:rsidP="00BE16D9">
            <w:pPr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</w:pPr>
            <w:r w:rsidRPr="00BE16D9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Item</w:t>
            </w:r>
          </w:p>
        </w:tc>
        <w:tc>
          <w:tcPr>
            <w:tcW w:w="0" w:type="auto"/>
            <w:noWrap/>
            <w:hideMark/>
          </w:tcPr>
          <w:p w:rsidR="00BE16D9" w:rsidRPr="00BE16D9" w:rsidRDefault="00BE16D9" w:rsidP="00BE16D9">
            <w:pPr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</w:pPr>
            <w:r w:rsidRPr="00BE16D9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Status</w:t>
            </w:r>
          </w:p>
        </w:tc>
      </w:tr>
      <w:tr w:rsidR="00BE16D9" w:rsidRPr="00BE16D9" w:rsidTr="00BE16D9">
        <w:tc>
          <w:tcPr>
            <w:tcW w:w="0" w:type="auto"/>
            <w:hideMark/>
          </w:tcPr>
          <w:p w:rsidR="00BE16D9" w:rsidRPr="00BE16D9" w:rsidRDefault="00BE16D9" w:rsidP="00BE16D9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Branding model and migration</w:t>
            </w:r>
          </w:p>
        </w:tc>
        <w:tc>
          <w:tcPr>
            <w:tcW w:w="0" w:type="auto"/>
            <w:hideMark/>
          </w:tcPr>
          <w:p w:rsidR="00BE16D9" w:rsidRPr="00BE16D9" w:rsidRDefault="00BE16D9" w:rsidP="00BE16D9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 </w:t>
            </w:r>
            <w:proofErr w:type="spellStart"/>
            <w:r w:rsidRPr="00BE16D9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organization_brandings</w:t>
            </w:r>
            <w:proofErr w:type="spellEnd"/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 + draft/publish</w:t>
            </w:r>
          </w:p>
        </w:tc>
      </w:tr>
      <w:tr w:rsidR="00BE16D9" w:rsidRPr="00BE16D9" w:rsidTr="00BE16D9">
        <w:tc>
          <w:tcPr>
            <w:tcW w:w="0" w:type="auto"/>
            <w:hideMark/>
          </w:tcPr>
          <w:p w:rsidR="00BE16D9" w:rsidRPr="00BE16D9" w:rsidRDefault="00BE16D9" w:rsidP="00BE16D9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Logo and favicon storage</w:t>
            </w:r>
          </w:p>
        </w:tc>
        <w:tc>
          <w:tcPr>
            <w:tcW w:w="0" w:type="auto"/>
            <w:hideMark/>
          </w:tcPr>
          <w:p w:rsidR="00BE16D9" w:rsidRPr="00BE16D9" w:rsidRDefault="00BE16D9" w:rsidP="00BE16D9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 private disk </w:t>
            </w:r>
            <w:r w:rsidRPr="00BE16D9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organizations/{</w:t>
            </w:r>
            <w:proofErr w:type="spellStart"/>
            <w:r w:rsidRPr="00BE16D9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uuid</w:t>
            </w:r>
            <w:proofErr w:type="spellEnd"/>
            <w:r w:rsidRPr="00BE16D9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}/branding/</w:t>
            </w:r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, served only on that tenant host</w:t>
            </w:r>
          </w:p>
        </w:tc>
      </w:tr>
      <w:tr w:rsidR="00BE16D9" w:rsidRPr="00BE16D9" w:rsidTr="00BE16D9">
        <w:tc>
          <w:tcPr>
            <w:tcW w:w="0" w:type="auto"/>
            <w:hideMark/>
          </w:tcPr>
          <w:p w:rsidR="00BE16D9" w:rsidRPr="00BE16D9" w:rsidRDefault="00BE16D9" w:rsidP="00BE16D9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Theme/design tokens</w:t>
            </w:r>
          </w:p>
        </w:tc>
        <w:tc>
          <w:tcPr>
            <w:tcW w:w="0" w:type="auto"/>
            <w:hideMark/>
          </w:tcPr>
          <w:p w:rsidR="00BE16D9" w:rsidRPr="00BE16D9" w:rsidRDefault="00BE16D9" w:rsidP="00BE16D9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Done — CSS variables from validated hex </w:t>
            </w:r>
            <w:proofErr w:type="spellStart"/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colours</w:t>
            </w:r>
            <w:proofErr w:type="spellEnd"/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; approved fonts</w:t>
            </w:r>
          </w:p>
        </w:tc>
      </w:tr>
      <w:tr w:rsidR="00BE16D9" w:rsidRPr="00BE16D9" w:rsidTr="00BE16D9">
        <w:tc>
          <w:tcPr>
            <w:tcW w:w="0" w:type="auto"/>
            <w:hideMark/>
          </w:tcPr>
          <w:p w:rsidR="00BE16D9" w:rsidRPr="00BE16D9" w:rsidRDefault="00BE16D9" w:rsidP="00BE16D9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Dynamic tenant branding</w:t>
            </w:r>
          </w:p>
        </w:tc>
        <w:tc>
          <w:tcPr>
            <w:tcW w:w="0" w:type="auto"/>
            <w:hideMark/>
          </w:tcPr>
          <w:p w:rsidR="00BE16D9" w:rsidRPr="00BE16D9" w:rsidRDefault="00BE16D9" w:rsidP="00BE16D9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 </w:t>
            </w:r>
            <w:proofErr w:type="spellStart"/>
            <w:r w:rsidRPr="00BE16D9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BrandingService</w:t>
            </w:r>
            <w:proofErr w:type="spellEnd"/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 (cached, forgotten on publish) on login, </w:t>
            </w:r>
            <w:proofErr w:type="spellStart"/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nav</w:t>
            </w:r>
            <w:proofErr w:type="spellEnd"/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, title, favicon</w:t>
            </w:r>
          </w:p>
        </w:tc>
      </w:tr>
      <w:tr w:rsidR="00BE16D9" w:rsidRPr="00BE16D9" w:rsidTr="00BE16D9">
        <w:tc>
          <w:tcPr>
            <w:tcW w:w="0" w:type="auto"/>
            <w:hideMark/>
          </w:tcPr>
          <w:p w:rsidR="00BE16D9" w:rsidRPr="00BE16D9" w:rsidRDefault="00BE16D9" w:rsidP="00BE16D9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Tenant-specific login page</w:t>
            </w:r>
          </w:p>
        </w:tc>
        <w:tc>
          <w:tcPr>
            <w:tcW w:w="0" w:type="auto"/>
            <w:hideMark/>
          </w:tcPr>
          <w:p w:rsidR="00BE16D9" w:rsidRPr="00BE16D9" w:rsidRDefault="00BE16D9" w:rsidP="00BE16D9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Done — heading, message, </w:t>
            </w:r>
            <w:proofErr w:type="spellStart"/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colours</w:t>
            </w:r>
            <w:proofErr w:type="spellEnd"/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, logo, footer</w:t>
            </w:r>
          </w:p>
        </w:tc>
      </w:tr>
    </w:tbl>
    <w:p w:rsidR="0019306B" w:rsidRDefault="0019306B" w:rsidP="0019306B"/>
    <w:p w:rsidR="00051561" w:rsidRPr="00051561" w:rsidRDefault="00051561" w:rsidP="000515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1561">
        <w:rPr>
          <w:rFonts w:ascii="Times New Roman" w:eastAsia="Times New Roman" w:hAnsi="Times New Roman" w:cs="Times New Roman"/>
          <w:kern w:val="0"/>
          <w14:ligatures w14:val="none"/>
        </w:rPr>
        <w:t>Not fully wired yet (safe to commit; not blockers for this milestone):</w:t>
      </w:r>
    </w:p>
    <w:p w:rsidR="00051561" w:rsidRPr="00051561" w:rsidRDefault="00051561" w:rsidP="000515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1561">
        <w:rPr>
          <w:rFonts w:ascii="Times New Roman" w:eastAsia="Times New Roman" w:hAnsi="Times New Roman" w:cs="Times New Roman"/>
          <w:kern w:val="0"/>
          <w14:ligatures w14:val="none"/>
        </w:rPr>
        <w:t>Login panel image can be uploaded, but the login layout does not render </w:t>
      </w:r>
      <w:proofErr w:type="spellStart"/>
      <w:r w:rsidRPr="000515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loginImageUrl</w:t>
      </w:r>
      <w:proofErr w:type="spellEnd"/>
      <w:r w:rsidRPr="00051561">
        <w:rPr>
          <w:rFonts w:ascii="Times New Roman" w:eastAsia="Times New Roman" w:hAnsi="Times New Roman" w:cs="Times New Roman"/>
          <w:kern w:val="0"/>
          <w14:ligatures w14:val="none"/>
        </w:rPr>
        <w:t> yet.</w:t>
      </w:r>
    </w:p>
    <w:p w:rsidR="00051561" w:rsidRPr="00051561" w:rsidRDefault="00051561" w:rsidP="000515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1561">
        <w:rPr>
          <w:rFonts w:ascii="Times New Roman" w:eastAsia="Times New Roman" w:hAnsi="Times New Roman" w:cs="Times New Roman"/>
          <w:kern w:val="0"/>
          <w14:ligatures w14:val="none"/>
        </w:rPr>
        <w:t xml:space="preserve">Mail chrome still uses the ORBIT lockup. Invitation links already use the tenant URL and </w:t>
      </w:r>
      <w:proofErr w:type="spellStart"/>
      <w:r w:rsidRPr="00051561">
        <w:rPr>
          <w:rFonts w:ascii="Times New Roman" w:eastAsia="Times New Roman" w:hAnsi="Times New Roman" w:cs="Times New Roman"/>
          <w:kern w:val="0"/>
          <w14:ligatures w14:val="none"/>
        </w:rPr>
        <w:t>organisation</w:t>
      </w:r>
      <w:proofErr w:type="spellEnd"/>
      <w:r w:rsidRPr="00051561">
        <w:rPr>
          <w:rFonts w:ascii="Times New Roman" w:eastAsia="Times New Roman" w:hAnsi="Times New Roman" w:cs="Times New Roman"/>
          <w:kern w:val="0"/>
          <w14:ligatures w14:val="none"/>
        </w:rPr>
        <w:t xml:space="preserve"> name.</w:t>
      </w:r>
    </w:p>
    <w:p w:rsidR="0019306B" w:rsidRDefault="0019306B" w:rsidP="0019306B"/>
    <w:p w:rsidR="0019306B" w:rsidRPr="006A47EB" w:rsidRDefault="0019306B" w:rsidP="0019306B">
      <w:pPr>
        <w:rPr>
          <w:b/>
        </w:rPr>
      </w:pPr>
      <w:r>
        <w:t xml:space="preserve">## </w:t>
      </w:r>
      <w:r w:rsidR="006A47EB">
        <w:rPr>
          <w:b/>
        </w:rPr>
        <w:t>Administration — done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6"/>
        <w:gridCol w:w="6804"/>
      </w:tblGrid>
      <w:tr w:rsidR="006A47EB" w:rsidRPr="006A47EB" w:rsidTr="006A47EB">
        <w:tc>
          <w:tcPr>
            <w:tcW w:w="0" w:type="auto"/>
            <w:noWrap/>
            <w:hideMark/>
          </w:tcPr>
          <w:p w:rsidR="006A47EB" w:rsidRPr="006A47EB" w:rsidRDefault="006A47EB" w:rsidP="006A47EB">
            <w:pPr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</w:pPr>
            <w:r w:rsidRPr="006A47EB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lastRenderedPageBreak/>
              <w:t>Item</w:t>
            </w:r>
          </w:p>
        </w:tc>
        <w:tc>
          <w:tcPr>
            <w:tcW w:w="0" w:type="auto"/>
            <w:noWrap/>
            <w:hideMark/>
          </w:tcPr>
          <w:p w:rsidR="006A47EB" w:rsidRPr="006A47EB" w:rsidRDefault="006A47EB" w:rsidP="006A47EB">
            <w:pPr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</w:pPr>
            <w:r w:rsidRPr="006A47EB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Status</w:t>
            </w:r>
          </w:p>
        </w:tc>
      </w:tr>
      <w:tr w:rsidR="006A47EB" w:rsidRPr="006A47EB" w:rsidTr="006A47EB">
        <w:tc>
          <w:tcPr>
            <w:tcW w:w="0" w:type="auto"/>
            <w:hideMark/>
          </w:tcPr>
          <w:p w:rsidR="006A47EB" w:rsidRPr="006A47EB" w:rsidRDefault="006A47EB" w:rsidP="006A47E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6A47E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Organisation</w:t>
            </w:r>
            <w:proofErr w:type="spellEnd"/>
            <w:r w:rsidRPr="006A47E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branding interface</w:t>
            </w:r>
          </w:p>
        </w:tc>
        <w:tc>
          <w:tcPr>
            <w:tcW w:w="0" w:type="auto"/>
            <w:hideMark/>
          </w:tcPr>
          <w:p w:rsidR="006A47EB" w:rsidRPr="006A47EB" w:rsidRDefault="006A47EB" w:rsidP="006A47E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6A47E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 Profile / Domains / Branding tabs (org + super admin)</w:t>
            </w:r>
          </w:p>
        </w:tc>
      </w:tr>
      <w:tr w:rsidR="006A47EB" w:rsidRPr="006A47EB" w:rsidTr="006A47EB">
        <w:tc>
          <w:tcPr>
            <w:tcW w:w="0" w:type="auto"/>
            <w:hideMark/>
          </w:tcPr>
          <w:p w:rsidR="006A47EB" w:rsidRPr="006A47EB" w:rsidRDefault="006A47EB" w:rsidP="006A47E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6A47E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Domain and alias management</w:t>
            </w:r>
          </w:p>
        </w:tc>
        <w:tc>
          <w:tcPr>
            <w:tcW w:w="0" w:type="auto"/>
            <w:hideMark/>
          </w:tcPr>
          <w:p w:rsidR="006A47EB" w:rsidRPr="006A47EB" w:rsidRDefault="006A47EB" w:rsidP="006A47E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6A47E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 register, primary, activate/deactivate, remove, custom-domain TXT check</w:t>
            </w:r>
          </w:p>
        </w:tc>
      </w:tr>
      <w:tr w:rsidR="006A47EB" w:rsidRPr="006A47EB" w:rsidTr="006A47EB">
        <w:tc>
          <w:tcPr>
            <w:tcW w:w="0" w:type="auto"/>
            <w:hideMark/>
          </w:tcPr>
          <w:p w:rsidR="006A47EB" w:rsidRPr="006A47EB" w:rsidRDefault="006A47EB" w:rsidP="006A47E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6A47E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Preview and publishing</w:t>
            </w:r>
          </w:p>
        </w:tc>
        <w:tc>
          <w:tcPr>
            <w:tcW w:w="0" w:type="auto"/>
            <w:hideMark/>
          </w:tcPr>
          <w:p w:rsidR="006A47EB" w:rsidRPr="006A47EB" w:rsidRDefault="006A47EB" w:rsidP="006A47E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6A47E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 save draft, preview login, publish</w:t>
            </w:r>
          </w:p>
        </w:tc>
      </w:tr>
      <w:tr w:rsidR="006A47EB" w:rsidRPr="006A47EB" w:rsidTr="006A47EB">
        <w:tc>
          <w:tcPr>
            <w:tcW w:w="0" w:type="auto"/>
            <w:hideMark/>
          </w:tcPr>
          <w:p w:rsidR="006A47EB" w:rsidRPr="006A47EB" w:rsidRDefault="006A47EB" w:rsidP="006A47E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6A47E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Permission checks</w:t>
            </w:r>
          </w:p>
        </w:tc>
        <w:tc>
          <w:tcPr>
            <w:tcW w:w="0" w:type="auto"/>
            <w:hideMark/>
          </w:tcPr>
          <w:p w:rsidR="006A47EB" w:rsidRPr="006A47EB" w:rsidRDefault="006A47EB" w:rsidP="006A47E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6A47E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 org </w:t>
            </w:r>
            <w:proofErr w:type="spellStart"/>
            <w:r w:rsidRPr="006A47E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organization.update</w:t>
            </w:r>
            <w:proofErr w:type="spellEnd"/>
            <w:r w:rsidRPr="006A47E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; platform </w:t>
            </w:r>
            <w:proofErr w:type="spellStart"/>
            <w:r w:rsidRPr="006A47E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platform.organizations.manage</w:t>
            </w:r>
            <w:proofErr w:type="spellEnd"/>
            <w:r w:rsidRPr="006A47E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; tested</w:t>
            </w:r>
          </w:p>
        </w:tc>
      </w:tr>
    </w:tbl>
    <w:p w:rsidR="0019306B" w:rsidRDefault="0019306B" w:rsidP="0019306B"/>
    <w:p w:rsidR="0019306B" w:rsidRDefault="0019306B" w:rsidP="0019306B">
      <w:r>
        <w:t xml:space="preserve">## </w:t>
      </w:r>
      <w:r w:rsidRPr="000250A6">
        <w:rPr>
          <w:b/>
        </w:rPr>
        <w:t>Production readiness — partial (by design for local)</w:t>
      </w:r>
    </w:p>
    <w:p w:rsidR="0019306B" w:rsidRDefault="0019306B" w:rsidP="001930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7"/>
        <w:gridCol w:w="7283"/>
      </w:tblGrid>
      <w:tr w:rsidR="000250A6" w:rsidRPr="000250A6" w:rsidTr="000250A6">
        <w:tc>
          <w:tcPr>
            <w:tcW w:w="0" w:type="auto"/>
            <w:noWrap/>
            <w:hideMark/>
          </w:tcPr>
          <w:p w:rsidR="000250A6" w:rsidRPr="000250A6" w:rsidRDefault="000250A6" w:rsidP="000250A6">
            <w:pPr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</w:pPr>
            <w:r w:rsidRPr="000250A6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Item</w:t>
            </w:r>
          </w:p>
        </w:tc>
        <w:tc>
          <w:tcPr>
            <w:tcW w:w="0" w:type="auto"/>
            <w:noWrap/>
            <w:hideMark/>
          </w:tcPr>
          <w:p w:rsidR="000250A6" w:rsidRPr="000250A6" w:rsidRDefault="000250A6" w:rsidP="000250A6">
            <w:pPr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</w:pPr>
            <w:r w:rsidRPr="000250A6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Status</w:t>
            </w:r>
          </w:p>
        </w:tc>
      </w:tr>
      <w:tr w:rsidR="000250A6" w:rsidRPr="000250A6" w:rsidTr="000250A6">
        <w:tc>
          <w:tcPr>
            <w:tcW w:w="0" w:type="auto"/>
            <w:hideMark/>
          </w:tcPr>
          <w:p w:rsidR="000250A6" w:rsidRPr="000250A6" w:rsidRDefault="000250A6" w:rsidP="000250A6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Queue and cache isolation</w:t>
            </w:r>
          </w:p>
        </w:tc>
        <w:tc>
          <w:tcPr>
            <w:tcW w:w="0" w:type="auto"/>
            <w:hideMark/>
          </w:tcPr>
          <w:p w:rsidR="000250A6" w:rsidRPr="000250A6" w:rsidRDefault="000250A6" w:rsidP="000250A6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Partial. Branding cache keys include </w:t>
            </w:r>
            <w:r w:rsidRPr="000250A6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organization</w:t>
            </w:r>
            <w:proofErr w:type="gramStart"/>
            <w:r w:rsidRPr="000250A6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.{</w:t>
            </w:r>
            <w:proofErr w:type="gramEnd"/>
            <w:r w:rsidRPr="000250A6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id}</w:t>
            </w:r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. Job pattern is </w:t>
            </w:r>
            <w:proofErr w:type="spellStart"/>
            <w:r w:rsidRPr="000250A6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IsTenantAware</w:t>
            </w:r>
            <w:proofErr w:type="spellEnd"/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 + </w:t>
            </w:r>
            <w:proofErr w:type="spellStart"/>
            <w:r w:rsidRPr="000250A6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RestoreTenantContext</w:t>
            </w:r>
            <w:proofErr w:type="spellEnd"/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. Only the sample job uses that trait; invitation mail is queued but </w:t>
            </w:r>
            <w:proofErr w:type="spellStart"/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serialises</w:t>
            </w:r>
            <w:proofErr w:type="spellEnd"/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its own invitation, so it does not restore tenant context.</w:t>
            </w:r>
          </w:p>
        </w:tc>
      </w:tr>
      <w:tr w:rsidR="000250A6" w:rsidRPr="000250A6" w:rsidTr="000250A6">
        <w:tc>
          <w:tcPr>
            <w:tcW w:w="0" w:type="auto"/>
            <w:hideMark/>
          </w:tcPr>
          <w:p w:rsidR="000250A6" w:rsidRPr="000250A6" w:rsidRDefault="000250A6" w:rsidP="000250A6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Long-running worker checks</w:t>
            </w:r>
          </w:p>
        </w:tc>
        <w:tc>
          <w:tcPr>
            <w:tcW w:w="0" w:type="auto"/>
            <w:hideMark/>
          </w:tcPr>
          <w:p w:rsidR="000250A6" w:rsidRPr="000250A6" w:rsidRDefault="000250A6" w:rsidP="000250A6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Partial. Octane was not installed. Context is a scoped binding with terminate/queue cleanup, and a test runs two sequential requests. That is Octane-safe code, not an Octane runtime test.</w:t>
            </w:r>
          </w:p>
        </w:tc>
      </w:tr>
      <w:tr w:rsidR="000250A6" w:rsidRPr="000250A6" w:rsidTr="000250A6">
        <w:tc>
          <w:tcPr>
            <w:tcW w:w="0" w:type="auto"/>
            <w:hideMark/>
          </w:tcPr>
          <w:p w:rsidR="000250A6" w:rsidRPr="000250A6" w:rsidRDefault="000250A6" w:rsidP="000250A6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DNS/SSL deployment documentation</w:t>
            </w:r>
          </w:p>
        </w:tc>
        <w:tc>
          <w:tcPr>
            <w:tcW w:w="0" w:type="auto"/>
            <w:hideMark/>
          </w:tcPr>
          <w:p w:rsidR="000250A6" w:rsidRPr="000250A6" w:rsidRDefault="000250A6" w:rsidP="000250A6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 </w:t>
            </w:r>
            <w:r w:rsidRPr="000250A6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.cursor/docs/implementation/dns-and-tls.md</w:t>
            </w:r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. No production DNS/TLS/proxy was changed.</w:t>
            </w:r>
          </w:p>
        </w:tc>
      </w:tr>
      <w:tr w:rsidR="000250A6" w:rsidRPr="000250A6" w:rsidTr="000250A6">
        <w:tc>
          <w:tcPr>
            <w:tcW w:w="0" w:type="auto"/>
            <w:hideMark/>
          </w:tcPr>
          <w:p w:rsidR="000250A6" w:rsidRPr="000250A6" w:rsidRDefault="000250A6" w:rsidP="000250A6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Performance and security testing</w:t>
            </w:r>
          </w:p>
        </w:tc>
        <w:tc>
          <w:tcPr>
            <w:tcW w:w="0" w:type="auto"/>
            <w:hideMark/>
          </w:tcPr>
          <w:p w:rsidR="000250A6" w:rsidRPr="000250A6" w:rsidRDefault="000250A6" w:rsidP="000250A6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Partial. Security is covered by automated tests (unknown host, unverified custom domain, reserved subdomains, cross-tenant 404s, </w:t>
            </w:r>
            <w:proofErr w:type="gramStart"/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host</w:t>
            </w:r>
            <w:proofErr w:type="gramEnd"/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-only sessions). There is no load test or production </w:t>
            </w:r>
            <w:proofErr w:type="spellStart"/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pentest</w:t>
            </w:r>
            <w:proofErr w:type="spellEnd"/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in this increment.</w:t>
            </w:r>
          </w:p>
        </w:tc>
      </w:tr>
    </w:tbl>
    <w:p w:rsidR="0019306B" w:rsidRDefault="0019306B" w:rsidP="0019306B"/>
    <w:p w:rsidR="0019306B" w:rsidRDefault="0019306B" w:rsidP="0019306B">
      <w:r>
        <w:t xml:space="preserve">## </w:t>
      </w:r>
      <w:r w:rsidRPr="003A0120">
        <w:rPr>
          <w:b/>
        </w:rPr>
        <w:t>Commit recommendation</w:t>
      </w:r>
    </w:p>
    <w:p w:rsidR="0019306B" w:rsidRDefault="0019306B" w:rsidP="0019306B"/>
    <w:p w:rsidR="0019306B" w:rsidRDefault="0019306B" w:rsidP="0019306B">
      <w:r>
        <w:t>**Yes — commit</w:t>
      </w:r>
      <w:proofErr w:type="gramStart"/>
      <w:r>
        <w:t>.*</w:t>
      </w:r>
      <w:proofErr w:type="gramEnd"/>
      <w:r>
        <w:t>* This is a complete hostname-tenancy slice for local/dev, with 158 tests passing last run.</w:t>
      </w:r>
    </w:p>
    <w:p w:rsidR="003A0120" w:rsidRPr="003A0120" w:rsidRDefault="003A0120" w:rsidP="003A0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A0120">
        <w:rPr>
          <w:rFonts w:ascii="Times New Roman" w:eastAsia="Times New Roman" w:hAnsi="Times New Roman" w:cs="Times New Roman"/>
          <w:kern w:val="0"/>
          <w14:ligatures w14:val="none"/>
        </w:rPr>
        <w:t>Yes — commit. This is a complete hostname-tenancy slice for local/dev, with 158 tests passing last run.</w:t>
      </w:r>
    </w:p>
    <w:p w:rsidR="003A0120" w:rsidRPr="003A0120" w:rsidRDefault="003A0120" w:rsidP="003A0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r w:rsidRPr="003A0120">
        <w:rPr>
          <w:rFonts w:ascii="Times New Roman" w:eastAsia="Times New Roman" w:hAnsi="Times New Roman" w:cs="Times New Roman"/>
          <w:b/>
          <w:kern w:val="0"/>
          <w14:ligatures w14:val="none"/>
        </w:rPr>
        <w:t>Leave for a follow-up, not this commit:</w:t>
      </w:r>
    </w:p>
    <w:p w:rsidR="003A0120" w:rsidRPr="003A0120" w:rsidRDefault="003A0120" w:rsidP="003A01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A0120">
        <w:rPr>
          <w:rFonts w:ascii="Times New Roman" w:eastAsia="Times New Roman" w:hAnsi="Times New Roman" w:cs="Times New Roman"/>
          <w:kern w:val="0"/>
          <w14:ligatures w14:val="none"/>
        </w:rPr>
        <w:t xml:space="preserve">Render the uploaded login image on the </w:t>
      </w:r>
      <w:proofErr w:type="spellStart"/>
      <w:r w:rsidRPr="003A0120">
        <w:rPr>
          <w:rFonts w:ascii="Times New Roman" w:eastAsia="Times New Roman" w:hAnsi="Times New Roman" w:cs="Times New Roman"/>
          <w:kern w:val="0"/>
          <w14:ligatures w14:val="none"/>
        </w:rPr>
        <w:t>auth</w:t>
      </w:r>
      <w:proofErr w:type="spellEnd"/>
      <w:r w:rsidRPr="003A0120">
        <w:rPr>
          <w:rFonts w:ascii="Times New Roman" w:eastAsia="Times New Roman" w:hAnsi="Times New Roman" w:cs="Times New Roman"/>
          <w:kern w:val="0"/>
          <w14:ligatures w14:val="none"/>
        </w:rPr>
        <w:t xml:space="preserve"> layout.</w:t>
      </w:r>
    </w:p>
    <w:p w:rsidR="003A0120" w:rsidRPr="003A0120" w:rsidRDefault="003A0120" w:rsidP="003A01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A0120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Apply tenant logo on mail templates (keep ORBIT attribution).</w:t>
      </w:r>
    </w:p>
    <w:p w:rsidR="003A0120" w:rsidRPr="003A0120" w:rsidRDefault="003A0120" w:rsidP="003A01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A0120">
        <w:rPr>
          <w:rFonts w:ascii="Times New Roman" w:eastAsia="Times New Roman" w:hAnsi="Times New Roman" w:cs="Times New Roman"/>
          <w:kern w:val="0"/>
          <w14:ligatures w14:val="none"/>
        </w:rPr>
        <w:t>Put </w:t>
      </w:r>
      <w:proofErr w:type="spellStart"/>
      <w:r w:rsidRPr="003A012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IsTenantAware</w:t>
      </w:r>
      <w:proofErr w:type="spellEnd"/>
      <w:r w:rsidRPr="003A0120">
        <w:rPr>
          <w:rFonts w:ascii="Times New Roman" w:eastAsia="Times New Roman" w:hAnsi="Times New Roman" w:cs="Times New Roman"/>
          <w:kern w:val="0"/>
          <w14:ligatures w14:val="none"/>
        </w:rPr>
        <w:t> on real queued tenant jobs as they appear.</w:t>
      </w:r>
    </w:p>
    <w:p w:rsidR="003A0120" w:rsidRPr="003A0120" w:rsidRDefault="003A0120" w:rsidP="003A01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A0120">
        <w:rPr>
          <w:rFonts w:ascii="Times New Roman" w:eastAsia="Times New Roman" w:hAnsi="Times New Roman" w:cs="Times New Roman"/>
          <w:kern w:val="0"/>
          <w14:ligatures w14:val="none"/>
        </w:rPr>
        <w:t>Install/run Octane only when you choose a production process model.</w:t>
      </w:r>
    </w:p>
    <w:p w:rsidR="003A0120" w:rsidRDefault="003A0120" w:rsidP="003A01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A0120">
        <w:rPr>
          <w:rFonts w:ascii="Times New Roman" w:eastAsia="Times New Roman" w:hAnsi="Times New Roman" w:cs="Times New Roman"/>
          <w:kern w:val="0"/>
          <w14:ligatures w14:val="none"/>
        </w:rPr>
        <w:t>Apply DNS/wildcard TLS when you deploy, using the doc.</w:t>
      </w:r>
    </w:p>
    <w:p w:rsidR="004451A4" w:rsidRPr="004451A4" w:rsidRDefault="004451A4" w:rsidP="004451A4">
      <w:pPr>
        <w:pStyle w:val="ListParagraph"/>
        <w:numPr>
          <w:ilvl w:val="0"/>
          <w:numId w:val="2"/>
        </w:numPr>
        <w:spacing w:before="240" w:after="0" w:line="240" w:lineRule="auto"/>
        <w:rPr>
          <w:rFonts w:ascii="Segoe UI" w:eastAsia="Times New Roman" w:hAnsi="Segoe UI" w:cs="Segoe UI"/>
          <w:kern w:val="0"/>
          <w:sz w:val="23"/>
          <w:szCs w:val="23"/>
          <w14:ligatures w14:val="none"/>
        </w:rPr>
      </w:pPr>
      <w:r w:rsidRPr="004451A4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Next milestone: Stage 4 attendance (QR sessions and field check-in), on these tenant hosts.</w:t>
      </w:r>
    </w:p>
    <w:p w:rsidR="004451A4" w:rsidRPr="003A0120" w:rsidRDefault="004451A4" w:rsidP="003A01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67770C" w:rsidRDefault="0067770C" w:rsidP="003A0120"/>
    <w:p w:rsidR="004B4A50" w:rsidRDefault="004B4A50" w:rsidP="003A0120"/>
    <w:p w:rsidR="004B4A50" w:rsidRDefault="004B4A50" w:rsidP="003A0120">
      <w:pPr>
        <w:pBdr>
          <w:top w:val="double" w:sz="6" w:space="1" w:color="auto"/>
          <w:bottom w:val="double" w:sz="6" w:space="1" w:color="auto"/>
        </w:pBdr>
      </w:pPr>
    </w:p>
    <w:p w:rsidR="004B4A50" w:rsidRPr="009669D2" w:rsidRDefault="009669D2" w:rsidP="003A0120">
      <w:pPr>
        <w:rPr>
          <w:b/>
        </w:rPr>
      </w:pPr>
      <w:r>
        <w:rPr>
          <w:b/>
        </w:rPr>
        <w:t xml:space="preserve">Commit </w:t>
      </w:r>
      <w:r w:rsidRPr="009669D2">
        <w:rPr>
          <w:b/>
        </w:rPr>
        <w:t>Review Comment addressed</w:t>
      </w:r>
    </w:p>
    <w:p w:rsidR="009669D2" w:rsidRDefault="009669D2" w:rsidP="009669D2">
      <w:pPr>
        <w:pStyle w:val="ui-markdownparagraph"/>
        <w:spacing w:before="240" w:beforeAutospacing="0" w:after="240" w:afterAutospacing="0" w:line="360" w:lineRule="atLeast"/>
        <w:rPr>
          <w:rFonts w:ascii="Segoe UI" w:hAnsi="Segoe UI" w:cs="Segoe UI"/>
          <w:color w:val="141414"/>
          <w:sz w:val="23"/>
          <w:szCs w:val="23"/>
        </w:rPr>
      </w:pPr>
      <w:r>
        <w:rPr>
          <w:rFonts w:ascii="Segoe UI" w:hAnsi="Segoe UI" w:cs="Segoe UI"/>
          <w:color w:val="141414"/>
          <w:sz w:val="23"/>
          <w:szCs w:val="23"/>
        </w:rPr>
        <w:t>Workspace backfill (not a migration). </w:t>
      </w:r>
      <w:proofErr w:type="spellStart"/>
      <w:r>
        <w:rPr>
          <w:rStyle w:val="HTMLCode"/>
          <w:rFonts w:ascii="Consolas" w:hAnsi="Consolas"/>
          <w:color w:val="141414"/>
          <w:sz w:val="21"/>
          <w:szCs w:val="21"/>
        </w:rPr>
        <w:t>OrganizationWorkspaceBackfillSeeder</w:t>
      </w:r>
      <w:proofErr w:type="spellEnd"/>
      <w:r>
        <w:rPr>
          <w:rFonts w:ascii="Segoe UI" w:hAnsi="Segoe UI" w:cs="Segoe UI"/>
          <w:color w:val="141414"/>
          <w:sz w:val="23"/>
          <w:szCs w:val="23"/>
        </w:rPr>
        <w:t> </w:t>
      </w:r>
      <w:proofErr w:type="spellStart"/>
      <w:r>
        <w:rPr>
          <w:rFonts w:ascii="Segoe UI" w:hAnsi="Segoe UI" w:cs="Segoe UI"/>
          <w:color w:val="141414"/>
          <w:sz w:val="23"/>
          <w:szCs w:val="23"/>
        </w:rPr>
        <w:t>idempotently</w:t>
      </w:r>
      <w:proofErr w:type="spellEnd"/>
      <w:r>
        <w:rPr>
          <w:rFonts w:ascii="Segoe UI" w:hAnsi="Segoe UI" w:cs="Segoe UI"/>
          <w:color w:val="141414"/>
          <w:sz w:val="23"/>
          <w:szCs w:val="23"/>
        </w:rPr>
        <w:t xml:space="preserve"> provisions a primary hostname, branding row, and storage directory for every existing </w:t>
      </w:r>
      <w:proofErr w:type="spellStart"/>
      <w:r>
        <w:rPr>
          <w:rFonts w:ascii="Segoe UI" w:hAnsi="Segoe UI" w:cs="Segoe UI"/>
          <w:color w:val="141414"/>
          <w:sz w:val="23"/>
          <w:szCs w:val="23"/>
        </w:rPr>
        <w:t>organisation</w:t>
      </w:r>
      <w:proofErr w:type="spellEnd"/>
      <w:r>
        <w:rPr>
          <w:rFonts w:ascii="Segoe UI" w:hAnsi="Segoe UI" w:cs="Segoe UI"/>
          <w:color w:val="141414"/>
          <w:sz w:val="23"/>
          <w:szCs w:val="23"/>
        </w:rPr>
        <w:t>. </w:t>
      </w:r>
      <w:proofErr w:type="spellStart"/>
      <w:r>
        <w:rPr>
          <w:rStyle w:val="HTMLCode"/>
          <w:rFonts w:ascii="Consolas" w:hAnsi="Consolas"/>
          <w:color w:val="141414"/>
          <w:sz w:val="21"/>
          <w:szCs w:val="21"/>
        </w:rPr>
        <w:t>DatabaseSeeder</w:t>
      </w:r>
      <w:proofErr w:type="spellEnd"/>
      <w:r>
        <w:rPr>
          <w:rFonts w:ascii="Segoe UI" w:hAnsi="Segoe UI" w:cs="Segoe UI"/>
          <w:color w:val="141414"/>
          <w:sz w:val="23"/>
          <w:szCs w:val="23"/>
        </w:rPr>
        <w:t> and </w:t>
      </w:r>
      <w:proofErr w:type="spellStart"/>
      <w:r>
        <w:rPr>
          <w:rStyle w:val="HTMLCode"/>
          <w:rFonts w:ascii="Consolas" w:hAnsi="Consolas"/>
          <w:color w:val="141414"/>
          <w:sz w:val="21"/>
          <w:szCs w:val="21"/>
        </w:rPr>
        <w:t>SystemDemoUserSeeder</w:t>
      </w:r>
      <w:proofErr w:type="spellEnd"/>
      <w:r>
        <w:rPr>
          <w:rFonts w:ascii="Segoe UI" w:hAnsi="Segoe UI" w:cs="Segoe UI"/>
          <w:color w:val="141414"/>
          <w:sz w:val="23"/>
          <w:szCs w:val="23"/>
        </w:rPr>
        <w:t> both call it. On an upgraded database run:</w:t>
      </w:r>
    </w:p>
    <w:p w:rsidR="009669D2" w:rsidRDefault="009669D2" w:rsidP="009669D2">
      <w:pPr>
        <w:pStyle w:val="ui-markdownparagraph"/>
        <w:spacing w:before="240" w:beforeAutospacing="0" w:after="240" w:afterAutospacing="0" w:line="360" w:lineRule="atLeast"/>
        <w:rPr>
          <w:rFonts w:ascii="Segoe UI" w:hAnsi="Segoe UI" w:cs="Segoe UI"/>
          <w:color w:val="141414"/>
          <w:sz w:val="23"/>
          <w:szCs w:val="23"/>
        </w:rPr>
      </w:pPr>
      <w:proofErr w:type="spellStart"/>
      <w:proofErr w:type="gramStart"/>
      <w:r>
        <w:rPr>
          <w:rStyle w:val="HTMLCode"/>
          <w:rFonts w:ascii="Consolas" w:hAnsi="Consolas"/>
          <w:color w:val="141414"/>
          <w:sz w:val="21"/>
          <w:szCs w:val="21"/>
        </w:rPr>
        <w:t>php</w:t>
      </w:r>
      <w:proofErr w:type="spellEnd"/>
      <w:proofErr w:type="gramEnd"/>
      <w:r>
        <w:rPr>
          <w:rStyle w:val="HTMLCode"/>
          <w:rFonts w:ascii="Consolas" w:hAnsi="Consolas"/>
          <w:color w:val="141414"/>
          <w:sz w:val="21"/>
          <w:szCs w:val="21"/>
        </w:rPr>
        <w:t xml:space="preserve"> artisan </w:t>
      </w:r>
      <w:proofErr w:type="spellStart"/>
      <w:r>
        <w:rPr>
          <w:rStyle w:val="HTMLCode"/>
          <w:rFonts w:ascii="Consolas" w:hAnsi="Consolas"/>
          <w:color w:val="141414"/>
          <w:sz w:val="21"/>
          <w:szCs w:val="21"/>
        </w:rPr>
        <w:t>db:seed</w:t>
      </w:r>
      <w:proofErr w:type="spellEnd"/>
      <w:r>
        <w:rPr>
          <w:rStyle w:val="HTMLCode"/>
          <w:rFonts w:ascii="Consolas" w:hAnsi="Consolas"/>
          <w:color w:val="141414"/>
          <w:sz w:val="21"/>
          <w:szCs w:val="21"/>
        </w:rPr>
        <w:t xml:space="preserve"> --class=</w:t>
      </w:r>
      <w:proofErr w:type="spellStart"/>
      <w:r>
        <w:rPr>
          <w:rStyle w:val="HTMLCode"/>
          <w:rFonts w:ascii="Consolas" w:hAnsi="Consolas"/>
          <w:color w:val="141414"/>
          <w:sz w:val="21"/>
          <w:szCs w:val="21"/>
        </w:rPr>
        <w:t>OrganizationWorkspaceBackfillSeeder</w:t>
      </w:r>
      <w:proofErr w:type="spellEnd"/>
    </w:p>
    <w:p w:rsidR="009669D2" w:rsidRDefault="009669D2" w:rsidP="009669D2">
      <w:pPr>
        <w:pStyle w:val="ui-markdownparagraph"/>
        <w:spacing w:before="240" w:beforeAutospacing="0" w:after="240" w:afterAutospacing="0" w:line="360" w:lineRule="atLeast"/>
        <w:rPr>
          <w:rFonts w:ascii="Segoe UI" w:hAnsi="Segoe UI" w:cs="Segoe UI"/>
          <w:color w:val="141414"/>
          <w:sz w:val="23"/>
          <w:szCs w:val="23"/>
        </w:rPr>
      </w:pPr>
      <w:r>
        <w:rPr>
          <w:rFonts w:ascii="Segoe UI" w:hAnsi="Segoe UI" w:cs="Segoe UI"/>
          <w:color w:val="141414"/>
          <w:sz w:val="23"/>
          <w:szCs w:val="23"/>
        </w:rPr>
        <w:t>Domains and cache. Changing the primary hostname forgets branding URLs immediately. Activate, deactivate, delete, and verify all evict </w:t>
      </w:r>
      <w:proofErr w:type="spellStart"/>
      <w:r>
        <w:rPr>
          <w:rStyle w:val="ui-markdowninline-path-filename"/>
          <w:rFonts w:ascii="Consolas" w:hAnsi="Consolas" w:cs="Courier New"/>
          <w:color w:val="141414"/>
          <w:sz w:val="21"/>
          <w:szCs w:val="21"/>
        </w:rPr>
        <w:t>organization.domains.trusted</w:t>
      </w:r>
      <w:proofErr w:type="spellEnd"/>
      <w:r>
        <w:rPr>
          <w:rStyle w:val="ui-markdowninline-path-filename"/>
          <w:rFonts w:ascii="Consolas" w:hAnsi="Consolas" w:cs="Courier New"/>
          <w:color w:val="141414"/>
          <w:sz w:val="21"/>
          <w:szCs w:val="21"/>
        </w:rPr>
        <w:t>-custom</w:t>
      </w:r>
      <w:r>
        <w:rPr>
          <w:rFonts w:ascii="Segoe UI" w:hAnsi="Segoe UI" w:cs="Segoe UI"/>
          <w:color w:val="141414"/>
          <w:sz w:val="23"/>
          <w:szCs w:val="23"/>
        </w:rPr>
        <w:t>. Hostname candidates longer than 63 characters fall through to a valid shorter label. Domain actions now return a specific next-step status (TXT record, trusted hosts refreshed, and so on).</w:t>
      </w:r>
    </w:p>
    <w:p w:rsidR="009669D2" w:rsidRDefault="009669D2" w:rsidP="009669D2">
      <w:pPr>
        <w:pStyle w:val="ui-markdownparagraph"/>
        <w:spacing w:before="240" w:beforeAutospacing="0" w:after="240" w:afterAutospacing="0" w:line="360" w:lineRule="atLeast"/>
        <w:rPr>
          <w:rFonts w:ascii="Segoe UI" w:hAnsi="Segoe UI" w:cs="Segoe UI"/>
          <w:color w:val="141414"/>
          <w:sz w:val="23"/>
          <w:szCs w:val="23"/>
        </w:rPr>
      </w:pPr>
      <w:r>
        <w:rPr>
          <w:rFonts w:ascii="Segoe UI" w:hAnsi="Segoe UI" w:cs="Segoe UI"/>
          <w:color w:val="141414"/>
          <w:sz w:val="23"/>
          <w:szCs w:val="23"/>
        </w:rPr>
        <w:t>Draft vs published assets. Draft uploads go to unique </w:t>
      </w:r>
      <w:r>
        <w:rPr>
          <w:rStyle w:val="ui-markdowninline-path-prefix"/>
          <w:rFonts w:ascii="Consolas" w:hAnsi="Consolas" w:cs="Courier New"/>
          <w:color w:val="141414"/>
          <w:sz w:val="21"/>
          <w:szCs w:val="21"/>
        </w:rPr>
        <w:t>branding/draft/</w:t>
      </w:r>
      <w:r>
        <w:rPr>
          <w:rFonts w:ascii="Segoe UI" w:hAnsi="Segoe UI" w:cs="Segoe UI"/>
          <w:color w:val="141414"/>
          <w:sz w:val="23"/>
          <w:szCs w:val="23"/>
        </w:rPr>
        <w:t> paths and never overwrite the live file. Publish copies the draft to the public slot, deletes the old published file and leftover drafts, and serves draft binaries only from </w:t>
      </w:r>
      <w:proofErr w:type="spellStart"/>
      <w:r>
        <w:rPr>
          <w:rStyle w:val="ui-markdowninline-path-filename"/>
          <w:rFonts w:ascii="Consolas" w:hAnsi="Consolas" w:cs="Courier New"/>
          <w:color w:val="141414"/>
          <w:sz w:val="21"/>
          <w:szCs w:val="21"/>
        </w:rPr>
        <w:t>branding.preview</w:t>
      </w:r>
      <w:proofErr w:type="spellEnd"/>
      <w:r>
        <w:rPr>
          <w:rStyle w:val="ui-markdowninline-path-filename"/>
          <w:rFonts w:ascii="Consolas" w:hAnsi="Consolas" w:cs="Courier New"/>
          <w:color w:val="141414"/>
          <w:sz w:val="21"/>
          <w:szCs w:val="21"/>
        </w:rPr>
        <w:t>-asset</w:t>
      </w:r>
      <w:r>
        <w:rPr>
          <w:rFonts w:ascii="Segoe UI" w:hAnsi="Segoe UI" w:cs="Segoe UI"/>
          <w:color w:val="141414"/>
          <w:sz w:val="23"/>
          <w:szCs w:val="23"/>
        </w:rPr>
        <w:t> (</w:t>
      </w:r>
      <w:proofErr w:type="spellStart"/>
      <w:r>
        <w:rPr>
          <w:rFonts w:ascii="Segoe UI" w:hAnsi="Segoe UI" w:cs="Segoe UI"/>
          <w:color w:val="141414"/>
          <w:sz w:val="23"/>
          <w:szCs w:val="23"/>
        </w:rPr>
        <w:t>auth</w:t>
      </w:r>
      <w:proofErr w:type="spellEnd"/>
      <w:r>
        <w:rPr>
          <w:rFonts w:ascii="Segoe UI" w:hAnsi="Segoe UI" w:cs="Segoe UI"/>
          <w:color w:val="141414"/>
          <w:sz w:val="23"/>
          <w:szCs w:val="23"/>
        </w:rPr>
        <w:t xml:space="preserve"> + </w:t>
      </w:r>
      <w:proofErr w:type="spellStart"/>
      <w:r>
        <w:rPr>
          <w:rStyle w:val="HTMLCode"/>
          <w:rFonts w:ascii="Consolas" w:hAnsi="Consolas"/>
          <w:color w:val="141414"/>
          <w:sz w:val="21"/>
          <w:szCs w:val="21"/>
        </w:rPr>
        <w:t>manageWorkspace</w:t>
      </w:r>
      <w:proofErr w:type="spellEnd"/>
      <w:r>
        <w:rPr>
          <w:rFonts w:ascii="Segoe UI" w:hAnsi="Segoe UI" w:cs="Segoe UI"/>
          <w:color w:val="141414"/>
          <w:sz w:val="23"/>
          <w:szCs w:val="23"/>
        </w:rPr>
        <w:t>). </w:t>
      </w:r>
      <w:r>
        <w:rPr>
          <w:rStyle w:val="ui-markdowninline-path-prefix"/>
          <w:rFonts w:ascii="Consolas" w:hAnsi="Consolas" w:cs="Courier New"/>
          <w:color w:val="141414"/>
          <w:sz w:val="21"/>
          <w:szCs w:val="21"/>
        </w:rPr>
        <w:t>/branding</w:t>
      </w:r>
      <w:proofErr w:type="gramStart"/>
      <w:r>
        <w:rPr>
          <w:rStyle w:val="ui-markdowninline-path-prefix"/>
          <w:rFonts w:ascii="Consolas" w:hAnsi="Consolas" w:cs="Courier New"/>
          <w:color w:val="141414"/>
          <w:sz w:val="21"/>
          <w:szCs w:val="21"/>
        </w:rPr>
        <w:t>/</w:t>
      </w:r>
      <w:r>
        <w:rPr>
          <w:rStyle w:val="ui-markdowninline-path-filename"/>
          <w:rFonts w:ascii="Consolas" w:hAnsi="Consolas" w:cs="Courier New"/>
          <w:color w:val="141414"/>
          <w:sz w:val="21"/>
          <w:szCs w:val="21"/>
        </w:rPr>
        <w:t>{</w:t>
      </w:r>
      <w:proofErr w:type="gramEnd"/>
      <w:r>
        <w:rPr>
          <w:rStyle w:val="ui-markdowninline-path-filename"/>
          <w:rFonts w:ascii="Consolas" w:hAnsi="Consolas" w:cs="Courier New"/>
          <w:color w:val="141414"/>
          <w:sz w:val="21"/>
          <w:szCs w:val="21"/>
        </w:rPr>
        <w:t>slot}</w:t>
      </w:r>
      <w:r>
        <w:rPr>
          <w:rFonts w:ascii="Segoe UI" w:hAnsi="Segoe UI" w:cs="Segoe UI"/>
          <w:color w:val="141414"/>
          <w:sz w:val="23"/>
          <w:szCs w:val="23"/>
        </w:rPr>
        <w:t> still reads published paths only.</w:t>
      </w:r>
    </w:p>
    <w:p w:rsidR="009669D2" w:rsidRDefault="009669D2" w:rsidP="009669D2">
      <w:pPr>
        <w:pStyle w:val="ui-markdownparagraph"/>
        <w:spacing w:before="240" w:beforeAutospacing="0" w:after="240" w:afterAutospacing="0" w:line="360" w:lineRule="atLeast"/>
        <w:rPr>
          <w:rFonts w:ascii="Segoe UI" w:hAnsi="Segoe UI" w:cs="Segoe UI"/>
          <w:color w:val="141414"/>
          <w:sz w:val="23"/>
          <w:szCs w:val="23"/>
        </w:rPr>
      </w:pPr>
      <w:proofErr w:type="spellStart"/>
      <w:r>
        <w:rPr>
          <w:rFonts w:ascii="Segoe UI" w:hAnsi="Segoe UI" w:cs="Segoe UI"/>
          <w:color w:val="141414"/>
          <w:sz w:val="23"/>
          <w:szCs w:val="23"/>
        </w:rPr>
        <w:t>Auth</w:t>
      </w:r>
      <w:proofErr w:type="spellEnd"/>
      <w:r>
        <w:rPr>
          <w:rFonts w:ascii="Segoe UI" w:hAnsi="Segoe UI" w:cs="Segoe UI"/>
          <w:color w:val="141414"/>
          <w:sz w:val="23"/>
          <w:szCs w:val="23"/>
        </w:rPr>
        <w:t>, tenancy, and invitations. Form actions stay on the hostname the visitor is using (aliases and secondary central hosts), so CSRF and host-only sessions hold. Invitation and notification mail still use the primary origin. Cross-host sign-in is rejected before </w:t>
      </w:r>
      <w:proofErr w:type="spellStart"/>
      <w:r>
        <w:rPr>
          <w:rStyle w:val="HTMLCode"/>
          <w:rFonts w:ascii="Consolas" w:hAnsi="Consolas"/>
          <w:color w:val="141414"/>
          <w:sz w:val="21"/>
          <w:szCs w:val="21"/>
        </w:rPr>
        <w:t>Auth</w:t>
      </w:r>
      <w:proofErr w:type="spellEnd"/>
      <w:r>
        <w:rPr>
          <w:rStyle w:val="HTMLCode"/>
          <w:rFonts w:ascii="Consolas" w:hAnsi="Consolas"/>
          <w:color w:val="141414"/>
          <w:sz w:val="21"/>
          <w:szCs w:val="21"/>
        </w:rPr>
        <w:t>::attempt</w:t>
      </w:r>
      <w:r>
        <w:rPr>
          <w:rFonts w:ascii="Segoe UI" w:hAnsi="Segoe UI" w:cs="Segoe UI"/>
          <w:color w:val="141414"/>
          <w:sz w:val="23"/>
          <w:szCs w:val="23"/>
        </w:rPr>
        <w:t>, so history records </w:t>
      </w:r>
      <w:r>
        <w:rPr>
          <w:rStyle w:val="HTMLCode"/>
          <w:rFonts w:ascii="Consolas" w:hAnsi="Consolas"/>
          <w:color w:val="141414"/>
          <w:sz w:val="21"/>
          <w:szCs w:val="21"/>
        </w:rPr>
        <w:t>failed</w:t>
      </w:r>
      <w:r>
        <w:rPr>
          <w:rFonts w:ascii="Segoe UI" w:hAnsi="Segoe UI" w:cs="Segoe UI"/>
          <w:color w:val="141414"/>
          <w:sz w:val="23"/>
          <w:szCs w:val="23"/>
        </w:rPr>
        <w:t> rather than </w:t>
      </w:r>
      <w:r>
        <w:rPr>
          <w:rStyle w:val="HTMLCode"/>
          <w:rFonts w:ascii="Consolas" w:hAnsi="Consolas"/>
          <w:color w:val="141414"/>
          <w:sz w:val="21"/>
          <w:szCs w:val="21"/>
        </w:rPr>
        <w:t>login</w:t>
      </w:r>
      <w:r>
        <w:rPr>
          <w:rFonts w:ascii="Segoe UI" w:hAnsi="Segoe UI" w:cs="Segoe UI"/>
          <w:color w:val="141414"/>
          <w:sz w:val="23"/>
          <w:szCs w:val="23"/>
        </w:rPr>
        <w:t> + </w:t>
      </w:r>
      <w:r>
        <w:rPr>
          <w:rStyle w:val="HTMLCode"/>
          <w:rFonts w:ascii="Consolas" w:hAnsi="Consolas"/>
          <w:color w:val="141414"/>
          <w:sz w:val="21"/>
          <w:szCs w:val="21"/>
        </w:rPr>
        <w:t>logout</w:t>
      </w:r>
      <w:r>
        <w:rPr>
          <w:rFonts w:ascii="Segoe UI" w:hAnsi="Segoe UI" w:cs="Segoe UI"/>
          <w:color w:val="141414"/>
          <w:sz w:val="23"/>
          <w:szCs w:val="23"/>
        </w:rPr>
        <w:t>. Invitation options now include every audience-allowed tenant role, including custom ones.</w:t>
      </w:r>
    </w:p>
    <w:p w:rsidR="009669D2" w:rsidRDefault="009669D2" w:rsidP="009669D2">
      <w:pPr>
        <w:pStyle w:val="ui-markdownparagraph"/>
        <w:spacing w:before="240" w:beforeAutospacing="0" w:after="240" w:afterAutospacing="0" w:line="360" w:lineRule="atLeast"/>
        <w:rPr>
          <w:rFonts w:ascii="Segoe UI" w:hAnsi="Segoe UI" w:cs="Segoe UI"/>
          <w:color w:val="141414"/>
          <w:sz w:val="23"/>
          <w:szCs w:val="23"/>
        </w:rPr>
      </w:pPr>
      <w:r>
        <w:rPr>
          <w:rFonts w:ascii="Segoe UI" w:hAnsi="Segoe UI" w:cs="Segoe UI"/>
          <w:color w:val="141414"/>
          <w:sz w:val="23"/>
          <w:szCs w:val="23"/>
        </w:rPr>
        <w:lastRenderedPageBreak/>
        <w:t>Branding preview and contrast. Preview applies every draft key, including </w:t>
      </w:r>
      <w:r>
        <w:rPr>
          <w:rStyle w:val="HTMLCode"/>
          <w:rFonts w:ascii="Consolas" w:hAnsi="Consolas"/>
          <w:color w:val="141414"/>
          <w:sz w:val="21"/>
          <w:szCs w:val="21"/>
        </w:rPr>
        <w:t>null</w:t>
      </w:r>
      <w:r>
        <w:rPr>
          <w:rFonts w:ascii="Segoe UI" w:hAnsi="Segoe UI" w:cs="Segoe UI"/>
          <w:color w:val="141414"/>
          <w:sz w:val="23"/>
          <w:szCs w:val="23"/>
        </w:rPr>
        <w:t> and draft asset paths, and shares that DTO across the layout/head/logo tree. </w:t>
      </w:r>
      <w:proofErr w:type="spellStart"/>
      <w:r>
        <w:rPr>
          <w:rStyle w:val="HTMLCode"/>
          <w:rFonts w:ascii="Consolas" w:hAnsi="Consolas"/>
          <w:color w:val="141414"/>
          <w:sz w:val="21"/>
          <w:szCs w:val="21"/>
        </w:rPr>
        <w:t>BrandColor</w:t>
      </w:r>
      <w:proofErr w:type="spellEnd"/>
      <w:r>
        <w:rPr>
          <w:rStyle w:val="HTMLCode"/>
          <w:rFonts w:ascii="Consolas" w:hAnsi="Consolas"/>
          <w:color w:val="141414"/>
          <w:sz w:val="21"/>
          <w:szCs w:val="21"/>
        </w:rPr>
        <w:t>::</w:t>
      </w:r>
      <w:proofErr w:type="gramStart"/>
      <w:r>
        <w:rPr>
          <w:rStyle w:val="HTMLCode"/>
          <w:rFonts w:ascii="Consolas" w:hAnsi="Consolas"/>
          <w:color w:val="141414"/>
          <w:sz w:val="21"/>
          <w:szCs w:val="21"/>
        </w:rPr>
        <w:t>ink(</w:t>
      </w:r>
      <w:proofErr w:type="gramEnd"/>
      <w:r>
        <w:rPr>
          <w:rStyle w:val="HTMLCode"/>
          <w:rFonts w:ascii="Consolas" w:hAnsi="Consolas"/>
          <w:color w:val="141414"/>
          <w:sz w:val="21"/>
          <w:szCs w:val="21"/>
        </w:rPr>
        <w:t>)</w:t>
      </w:r>
      <w:r>
        <w:rPr>
          <w:rFonts w:ascii="Segoe UI" w:hAnsi="Segoe UI" w:cs="Segoe UI"/>
          <w:color w:val="141414"/>
          <w:sz w:val="23"/>
          <w:szCs w:val="23"/>
        </w:rPr>
        <w:t> compares real contrast ratios and picks </w:t>
      </w:r>
      <w:r>
        <w:rPr>
          <w:rStyle w:val="HTMLCode"/>
          <w:rFonts w:ascii="Consolas" w:hAnsi="Consolas"/>
          <w:color w:val="141414"/>
          <w:sz w:val="21"/>
          <w:szCs w:val="21"/>
        </w:rPr>
        <w:t>#000000</w:t>
      </w:r>
      <w:r>
        <w:rPr>
          <w:rFonts w:ascii="Segoe UI" w:hAnsi="Segoe UI" w:cs="Segoe UI"/>
          <w:color w:val="141414"/>
          <w:sz w:val="23"/>
          <w:szCs w:val="23"/>
        </w:rPr>
        <w:t> or </w:t>
      </w:r>
      <w:r>
        <w:rPr>
          <w:rStyle w:val="HTMLCode"/>
          <w:rFonts w:ascii="Consolas" w:hAnsi="Consolas"/>
          <w:color w:val="141414"/>
          <w:sz w:val="21"/>
          <w:szCs w:val="21"/>
        </w:rPr>
        <w:t>#FFFFFF</w:t>
      </w:r>
      <w:r>
        <w:rPr>
          <w:rFonts w:ascii="Segoe UI" w:hAnsi="Segoe UI" w:cs="Segoe UI"/>
          <w:color w:val="141414"/>
          <w:sz w:val="23"/>
          <w:szCs w:val="23"/>
        </w:rPr>
        <w:t> (red </w:t>
      </w:r>
      <w:r>
        <w:rPr>
          <w:rStyle w:val="HTMLCode"/>
          <w:rFonts w:ascii="Consolas" w:hAnsi="Consolas"/>
          <w:color w:val="141414"/>
          <w:sz w:val="21"/>
          <w:szCs w:val="21"/>
        </w:rPr>
        <w:t>#FF0000</w:t>
      </w:r>
      <w:r>
        <w:rPr>
          <w:rFonts w:ascii="Segoe UI" w:hAnsi="Segoe UI" w:cs="Segoe UI"/>
          <w:color w:val="141414"/>
          <w:sz w:val="23"/>
          <w:szCs w:val="23"/>
        </w:rPr>
        <w:t> now gets black at 5.25:1). The branding factory reuses the provisioned row instead of inserting a second one.</w:t>
      </w:r>
    </w:p>
    <w:p w:rsidR="009669D2" w:rsidRDefault="009669D2" w:rsidP="009669D2">
      <w:pPr>
        <w:pStyle w:val="ui-markdownparagraph"/>
        <w:spacing w:before="240" w:beforeAutospacing="0" w:after="240" w:afterAutospacing="0" w:line="360" w:lineRule="atLeast"/>
        <w:rPr>
          <w:rFonts w:ascii="Segoe UI" w:hAnsi="Segoe UI" w:cs="Segoe UI"/>
          <w:color w:val="141414"/>
          <w:sz w:val="23"/>
          <w:szCs w:val="23"/>
        </w:rPr>
      </w:pPr>
      <w:r>
        <w:rPr>
          <w:rFonts w:ascii="Segoe UI" w:hAnsi="Segoe UI" w:cs="Segoe UI"/>
          <w:color w:val="141414"/>
          <w:sz w:val="23"/>
          <w:szCs w:val="23"/>
        </w:rPr>
        <w:t>UI. </w:t>
      </w:r>
      <w:proofErr w:type="spellStart"/>
      <w:r>
        <w:rPr>
          <w:rFonts w:ascii="Segoe UI" w:hAnsi="Segoe UI" w:cs="Segoe UI"/>
          <w:color w:val="141414"/>
          <w:sz w:val="23"/>
          <w:szCs w:val="23"/>
        </w:rPr>
        <w:t>Colour</w:t>
      </w:r>
      <w:proofErr w:type="spellEnd"/>
      <w:r>
        <w:rPr>
          <w:rFonts w:ascii="Segoe UI" w:hAnsi="Segoe UI" w:cs="Segoe UI"/>
          <w:color w:val="141414"/>
          <w:sz w:val="23"/>
          <w:szCs w:val="23"/>
        </w:rPr>
        <w:t xml:space="preserve"> pickers have their own accessible name. Branding CSS variables emit after </w:t>
      </w:r>
      <w:r>
        <w:rPr>
          <w:rStyle w:val="HTMLCode"/>
          <w:rFonts w:ascii="Consolas" w:hAnsi="Consolas"/>
          <w:color w:val="141414"/>
          <w:sz w:val="21"/>
          <w:szCs w:val="21"/>
        </w:rPr>
        <w:t>@</w:t>
      </w:r>
      <w:proofErr w:type="spellStart"/>
      <w:r>
        <w:rPr>
          <w:rStyle w:val="HTMLCode"/>
          <w:rFonts w:ascii="Consolas" w:hAnsi="Consolas"/>
          <w:color w:val="141414"/>
          <w:sz w:val="21"/>
          <w:szCs w:val="21"/>
        </w:rPr>
        <w:t>vite</w:t>
      </w:r>
      <w:proofErr w:type="spellEnd"/>
      <w:r>
        <w:rPr>
          <w:rFonts w:ascii="Segoe UI" w:hAnsi="Segoe UI" w:cs="Segoe UI"/>
          <w:color w:val="141414"/>
          <w:sz w:val="23"/>
          <w:szCs w:val="23"/>
        </w:rPr>
        <w:t xml:space="preserve"> on </w:t>
      </w:r>
      <w:proofErr w:type="gramStart"/>
      <w:r>
        <w:rPr>
          <w:rFonts w:ascii="Segoe UI" w:hAnsi="Segoe UI" w:cs="Segoe UI"/>
          <w:color w:val="141414"/>
          <w:sz w:val="23"/>
          <w:szCs w:val="23"/>
        </w:rPr>
        <w:t>both </w:t>
      </w:r>
      <w:r>
        <w:rPr>
          <w:rStyle w:val="HTMLCode"/>
          <w:rFonts w:ascii="Consolas" w:hAnsi="Consolas"/>
          <w:color w:val="141414"/>
          <w:sz w:val="21"/>
          <w:szCs w:val="21"/>
        </w:rPr>
        <w:t>:root</w:t>
      </w:r>
      <w:proofErr w:type="gramEnd"/>
      <w:r>
        <w:rPr>
          <w:rFonts w:ascii="Segoe UI" w:hAnsi="Segoe UI" w:cs="Segoe UI"/>
          <w:color w:val="141414"/>
          <w:sz w:val="23"/>
          <w:szCs w:val="23"/>
        </w:rPr>
        <w:t> and </w:t>
      </w:r>
      <w:r>
        <w:rPr>
          <w:rStyle w:val="HTMLCode"/>
          <w:rFonts w:ascii="Consolas" w:hAnsi="Consolas"/>
          <w:color w:val="141414"/>
          <w:sz w:val="21"/>
          <w:szCs w:val="21"/>
        </w:rPr>
        <w:t>[data-theme='plum']</w:t>
      </w:r>
      <w:r>
        <w:rPr>
          <w:rFonts w:ascii="Segoe UI" w:hAnsi="Segoe UI" w:cs="Segoe UI"/>
          <w:color w:val="141414"/>
          <w:sz w:val="23"/>
          <w:szCs w:val="23"/>
        </w:rPr>
        <w:t>. Locked themes hide the toggle and </w:t>
      </w:r>
      <w:r>
        <w:rPr>
          <w:rStyle w:val="ui-markdowninline-path-filename"/>
          <w:rFonts w:ascii="Consolas" w:hAnsi="Consolas" w:cs="Courier New"/>
          <w:color w:val="141414"/>
          <w:sz w:val="21"/>
          <w:szCs w:val="21"/>
        </w:rPr>
        <w:t>theme.js</w:t>
      </w:r>
      <w:r>
        <w:rPr>
          <w:rFonts w:ascii="Segoe UI" w:hAnsi="Segoe UI" w:cs="Segoe UI"/>
          <w:color w:val="141414"/>
          <w:sz w:val="23"/>
          <w:szCs w:val="23"/>
        </w:rPr>
        <w:t xml:space="preserve"> refuses to switch. The login panel image renders on the </w:t>
      </w:r>
      <w:proofErr w:type="spellStart"/>
      <w:r>
        <w:rPr>
          <w:rFonts w:ascii="Segoe UI" w:hAnsi="Segoe UI" w:cs="Segoe UI"/>
          <w:color w:val="141414"/>
          <w:sz w:val="23"/>
          <w:szCs w:val="23"/>
        </w:rPr>
        <w:t>auth</w:t>
      </w:r>
      <w:proofErr w:type="spellEnd"/>
      <w:r>
        <w:rPr>
          <w:rFonts w:ascii="Segoe UI" w:hAnsi="Segoe UI" w:cs="Segoe UI"/>
          <w:color w:val="141414"/>
          <w:sz w:val="23"/>
          <w:szCs w:val="23"/>
        </w:rPr>
        <w:t xml:space="preserve"> aside. Tenant-facing Terms, Privacy, guide, and support links use </w:t>
      </w:r>
      <w:r>
        <w:rPr>
          <w:rStyle w:val="HTMLCode"/>
          <w:rFonts w:ascii="Consolas" w:hAnsi="Consolas"/>
          <w:color w:val="141414"/>
          <w:sz w:val="21"/>
          <w:szCs w:val="21"/>
        </w:rPr>
        <w:t>Origin::</w:t>
      </w:r>
      <w:proofErr w:type="spellStart"/>
      <w:proofErr w:type="gramStart"/>
      <w:r>
        <w:rPr>
          <w:rStyle w:val="HTMLCode"/>
          <w:rFonts w:ascii="Consolas" w:hAnsi="Consolas"/>
          <w:color w:val="141414"/>
          <w:sz w:val="21"/>
          <w:szCs w:val="21"/>
        </w:rPr>
        <w:t>centralUrl</w:t>
      </w:r>
      <w:proofErr w:type="spellEnd"/>
      <w:r>
        <w:rPr>
          <w:rStyle w:val="HTMLCode"/>
          <w:rFonts w:ascii="Consolas" w:hAnsi="Consolas"/>
          <w:color w:val="141414"/>
          <w:sz w:val="21"/>
          <w:szCs w:val="21"/>
        </w:rPr>
        <w:t>(</w:t>
      </w:r>
      <w:proofErr w:type="gramEnd"/>
      <w:r>
        <w:rPr>
          <w:rStyle w:val="HTMLCode"/>
          <w:rFonts w:ascii="Consolas" w:hAnsi="Consolas"/>
          <w:color w:val="141414"/>
          <w:sz w:val="21"/>
          <w:szCs w:val="21"/>
        </w:rPr>
        <w:t>)</w:t>
      </w:r>
      <w:r>
        <w:rPr>
          <w:rFonts w:ascii="Segoe UI" w:hAnsi="Segoe UI" w:cs="Segoe UI"/>
          <w:color w:val="141414"/>
          <w:sz w:val="23"/>
          <w:szCs w:val="23"/>
        </w:rPr>
        <w:t>.</w:t>
      </w:r>
    </w:p>
    <w:p w:rsidR="009669D2" w:rsidRDefault="009669D2" w:rsidP="009669D2">
      <w:pPr>
        <w:pStyle w:val="ui-markdownparagraph"/>
        <w:spacing w:before="240" w:beforeAutospacing="0" w:after="0" w:afterAutospacing="0" w:line="360" w:lineRule="atLeast"/>
        <w:rPr>
          <w:rFonts w:ascii="Segoe UI" w:hAnsi="Segoe UI" w:cs="Segoe UI"/>
          <w:color w:val="141414"/>
          <w:sz w:val="23"/>
          <w:szCs w:val="23"/>
        </w:rPr>
      </w:pPr>
      <w:r>
        <w:rPr>
          <w:rFonts w:ascii="Segoe UI" w:hAnsi="Segoe UI" w:cs="Segoe UI"/>
          <w:color w:val="141414"/>
          <w:sz w:val="23"/>
          <w:szCs w:val="23"/>
        </w:rPr>
        <w:t xml:space="preserve">I reloaded the local login screen: footer links go to the central origin, the branding override stylesheet is after </w:t>
      </w:r>
      <w:proofErr w:type="spellStart"/>
      <w:r>
        <w:rPr>
          <w:rFonts w:ascii="Segoe UI" w:hAnsi="Segoe UI" w:cs="Segoe UI"/>
          <w:color w:val="141414"/>
          <w:sz w:val="23"/>
          <w:szCs w:val="23"/>
        </w:rPr>
        <w:t>Vite</w:t>
      </w:r>
      <w:proofErr w:type="spellEnd"/>
      <w:r>
        <w:rPr>
          <w:rFonts w:ascii="Segoe UI" w:hAnsi="Segoe UI" w:cs="Segoe UI"/>
          <w:color w:val="141414"/>
          <w:sz w:val="23"/>
          <w:szCs w:val="23"/>
        </w:rPr>
        <w:t>, and </w:t>
      </w:r>
      <w:proofErr w:type="spellStart"/>
      <w:r>
        <w:rPr>
          <w:rStyle w:val="HTMLCode"/>
          <w:rFonts w:ascii="Consolas" w:hAnsi="Consolas"/>
          <w:color w:val="141414"/>
          <w:sz w:val="21"/>
          <w:szCs w:val="21"/>
        </w:rPr>
        <w:t>themeLock</w:t>
      </w:r>
      <w:proofErr w:type="spellEnd"/>
      <w:r>
        <w:rPr>
          <w:rFonts w:ascii="Segoe UI" w:hAnsi="Segoe UI" w:cs="Segoe UI"/>
          <w:color w:val="141414"/>
          <w:sz w:val="23"/>
          <w:szCs w:val="23"/>
        </w:rPr>
        <w:t xml:space="preserve"> is set on the document. I could not sign back in on that serve process, so locked-theme hide, login-panel image, and the branding </w:t>
      </w:r>
      <w:proofErr w:type="spellStart"/>
      <w:r>
        <w:rPr>
          <w:rFonts w:ascii="Segoe UI" w:hAnsi="Segoe UI" w:cs="Segoe UI"/>
          <w:color w:val="141414"/>
          <w:sz w:val="23"/>
          <w:szCs w:val="23"/>
        </w:rPr>
        <w:t>colour</w:t>
      </w:r>
      <w:proofErr w:type="spellEnd"/>
      <w:r>
        <w:rPr>
          <w:rFonts w:ascii="Segoe UI" w:hAnsi="Segoe UI" w:cs="Segoe UI"/>
          <w:color w:val="141414"/>
          <w:sz w:val="23"/>
          <w:szCs w:val="23"/>
        </w:rPr>
        <w:t xml:space="preserve"> picker were verified in tests rather than clicked end-to-end in the browser.</w:t>
      </w:r>
    </w:p>
    <w:p w:rsidR="009669D2" w:rsidRDefault="009669D2" w:rsidP="009669D2">
      <w:pPr>
        <w:pStyle w:val="ui-markdownparagraph"/>
        <w:spacing w:before="0" w:beforeAutospacing="0" w:after="0" w:afterAutospacing="0" w:line="360" w:lineRule="atLeast"/>
        <w:rPr>
          <w:rFonts w:ascii="Segoe UI" w:hAnsi="Segoe UI" w:cs="Segoe UI"/>
          <w:color w:val="141414"/>
          <w:sz w:val="23"/>
          <w:szCs w:val="23"/>
        </w:rPr>
      </w:pPr>
      <w:r>
        <w:rPr>
          <w:rFonts w:ascii="Segoe UI" w:hAnsi="Segoe UI" w:cs="Segoe UI"/>
          <w:color w:val="141414"/>
          <w:sz w:val="23"/>
          <w:szCs w:val="23"/>
        </w:rPr>
        <w:t>Pint finished cleanly on the remaining dirty files — no further formatting changes. The review pass is still in the state from the last run: 175 tests passed.</w:t>
      </w:r>
    </w:p>
    <w:p w:rsidR="00DE3771" w:rsidRDefault="00DE3771" w:rsidP="009669D2">
      <w:pPr>
        <w:pStyle w:val="ui-markdownparagraph"/>
        <w:spacing w:before="0" w:beforeAutospacing="0" w:after="0" w:afterAutospacing="0" w:line="360" w:lineRule="atLeast"/>
        <w:rPr>
          <w:rFonts w:ascii="Segoe UI" w:hAnsi="Segoe UI" w:cs="Segoe UI"/>
          <w:color w:val="141414"/>
          <w:sz w:val="23"/>
          <w:szCs w:val="23"/>
        </w:rPr>
      </w:pPr>
    </w:p>
    <w:p w:rsidR="00DE3771" w:rsidRDefault="00DE3771" w:rsidP="009669D2">
      <w:pPr>
        <w:pStyle w:val="ui-markdownparagraph"/>
        <w:pBdr>
          <w:top w:val="double" w:sz="6" w:space="1" w:color="auto"/>
          <w:bottom w:val="double" w:sz="6" w:space="1" w:color="auto"/>
        </w:pBdr>
        <w:spacing w:before="0" w:beforeAutospacing="0" w:after="0" w:afterAutospacing="0" w:line="360" w:lineRule="atLeast"/>
        <w:rPr>
          <w:rFonts w:ascii="Segoe UI" w:hAnsi="Segoe UI" w:cs="Segoe UI"/>
          <w:color w:val="141414"/>
          <w:sz w:val="23"/>
          <w:szCs w:val="23"/>
        </w:rPr>
      </w:pPr>
    </w:p>
    <w:p w:rsidR="00DE3771" w:rsidRDefault="00DE3771" w:rsidP="009669D2">
      <w:pPr>
        <w:pStyle w:val="ui-markdownparagraph"/>
        <w:spacing w:before="0" w:beforeAutospacing="0" w:after="0" w:afterAutospacing="0" w:line="360" w:lineRule="atLeast"/>
        <w:rPr>
          <w:rFonts w:ascii="Segoe UI" w:hAnsi="Segoe UI" w:cs="Segoe UI"/>
          <w:color w:val="141414"/>
          <w:sz w:val="23"/>
          <w:szCs w:val="23"/>
        </w:rPr>
      </w:pPr>
      <w:bookmarkStart w:id="0" w:name="_GoBack"/>
      <w:bookmarkEnd w:id="0"/>
    </w:p>
    <w:p w:rsidR="009669D2" w:rsidRDefault="009669D2" w:rsidP="003A0120"/>
    <w:sectPr w:rsidR="009669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46B0BC6"/>
    <w:multiLevelType w:val="multilevel"/>
    <w:tmpl w:val="C4847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827407"/>
    <w:multiLevelType w:val="multilevel"/>
    <w:tmpl w:val="FB7C8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DC4258"/>
    <w:multiLevelType w:val="multilevel"/>
    <w:tmpl w:val="FD380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681B8B"/>
    <w:multiLevelType w:val="multilevel"/>
    <w:tmpl w:val="931E6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306B"/>
    <w:rsid w:val="000250A6"/>
    <w:rsid w:val="00051561"/>
    <w:rsid w:val="0019306B"/>
    <w:rsid w:val="001A69EF"/>
    <w:rsid w:val="003A0120"/>
    <w:rsid w:val="00434060"/>
    <w:rsid w:val="004451A4"/>
    <w:rsid w:val="004B4A50"/>
    <w:rsid w:val="004C232A"/>
    <w:rsid w:val="0067770C"/>
    <w:rsid w:val="006A47EB"/>
    <w:rsid w:val="008E1009"/>
    <w:rsid w:val="008E2542"/>
    <w:rsid w:val="009669D2"/>
    <w:rsid w:val="00A3371F"/>
    <w:rsid w:val="00BE16D9"/>
    <w:rsid w:val="00D90F87"/>
    <w:rsid w:val="00DE3771"/>
    <w:rsid w:val="00E70152"/>
    <w:rsid w:val="00F0062A"/>
    <w:rsid w:val="00FA5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82F7869-BB0F-4302-9959-6F296664C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451A4"/>
  </w:style>
  <w:style w:type="paragraph" w:styleId="Heading2">
    <w:name w:val="heading 2"/>
    <w:basedOn w:val="Normal"/>
    <w:link w:val="Heading2Char"/>
    <w:uiPriority w:val="9"/>
    <w:qFormat/>
    <w:rsid w:val="004C232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19306B"/>
    <w:rPr>
      <w:rFonts w:ascii="Courier New" w:eastAsia="Times New Roman" w:hAnsi="Courier New" w:cs="Courier New"/>
      <w:sz w:val="20"/>
      <w:szCs w:val="20"/>
    </w:rPr>
  </w:style>
  <w:style w:type="character" w:customStyle="1" w:styleId="ui-markdowninline-path-prefix">
    <w:name w:val="ui-markdown__inline-path-prefix"/>
    <w:basedOn w:val="DefaultParagraphFont"/>
    <w:rsid w:val="0019306B"/>
  </w:style>
  <w:style w:type="character" w:customStyle="1" w:styleId="ui-markdowninline-path-filename">
    <w:name w:val="ui-markdown__inline-path-filename"/>
    <w:basedOn w:val="DefaultParagraphFont"/>
    <w:rsid w:val="0019306B"/>
  </w:style>
  <w:style w:type="table" w:styleId="PlainTable1">
    <w:name w:val="Plain Table 1"/>
    <w:basedOn w:val="TableNormal"/>
    <w:uiPriority w:val="41"/>
    <w:rsid w:val="0019306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1930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ui-markdownparagraph">
    <w:name w:val="ui-markdown__paragraph"/>
    <w:basedOn w:val="Normal"/>
    <w:rsid w:val="000515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4C232A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4451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038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89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21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15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28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85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37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4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27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3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75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87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84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77570">
          <w:marLeft w:val="0"/>
          <w:marRight w:val="0"/>
          <w:marTop w:val="180"/>
          <w:marBottom w:val="18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8618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474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635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8438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5722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3123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1395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4869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2581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0119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3730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2042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3608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1391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989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22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6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757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716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944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8308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779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301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28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816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924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4589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281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0636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224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8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41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24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22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5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77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96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04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3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88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91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9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69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01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1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54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5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2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8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89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21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24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6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86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91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07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20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91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27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096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90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81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1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3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34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61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86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62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7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7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0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47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98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1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92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11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05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682</TotalTime>
  <Pages>7</Pages>
  <Words>1753</Words>
  <Characters>9995</Characters>
  <Application>Microsoft Office Word</Application>
  <DocSecurity>0</DocSecurity>
  <Lines>83</Lines>
  <Paragraphs>23</Paragraphs>
  <ScaleCrop>false</ScaleCrop>
  <Company/>
  <LinksUpToDate>false</LinksUpToDate>
  <CharactersWithSpaces>11725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19</cp:revision>
  <dcterms:created xsi:type="dcterms:W3CDTF">2026-10-31T07:13:00Z</dcterms:created>
  <dcterms:modified xsi:type="dcterms:W3CDTF">2026-10-31T18:35:00Z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f8d1bb71-1b6d-46c3-9726-2f91fe4feba9</vt:lpwstr>
  </property>
</Properties>
</file>