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F87" w:rsidRDefault="00D90F87" w:rsidP="00D90F87">
      <w:pPr>
        <w:pStyle w:val="ui-markdownparagraph"/>
      </w:pPr>
      <w:r>
        <w:rPr>
          <w:b/>
        </w:rPr>
        <w:br/>
      </w:r>
      <w:proofErr w:type="spellStart"/>
      <w:r w:rsidR="008E1009">
        <w:rPr>
          <w:b/>
        </w:rPr>
        <w:t>WorkSpace</w:t>
      </w:r>
      <w:proofErr w:type="spellEnd"/>
      <w:r w:rsidR="008E1009">
        <w:rPr>
          <w:b/>
        </w:rPr>
        <w:t xml:space="preserve"> Refined</w:t>
      </w:r>
      <w:r>
        <w:rPr>
          <w:b/>
        </w:rPr>
        <w:br/>
      </w:r>
      <w:r>
        <w:t xml:space="preserve">The workspace now has a fixed left </w:t>
      </w:r>
      <w:proofErr w:type="spellStart"/>
      <w:r>
        <w:t>navbar</w:t>
      </w:r>
      <w:proofErr w:type="spellEnd"/>
      <w:r>
        <w:t xml:space="preserve">, separated staff vs users, and role/permission management with platform and </w:t>
      </w:r>
      <w:proofErr w:type="spellStart"/>
      <w:r>
        <w:t>organisation</w:t>
      </w:r>
      <w:proofErr w:type="spellEnd"/>
      <w:r>
        <w:t xml:space="preserve"> consoles kept on different routes.</w:t>
      </w:r>
    </w:p>
    <w:p w:rsidR="00D90F87" w:rsidRDefault="00D90F87" w:rsidP="00D90F87">
      <w:pPr>
        <w:pStyle w:val="ui-markdownparagraph"/>
      </w:pPr>
      <w:r>
        <w:t>Email. HTML mail uses the light ORBIT lockup (</w:t>
      </w:r>
      <w:r>
        <w:rPr>
          <w:rStyle w:val="ui-markdowninline-path-prefix"/>
          <w:rFonts w:ascii="Courier New" w:hAnsi="Courier New" w:cs="Courier New"/>
          <w:sz w:val="20"/>
          <w:szCs w:val="20"/>
        </w:rPr>
        <w:t>public/images/brand/</w:t>
      </w:r>
      <w:r>
        <w:rPr>
          <w:rStyle w:val="ui-markdowninline-path-filename"/>
          <w:rFonts w:ascii="Courier New" w:hAnsi="Courier New" w:cs="Courier New"/>
          <w:sz w:val="20"/>
          <w:szCs w:val="20"/>
        </w:rPr>
        <w:t>orbit-lockup-light.png</w:t>
      </w:r>
      <w:r>
        <w:t>) with </w:t>
      </w:r>
      <w:r>
        <w:rPr>
          <w:rStyle w:val="HTMLCode"/>
        </w:rPr>
        <w:t>alt="ORBIT"</w:t>
      </w:r>
      <w:r>
        <w:t xml:space="preserve">. </w:t>
      </w:r>
      <w:proofErr w:type="spellStart"/>
      <w:r>
        <w:t>Auth</w:t>
      </w:r>
      <w:proofErr w:type="spellEnd"/>
      <w:r>
        <w:t xml:space="preserve"> and the landing CTA already use the dark lockup.</w:t>
      </w:r>
    </w:p>
    <w:p w:rsidR="00D90F87" w:rsidRDefault="00D90F87" w:rsidP="00D90F87">
      <w:pPr>
        <w:pStyle w:val="ui-markdownparagraph"/>
      </w:pPr>
      <w:r>
        <w:t xml:space="preserve">UI. Cards sit on a floating shadow and lift on hover. Buttons use a pointer cursor (including checkbox labels). Public, </w:t>
      </w:r>
      <w:proofErr w:type="spellStart"/>
      <w:r>
        <w:t>auth</w:t>
      </w:r>
      <w:proofErr w:type="spellEnd"/>
      <w:r>
        <w:t>, and dashboard surfaces were brought in line with that.</w:t>
      </w:r>
    </w:p>
    <w:p w:rsidR="00D90F87" w:rsidRDefault="00D90F87" w:rsidP="00D90F87">
      <w:pPr>
        <w:pStyle w:val="ui-markdownparagraph"/>
      </w:pPr>
      <w:r>
        <w:t>Dashboards and nav. The sidebar is </w:t>
      </w:r>
      <w:r>
        <w:rPr>
          <w:rStyle w:val="HTMLCode"/>
        </w:rPr>
        <w:t>fixed</w:t>
      </w:r>
      <w:r>
        <w:t xml:space="preserve"> so it does not scroll with the page; the </w:t>
      </w:r>
      <w:proofErr w:type="spellStart"/>
      <w:r>
        <w:t>nav</w:t>
      </w:r>
      <w:proofErr w:type="spellEnd"/>
      <w:r>
        <w:t xml:space="preserve"> list scrolls on its own. Sections are labelled. Users &amp; access and Audit &amp; security expand. Planned modules are real routes with a Soon badge and a labelled placeholder (no dead links). The drawer works on phones, including body scroll lock.</w:t>
      </w:r>
    </w:p>
    <w:p w:rsidR="00D90F87" w:rsidRDefault="00D90F87" w:rsidP="00D90F87">
      <w:pPr>
        <w:pStyle w:val="ui-markdownparagraph"/>
      </w:pPr>
      <w:r>
        <w:t>Staff vs users. The staff register is a people record (</w:t>
      </w:r>
      <w:r>
        <w:rPr>
          <w:rStyle w:val="ui-markdowninline-path-prefix"/>
          <w:rFonts w:ascii="Courier New" w:hAnsi="Courier New" w:cs="Courier New"/>
          <w:sz w:val="20"/>
          <w:szCs w:val="20"/>
        </w:rPr>
        <w:t>/org/</w:t>
      </w:r>
      <w:r>
        <w:rPr>
          <w:rStyle w:val="ui-markdowninline-path-filename"/>
          <w:rFonts w:ascii="Courier New" w:hAnsi="Courier New" w:cs="Courier New"/>
          <w:sz w:val="20"/>
          <w:szCs w:val="20"/>
        </w:rPr>
        <w:t>staff</w:t>
      </w:r>
      <w:r>
        <w:t>). User accounts are logins (</w:t>
      </w:r>
      <w:r>
        <w:rPr>
          <w:rStyle w:val="ui-markdowninline-path-prefix"/>
          <w:rFonts w:ascii="Courier New" w:hAnsi="Courier New" w:cs="Courier New"/>
          <w:sz w:val="20"/>
          <w:szCs w:val="20"/>
        </w:rPr>
        <w:t>/org/</w:t>
      </w:r>
      <w:r>
        <w:rPr>
          <w:rStyle w:val="ui-markdowninline-path-filename"/>
          <w:rFonts w:ascii="Courier New" w:hAnsi="Courier New" w:cs="Courier New"/>
          <w:sz w:val="20"/>
          <w:szCs w:val="20"/>
        </w:rPr>
        <w:t>users</w:t>
      </w:r>
      <w:r>
        <w:t xml:space="preserve">). Org admins list their </w:t>
      </w:r>
      <w:proofErr w:type="spellStart"/>
      <w:r>
        <w:t>organisation’s</w:t>
      </w:r>
      <w:proofErr w:type="spellEnd"/>
      <w:r>
        <w:t xml:space="preserve"> users, invite them, and assign or revoke any tenant-scoped role (including custom roles created in the platform console) plus only the permissions they themselves hold. Super admins see every account (platform + all orgs) at </w:t>
      </w:r>
      <w:r>
        <w:rPr>
          <w:rStyle w:val="ui-markdowninline-path-prefix"/>
          <w:rFonts w:ascii="Courier New" w:hAnsi="Courier New" w:cs="Courier New"/>
          <w:sz w:val="20"/>
          <w:szCs w:val="20"/>
        </w:rPr>
        <w:t>/admin/</w:t>
      </w:r>
      <w:r>
        <w:rPr>
          <w:rStyle w:val="ui-markdowninline-path-filename"/>
          <w:rFonts w:ascii="Courier New" w:hAnsi="Courier New" w:cs="Courier New"/>
          <w:sz w:val="20"/>
          <w:szCs w:val="20"/>
        </w:rPr>
        <w:t>users</w:t>
      </w:r>
      <w:r>
        <w:t>.</w:t>
      </w:r>
    </w:p>
    <w:p w:rsidR="00D90F87" w:rsidRDefault="00D90F87" w:rsidP="00D90F87">
      <w:pPr>
        <w:pStyle w:val="ui-markdownparagraph"/>
      </w:pPr>
      <w:r>
        <w:t>Roles, permissions, audit. Super admins have full role/permission CRUD under </w:t>
      </w:r>
      <w:r>
        <w:rPr>
          <w:rStyle w:val="ui-markdowninline-path-prefix"/>
          <w:rFonts w:ascii="Courier New" w:hAnsi="Courier New" w:cs="Courier New"/>
          <w:sz w:val="20"/>
          <w:szCs w:val="20"/>
        </w:rPr>
        <w:t>/</w:t>
      </w:r>
      <w:r>
        <w:rPr>
          <w:rStyle w:val="ui-markdowninline-path-filename"/>
          <w:rFonts w:ascii="Courier New" w:hAnsi="Courier New" w:cs="Courier New"/>
          <w:sz w:val="20"/>
          <w:szCs w:val="20"/>
        </w:rPr>
        <w:t>admin</w:t>
      </w:r>
      <w:r>
        <w:t>. A role’s scope cannot be flipped after create, so a tenant role cannot pick up </w:t>
      </w:r>
      <w:r>
        <w:rPr>
          <w:rStyle w:val="HTMLCode"/>
        </w:rPr>
        <w:t>platform.*</w:t>
      </w:r>
      <w:r>
        <w:t>. Only a super admin can mint another super admin. Audit trail and sign-in history are separate pages in both consoles. Lockouts for a known email now stamp </w:t>
      </w:r>
      <w:proofErr w:type="spellStart"/>
      <w:r>
        <w:rPr>
          <w:rStyle w:val="HTMLCode"/>
        </w:rPr>
        <w:t>user_id</w:t>
      </w:r>
      <w:proofErr w:type="spellEnd"/>
      <w:r>
        <w:t> and </w:t>
      </w:r>
      <w:proofErr w:type="spellStart"/>
      <w:r>
        <w:rPr>
          <w:rStyle w:val="HTMLCode"/>
        </w:rPr>
        <w:t>organization_id</w:t>
      </w:r>
      <w:proofErr w:type="spellEnd"/>
      <w:r>
        <w:t>.</w:t>
      </w:r>
    </w:p>
    <w:p w:rsidR="00D90F87" w:rsidRDefault="00D90F87" w:rsidP="00D90F87">
      <w:pPr>
        <w:pStyle w:val="ui-markdownparagraph"/>
      </w:pPr>
      <w:r>
        <w:t>Route split. </w:t>
      </w:r>
      <w:r>
        <w:rPr>
          <w:rStyle w:val="ui-markdowninline-path-prefix"/>
          <w:rFonts w:ascii="Courier New" w:hAnsi="Courier New" w:cs="Courier New"/>
          <w:sz w:val="20"/>
          <w:szCs w:val="20"/>
        </w:rPr>
        <w:t>/</w:t>
      </w:r>
      <w:r>
        <w:rPr>
          <w:rStyle w:val="ui-markdowninline-path-filename"/>
          <w:rFonts w:ascii="Courier New" w:hAnsi="Courier New" w:cs="Courier New"/>
          <w:sz w:val="20"/>
          <w:szCs w:val="20"/>
        </w:rPr>
        <w:t>org</w:t>
      </w:r>
      <w:r>
        <w:t xml:space="preserve"> is the </w:t>
      </w:r>
      <w:proofErr w:type="spellStart"/>
      <w:r>
        <w:t>organisation</w:t>
      </w:r>
      <w:proofErr w:type="spellEnd"/>
      <w:r>
        <w:t xml:space="preserve"> workspace, </w:t>
      </w:r>
      <w:r>
        <w:rPr>
          <w:rStyle w:val="ui-markdowninline-path-prefix"/>
          <w:rFonts w:ascii="Courier New" w:hAnsi="Courier New" w:cs="Courier New"/>
          <w:sz w:val="20"/>
          <w:szCs w:val="20"/>
        </w:rPr>
        <w:t>/</w:t>
      </w:r>
      <w:r>
        <w:rPr>
          <w:rStyle w:val="ui-markdowninline-path-filename"/>
          <w:rFonts w:ascii="Courier New" w:hAnsi="Courier New" w:cs="Courier New"/>
          <w:sz w:val="20"/>
          <w:szCs w:val="20"/>
        </w:rPr>
        <w:t>admin</w:t>
      </w:r>
      <w:r>
        <w:t> is the platform console, </w:t>
      </w:r>
      <w:r>
        <w:rPr>
          <w:rStyle w:val="ui-markdowninline-path-prefix"/>
          <w:rFonts w:ascii="Courier New" w:hAnsi="Courier New" w:cs="Courier New"/>
          <w:sz w:val="20"/>
          <w:szCs w:val="20"/>
        </w:rPr>
        <w:t>/</w:t>
      </w:r>
      <w:r>
        <w:rPr>
          <w:rStyle w:val="ui-markdowninline-path-filename"/>
          <w:rFonts w:ascii="Courier New" w:hAnsi="Courier New" w:cs="Courier New"/>
          <w:sz w:val="20"/>
          <w:szCs w:val="20"/>
        </w:rPr>
        <w:t>app</w:t>
      </w:r>
      <w:r>
        <w:t> is the post-login landing + profile.</w:t>
      </w:r>
    </w:p>
    <w:p w:rsidR="00D90F87" w:rsidRDefault="00D90F87" w:rsidP="00D90F87">
      <w:pPr>
        <w:pStyle w:val="ui-markdownparagraph"/>
      </w:pPr>
      <w:r>
        <w:t>Verified. </w:t>
      </w:r>
      <w:r>
        <w:rPr>
          <w:rStyle w:val="HTMLCode"/>
        </w:rPr>
        <w:t>141</w:t>
      </w:r>
      <w:r>
        <w:t> tests passed, Pint passed, assets rebuilt. Browser pass: landing, mobile menu, register, tenant dashboard, user accounts, and a coming-soon attendance page.</w:t>
      </w:r>
    </w:p>
    <w:p w:rsidR="00D90F87" w:rsidRDefault="00D90F87" w:rsidP="00D90F87">
      <w:pPr>
        <w:pStyle w:val="ui-markdownparagraph"/>
      </w:pPr>
      <w:r>
        <w:t xml:space="preserve">A local </w:t>
      </w:r>
      <w:proofErr w:type="spellStart"/>
      <w:r>
        <w:t>organisation</w:t>
      </w:r>
      <w:proofErr w:type="spellEnd"/>
      <w:r>
        <w:t xml:space="preserve"> named Fictional Review Institute was created during that browser check. You can delete it from the database if you do not want it kept.</w:t>
      </w:r>
    </w:p>
    <w:p w:rsidR="00D90F87" w:rsidRDefault="00D90F87" w:rsidP="00D90F87">
      <w:pPr>
        <w:pStyle w:val="ui-markdownparagraph"/>
      </w:pPr>
      <w:r>
        <w:t>Attendance, QR, field, schedules, leave, notifications, and analytics remain placeholders, as the phase plan requires. Next planned module is attendance (QR sessions and field check-in).</w:t>
      </w:r>
    </w:p>
    <w:p w:rsidR="00D90F87" w:rsidRDefault="00D90F87" w:rsidP="0019306B">
      <w:pPr>
        <w:rPr>
          <w:b/>
        </w:rPr>
      </w:pPr>
    </w:p>
    <w:p w:rsidR="00D90F87" w:rsidRDefault="00D90F87" w:rsidP="0019306B">
      <w:pPr>
        <w:pBdr>
          <w:top w:val="double" w:sz="6" w:space="1" w:color="auto"/>
          <w:bottom w:val="double" w:sz="6" w:space="1" w:color="auto"/>
        </w:pBdr>
        <w:rPr>
          <w:b/>
        </w:rPr>
      </w:pPr>
    </w:p>
    <w:p w:rsidR="0019306B" w:rsidRDefault="00D90F87" w:rsidP="0019306B">
      <w:pPr>
        <w:rPr>
          <w:b/>
        </w:rPr>
      </w:pPr>
      <w:r>
        <w:rPr>
          <w:b/>
        </w:rPr>
        <w:br/>
      </w:r>
      <w:r>
        <w:rPr>
          <w:b/>
        </w:rPr>
        <w:br/>
      </w:r>
      <w:r w:rsidR="0019306B" w:rsidRPr="00BE16D9">
        <w:rPr>
          <w:b/>
        </w:rPr>
        <w:t xml:space="preserve">Tenancy </w:t>
      </w:r>
      <w:r w:rsidR="00BE16D9" w:rsidRPr="00BE16D9">
        <w:rPr>
          <w:b/>
        </w:rPr>
        <w:t xml:space="preserve">work done and </w:t>
      </w:r>
      <w:r w:rsidR="00F0062A">
        <w:rPr>
          <w:b/>
        </w:rPr>
        <w:t>pending</w:t>
      </w:r>
    </w:p>
    <w:p w:rsidR="004C232A" w:rsidRDefault="004C232A" w:rsidP="0019306B">
      <w:pPr>
        <w:rPr>
          <w:b/>
        </w:rPr>
      </w:pPr>
    </w:p>
    <w:p w:rsidR="004C232A" w:rsidRPr="004C232A" w:rsidRDefault="004C232A" w:rsidP="004C232A">
      <w:pPr>
        <w:spacing w:before="330"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4C232A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Package choice</w:t>
      </w:r>
    </w:p>
    <w:p w:rsidR="004C232A" w:rsidRPr="004C232A" w:rsidRDefault="004C232A" w:rsidP="004C232A">
      <w:pPr>
        <w:spacing w:before="60" w:after="240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Neither tenancy package was installed. </w:t>
      </w:r>
      <w:proofErr w:type="spellStart"/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Spatie</w:t>
      </w:r>
      <w:proofErr w:type="spellEnd"/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Multitenancy 4.3.0 is compatible with PHP 8.4 / Laravel 13, but it models one </w:t>
      </w:r>
      <w:r w:rsidRPr="004C232A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domain</w:t>
      </w:r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 column and does not provide shared-schema scopes. ORBIT already has </w:t>
      </w:r>
      <w:proofErr w:type="spellStart"/>
      <w:r w:rsidRPr="004C232A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TenantContext</w:t>
      </w:r>
      <w:proofErr w:type="spellEnd"/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, </w:t>
      </w:r>
      <w:proofErr w:type="spellStart"/>
      <w:r w:rsidRPr="004C232A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organization_id</w:t>
      </w:r>
      <w:proofErr w:type="spellEnd"/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 scoping, and policies. A custom finder would still have been required for aliases and custom domains. </w:t>
      </w:r>
      <w:proofErr w:type="spellStart"/>
      <w:proofErr w:type="gramStart"/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stancl</w:t>
      </w:r>
      <w:proofErr w:type="spellEnd"/>
      <w:proofErr w:type="gramEnd"/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defaults to database-per-tenant, which contradicts ADR-0002.</w:t>
      </w:r>
    </w:p>
    <w:p w:rsidR="004C232A" w:rsidRPr="004C232A" w:rsidRDefault="004C232A" w:rsidP="004C232A">
      <w:pPr>
        <w:spacing w:before="240" w:after="240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Routing, branding, and isolation stay three separate pieces.</w:t>
      </w:r>
    </w:p>
    <w:p w:rsidR="004C232A" w:rsidRPr="004C232A" w:rsidRDefault="004C232A" w:rsidP="004C232A">
      <w:pPr>
        <w:spacing w:before="330"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4C232A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What you 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9"/>
        <w:gridCol w:w="5422"/>
      </w:tblGrid>
      <w:tr w:rsidR="004C232A" w:rsidRPr="004C232A" w:rsidTr="001A69EF">
        <w:tc>
          <w:tcPr>
            <w:tcW w:w="0" w:type="auto"/>
            <w:noWrap/>
            <w:hideMark/>
          </w:tcPr>
          <w:p w:rsidR="004C232A" w:rsidRPr="004C232A" w:rsidRDefault="004C232A" w:rsidP="004C232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23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Host (Herd: </w:t>
            </w:r>
            <w:proofErr w:type="spellStart"/>
            <w:r w:rsidRPr="004C232A">
              <w:rPr>
                <w:rFonts w:ascii="Consolas" w:eastAsia="Times New Roman" w:hAnsi="Consolas" w:cs="Courier New"/>
                <w:b/>
                <w:bCs/>
                <w:kern w:val="0"/>
                <w:sz w:val="22"/>
                <w:szCs w:val="22"/>
                <w14:ligatures w14:val="none"/>
              </w:rPr>
              <w:t>orbit.test</w:t>
            </w:r>
            <w:proofErr w:type="spellEnd"/>
            <w:r w:rsidRPr="004C23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noWrap/>
            <w:hideMark/>
          </w:tcPr>
          <w:p w:rsidR="004C232A" w:rsidRPr="004C232A" w:rsidRDefault="004C232A" w:rsidP="004C232A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C23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</w:tr>
      <w:tr w:rsidR="004C232A" w:rsidRPr="004C232A" w:rsidTr="001A69EF">
        <w:tc>
          <w:tcPr>
            <w:tcW w:w="0" w:type="auto"/>
            <w:hideMark/>
          </w:tcPr>
          <w:p w:rsidR="004C232A" w:rsidRPr="004C232A" w:rsidRDefault="004C232A" w:rsidP="004C23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232A">
              <w:rPr>
                <w:rFonts w:ascii="Consolas" w:eastAsia="Times New Roman" w:hAnsi="Consolas" w:cs="Courier New"/>
                <w:kern w:val="0"/>
                <w:sz w:val="22"/>
                <w:szCs w:val="22"/>
                <w14:ligatures w14:val="none"/>
              </w:rPr>
              <w:t>orbit.test</w:t>
            </w:r>
            <w:proofErr w:type="spellEnd"/>
          </w:p>
        </w:tc>
        <w:tc>
          <w:tcPr>
            <w:tcW w:w="0" w:type="auto"/>
            <w:hideMark/>
          </w:tcPr>
          <w:p w:rsidR="004C232A" w:rsidRPr="004C232A" w:rsidRDefault="004C232A" w:rsidP="004C23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2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Public site, </w:t>
            </w:r>
            <w:proofErr w:type="spellStart"/>
            <w:r w:rsidRPr="004C2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organisation</w:t>
            </w:r>
            <w:proofErr w:type="spellEnd"/>
            <w:r w:rsidRPr="004C2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registration, platform console</w:t>
            </w:r>
          </w:p>
        </w:tc>
      </w:tr>
      <w:tr w:rsidR="004C232A" w:rsidRPr="004C232A" w:rsidTr="001A69EF">
        <w:tc>
          <w:tcPr>
            <w:tcW w:w="0" w:type="auto"/>
            <w:hideMark/>
          </w:tcPr>
          <w:p w:rsidR="004C232A" w:rsidRPr="004C232A" w:rsidRDefault="004C232A" w:rsidP="004C23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232A">
              <w:rPr>
                <w:rFonts w:ascii="Consolas" w:eastAsia="Times New Roman" w:hAnsi="Consolas" w:cs="Courier New"/>
                <w:kern w:val="0"/>
                <w:sz w:val="22"/>
                <w:szCs w:val="22"/>
                <w14:ligatures w14:val="none"/>
              </w:rPr>
              <w:t>mobilecontent.orbit.test</w:t>
            </w:r>
            <w:proofErr w:type="spellEnd"/>
          </w:p>
        </w:tc>
        <w:tc>
          <w:tcPr>
            <w:tcW w:w="0" w:type="auto"/>
            <w:hideMark/>
          </w:tcPr>
          <w:p w:rsidR="004C232A" w:rsidRPr="004C232A" w:rsidRDefault="004C232A" w:rsidP="004C23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2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Content Ltd (primary)</w:t>
            </w:r>
          </w:p>
        </w:tc>
      </w:tr>
      <w:tr w:rsidR="004C232A" w:rsidRPr="004C232A" w:rsidTr="001A69EF">
        <w:tc>
          <w:tcPr>
            <w:tcW w:w="0" w:type="auto"/>
            <w:hideMark/>
          </w:tcPr>
          <w:p w:rsidR="004C232A" w:rsidRPr="004C232A" w:rsidRDefault="004C232A" w:rsidP="004C23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232A">
              <w:rPr>
                <w:rFonts w:ascii="Consolas" w:eastAsia="Times New Roman" w:hAnsi="Consolas" w:cs="Courier New"/>
                <w:kern w:val="0"/>
                <w:sz w:val="22"/>
                <w:szCs w:val="22"/>
                <w14:ligatures w14:val="none"/>
              </w:rPr>
              <w:t>mcc.orbit.test</w:t>
            </w:r>
            <w:proofErr w:type="spellEnd"/>
          </w:p>
        </w:tc>
        <w:tc>
          <w:tcPr>
            <w:tcW w:w="0" w:type="auto"/>
            <w:hideMark/>
          </w:tcPr>
          <w:p w:rsidR="004C232A" w:rsidRPr="004C232A" w:rsidRDefault="004C232A" w:rsidP="004C23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2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proofErr w:type="spellStart"/>
            <w:r w:rsidRPr="004C2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organisation</w:t>
            </w:r>
            <w:proofErr w:type="spellEnd"/>
            <w:r w:rsidRPr="004C2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(alias)</w:t>
            </w:r>
          </w:p>
        </w:tc>
      </w:tr>
      <w:tr w:rsidR="004C232A" w:rsidRPr="004C232A" w:rsidTr="001A69EF">
        <w:tc>
          <w:tcPr>
            <w:tcW w:w="0" w:type="auto"/>
            <w:hideMark/>
          </w:tcPr>
          <w:p w:rsidR="004C232A" w:rsidRPr="004C232A" w:rsidRDefault="004C232A" w:rsidP="004C23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232A">
              <w:rPr>
                <w:rFonts w:ascii="Consolas" w:eastAsia="Times New Roman" w:hAnsi="Consolas" w:cs="Courier New"/>
                <w:kern w:val="0"/>
                <w:sz w:val="22"/>
                <w:szCs w:val="22"/>
                <w14:ligatures w14:val="none"/>
              </w:rPr>
              <w:t>epa.orbit.test</w:t>
            </w:r>
            <w:proofErr w:type="spellEnd"/>
          </w:p>
        </w:tc>
        <w:tc>
          <w:tcPr>
            <w:tcW w:w="0" w:type="auto"/>
            <w:hideMark/>
          </w:tcPr>
          <w:p w:rsidR="004C232A" w:rsidRPr="004C232A" w:rsidRDefault="004C232A" w:rsidP="004C23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2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EPA Demo</w:t>
            </w:r>
          </w:p>
        </w:tc>
      </w:tr>
      <w:tr w:rsidR="004C232A" w:rsidRPr="004C232A" w:rsidTr="001A69EF">
        <w:tc>
          <w:tcPr>
            <w:tcW w:w="0" w:type="auto"/>
            <w:hideMark/>
          </w:tcPr>
          <w:p w:rsidR="004C232A" w:rsidRPr="004C232A" w:rsidRDefault="004C232A" w:rsidP="004C23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232A">
              <w:rPr>
                <w:rFonts w:ascii="Consolas" w:eastAsia="Times New Roman" w:hAnsi="Consolas" w:cs="Courier New"/>
                <w:kern w:val="0"/>
                <w:sz w:val="22"/>
                <w:szCs w:val="22"/>
                <w14:ligatures w14:val="none"/>
              </w:rPr>
              <w:t>upsa.orbit.test</w:t>
            </w:r>
            <w:proofErr w:type="spellEnd"/>
          </w:p>
        </w:tc>
        <w:tc>
          <w:tcPr>
            <w:tcW w:w="0" w:type="auto"/>
            <w:hideMark/>
          </w:tcPr>
          <w:p w:rsidR="004C232A" w:rsidRPr="004C232A" w:rsidRDefault="004C232A" w:rsidP="004C23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2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UPSA Demo</w:t>
            </w:r>
          </w:p>
        </w:tc>
      </w:tr>
      <w:tr w:rsidR="004C232A" w:rsidRPr="004C232A" w:rsidTr="001A69EF">
        <w:tc>
          <w:tcPr>
            <w:tcW w:w="0" w:type="auto"/>
            <w:hideMark/>
          </w:tcPr>
          <w:p w:rsidR="004C232A" w:rsidRPr="004C232A" w:rsidRDefault="004C232A" w:rsidP="004C23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C232A">
              <w:rPr>
                <w:rFonts w:ascii="Consolas" w:eastAsia="Times New Roman" w:hAnsi="Consolas" w:cs="Courier New"/>
                <w:kern w:val="0"/>
                <w:sz w:val="22"/>
                <w:szCs w:val="22"/>
                <w14:ligatures w14:val="none"/>
              </w:rPr>
              <w:t>review.orbit.test</w:t>
            </w:r>
            <w:proofErr w:type="spellEnd"/>
          </w:p>
        </w:tc>
        <w:tc>
          <w:tcPr>
            <w:tcW w:w="0" w:type="auto"/>
            <w:hideMark/>
          </w:tcPr>
          <w:p w:rsidR="004C232A" w:rsidRPr="004C232A" w:rsidRDefault="004C232A" w:rsidP="004C23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C23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Fictional Review Institute</w:t>
            </w:r>
          </w:p>
        </w:tc>
      </w:tr>
    </w:tbl>
    <w:p w:rsidR="004C232A" w:rsidRPr="004C232A" w:rsidRDefault="004C232A" w:rsidP="004C232A">
      <w:pPr>
        <w:spacing w:before="240" w:after="240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proofErr w:type="spellStart"/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Organisation</w:t>
      </w:r>
      <w:proofErr w:type="spellEnd"/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members sign in on their workspace host. Platform operators sign in on </w:t>
      </w:r>
      <w:proofErr w:type="spellStart"/>
      <w:r w:rsidRPr="004C232A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orbit.test</w:t>
      </w:r>
      <w:proofErr w:type="spellEnd"/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. Session cookies stay host-only.</w:t>
      </w:r>
    </w:p>
    <w:p w:rsidR="004C232A" w:rsidRPr="004C232A" w:rsidRDefault="004C232A" w:rsidP="004C232A">
      <w:pPr>
        <w:spacing w:before="240" w:after="240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Settings are tabbed: Profile · Domains · Branding — for </w:t>
      </w:r>
      <w:proofErr w:type="spellStart"/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organisation</w:t>
      </w:r>
      <w:proofErr w:type="spellEnd"/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admins and super admins. Branding uses a </w:t>
      </w:r>
      <w:proofErr w:type="spellStart"/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colour</w:t>
      </w:r>
      <w:proofErr w:type="spellEnd"/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picker, draft → preview → publish, and PNG/JPG/WEBP/ICO uploads (not SVG). Files live under </w:t>
      </w:r>
      <w:r w:rsidRPr="004C232A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storage/app/organizations</w:t>
      </w:r>
      <w:proofErr w:type="gramStart"/>
      <w:r w:rsidRPr="004C232A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/{</w:t>
      </w:r>
      <w:proofErr w:type="spellStart"/>
      <w:proofErr w:type="gramEnd"/>
      <w:r w:rsidRPr="004C232A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uuid</w:t>
      </w:r>
      <w:proofErr w:type="spellEnd"/>
      <w:r w:rsidRPr="004C232A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}/branding/</w:t>
      </w:r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 and are served only on that </w:t>
      </w:r>
      <w:proofErr w:type="spellStart"/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organisation’s</w:t>
      </w:r>
      <w:proofErr w:type="spellEnd"/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 host.</w:t>
      </w:r>
    </w:p>
    <w:p w:rsidR="004C232A" w:rsidRPr="004C232A" w:rsidRDefault="004C232A" w:rsidP="004C232A">
      <w:pPr>
        <w:spacing w:before="330"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4C232A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Also in this increment</w:t>
      </w:r>
    </w:p>
    <w:p w:rsidR="004C232A" w:rsidRPr="004C232A" w:rsidRDefault="004C232A" w:rsidP="004C2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Sortable column headers and “Showing x–y of z” on large tables</w:t>
      </w:r>
    </w:p>
    <w:p w:rsidR="004C232A" w:rsidRPr="004C232A" w:rsidRDefault="004C232A" w:rsidP="004C2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Student is only offered to educational institutions (UPSA yes, EPA no)</w:t>
      </w:r>
    </w:p>
    <w:p w:rsidR="004C232A" w:rsidRPr="004C232A" w:rsidRDefault="004C232A" w:rsidP="004C2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Super-admin sidebar again shows Attendance, QR, Field, Schedules, Leave, Notifications, Analytics as coming soon</w:t>
      </w:r>
    </w:p>
    <w:p w:rsidR="004C232A" w:rsidRPr="004C232A" w:rsidRDefault="004C232A" w:rsidP="004C2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Attendance modules themselves are still placeholders</w:t>
      </w:r>
    </w:p>
    <w:p w:rsidR="004C232A" w:rsidRPr="004C232A" w:rsidRDefault="004C232A" w:rsidP="004C232A">
      <w:pPr>
        <w:spacing w:before="330"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</w:pPr>
      <w:r w:rsidRPr="004C232A">
        <w:rPr>
          <w:rFonts w:ascii="Segoe UI" w:eastAsia="Times New Roman" w:hAnsi="Segoe UI" w:cs="Segoe UI"/>
          <w:b/>
          <w:bCs/>
          <w:kern w:val="0"/>
          <w:sz w:val="32"/>
          <w:szCs w:val="32"/>
          <w14:ligatures w14:val="none"/>
        </w:rPr>
        <w:t>Tests and docs</w:t>
      </w:r>
    </w:p>
    <w:p w:rsidR="004C232A" w:rsidRPr="004C232A" w:rsidRDefault="004C232A" w:rsidP="004C232A">
      <w:pPr>
        <w:spacing w:before="60" w:after="120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 xml:space="preserve">Covered: central vs tenant routing, aliases, unknown hosts, closed orgs, unverified custom domains, reserved subdomains, branding cache, cross-tenant records/files, tenant-aware jobs, context cleanup, domain/branding </w:t>
      </w:r>
      <w:proofErr w:type="spellStart"/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authorisation</w:t>
      </w:r>
      <w:proofErr w:type="spellEnd"/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, academic role audience.</w:t>
      </w:r>
    </w:p>
    <w:p w:rsidR="004C232A" w:rsidRPr="004C232A" w:rsidRDefault="004C232A" w:rsidP="004C2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lastRenderedPageBreak/>
        <w:t>Assessment: </w:t>
      </w:r>
      <w:r w:rsidRPr="004C232A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.cursor/docs/implementation/tenancy-routing-assessment.md</w:t>
      </w:r>
    </w:p>
    <w:p w:rsidR="004C232A" w:rsidRPr="004C232A" w:rsidRDefault="004C232A" w:rsidP="004C2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Feature notes: </w:t>
      </w:r>
      <w:r w:rsidRPr="004C232A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.cursor/docs/implementation/tenancy-hostname-routing.md</w:t>
      </w:r>
    </w:p>
    <w:p w:rsidR="004C232A" w:rsidRPr="004C232A" w:rsidRDefault="004C232A" w:rsidP="004C2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DNS/TLS (not applied): </w:t>
      </w:r>
      <w:r w:rsidRPr="004C232A">
        <w:rPr>
          <w:rFonts w:ascii="Consolas" w:eastAsia="Times New Roman" w:hAnsi="Consolas" w:cs="Courier New"/>
          <w:kern w:val="0"/>
          <w:sz w:val="21"/>
          <w:szCs w:val="21"/>
          <w14:ligatures w14:val="none"/>
        </w:rPr>
        <w:t>.cursor/docs/implementation/dns-and-tls.md</w:t>
      </w:r>
    </w:p>
    <w:p w:rsidR="004C232A" w:rsidRPr="004C232A" w:rsidRDefault="004C232A" w:rsidP="004C2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ADR-0011</w:t>
      </w:r>
    </w:p>
    <w:p w:rsidR="004C232A" w:rsidRPr="004C232A" w:rsidRDefault="004C232A" w:rsidP="004C232A">
      <w:pPr>
        <w:spacing w:before="240" w:after="240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Octane was not installed. Tenant context is a scoped binding with request/queue cleanup, which is the pattern Octane needs when you adopt it later.</w:t>
      </w:r>
    </w:p>
    <w:p w:rsidR="004C232A" w:rsidRPr="004C232A" w:rsidRDefault="004C232A" w:rsidP="004C232A">
      <w:pPr>
        <w:spacing w:before="240" w:after="0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C232A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Next milestone: Stage 4 attendance (QR sessions and field check-in), on these tenant hosts.</w:t>
      </w:r>
    </w:p>
    <w:p w:rsidR="004C232A" w:rsidRPr="00BE16D9" w:rsidRDefault="004C232A" w:rsidP="0019306B">
      <w:pPr>
        <w:rPr>
          <w:b/>
        </w:rPr>
      </w:pPr>
    </w:p>
    <w:p w:rsidR="0019306B" w:rsidRPr="00434060" w:rsidRDefault="00434060" w:rsidP="0019306B">
      <w:pPr>
        <w:rPr>
          <w:b/>
        </w:rPr>
      </w:pPr>
      <w:r w:rsidRPr="00434060">
        <w:rPr>
          <w:b/>
        </w:rPr>
        <w:t>Tenancy Isolation work</w:t>
      </w:r>
    </w:p>
    <w:p w:rsidR="0019306B" w:rsidRDefault="0019306B" w:rsidP="0019306B">
      <w:r>
        <w:t>The tenancy **foundation, isolation, branding core, and admin UI** are in place. Production readiness is **documented and test-covered, not a live ops sign-off**.</w:t>
      </w:r>
    </w:p>
    <w:p w:rsidR="0019306B" w:rsidRDefault="0019306B" w:rsidP="0019306B"/>
    <w:p w:rsidR="0019306B" w:rsidRDefault="0019306B" w:rsidP="0019306B">
      <w:r>
        <w:t xml:space="preserve">## </w:t>
      </w:r>
      <w:r w:rsidRPr="00BE16D9">
        <w:rPr>
          <w:b/>
        </w:rPr>
        <w:t>Tenant foundation — done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7196"/>
      </w:tblGrid>
      <w:tr w:rsidR="0019306B" w:rsidRPr="0019306B" w:rsidTr="0019306B">
        <w:tc>
          <w:tcPr>
            <w:tcW w:w="0" w:type="auto"/>
            <w:noWrap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Item</w:t>
            </w:r>
          </w:p>
        </w:tc>
        <w:tc>
          <w:tcPr>
            <w:tcW w:w="0" w:type="auto"/>
            <w:noWrap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Status</w:t>
            </w:r>
          </w:p>
        </w:tc>
      </w:tr>
      <w:tr w:rsidR="0019306B" w:rsidRPr="0019306B" w:rsidTr="0019306B"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Repository assessment</w:t>
            </w:r>
          </w:p>
        </w:tc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 </w:t>
            </w:r>
            <w:r w:rsidRPr="0019306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.cursor/docs/implementation/tenancy-routing-assessment.md</w:t>
            </w:r>
          </w:p>
        </w:tc>
      </w:tr>
      <w:tr w:rsidR="0019306B" w:rsidRPr="0019306B" w:rsidTr="0019306B"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Package evaluation</w:t>
            </w:r>
          </w:p>
        </w:tc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Done — </w:t>
            </w:r>
            <w:proofErr w:type="spellStart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Spatie</w:t>
            </w:r>
            <w:proofErr w:type="spellEnd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v4 vs </w:t>
            </w:r>
            <w:proofErr w:type="spellStart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stancl</w:t>
            </w:r>
            <w:proofErr w:type="spellEnd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vs native; neither package installed (ADR-0011)</w:t>
            </w:r>
          </w:p>
        </w:tc>
      </w:tr>
      <w:tr w:rsidR="0019306B" w:rsidRPr="0019306B" w:rsidTr="0019306B"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Organisation</w:t>
            </w:r>
            <w:proofErr w:type="spellEnd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domain registry</w:t>
            </w:r>
          </w:p>
        </w:tc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 </w:t>
            </w:r>
            <w:proofErr w:type="spellStart"/>
            <w:r w:rsidRPr="0019306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organization_domains</w:t>
            </w:r>
            <w:proofErr w:type="spellEnd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with primary / alias / custom, verification, activation</w:t>
            </w:r>
          </w:p>
        </w:tc>
      </w:tr>
      <w:tr w:rsidR="0019306B" w:rsidRPr="0019306B" w:rsidTr="0019306B"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Tenant resolution</w:t>
            </w:r>
          </w:p>
        </w:tc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 </w:t>
            </w:r>
            <w:proofErr w:type="spellStart"/>
            <w:r w:rsidRPr="0019306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IdentifyTenant</w:t>
            </w:r>
            <w:proofErr w:type="spellEnd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+ </w:t>
            </w:r>
            <w:proofErr w:type="spellStart"/>
            <w:r w:rsidRPr="0019306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TenantFinder</w:t>
            </w:r>
            <w:proofErr w:type="spellEnd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from hostname, before bindings</w:t>
            </w:r>
          </w:p>
        </w:tc>
      </w:tr>
      <w:tr w:rsidR="0019306B" w:rsidRPr="0019306B" w:rsidTr="0019306B"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Tenant context lifecycle</w:t>
            </w:r>
          </w:p>
        </w:tc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 scoped </w:t>
            </w:r>
            <w:proofErr w:type="spellStart"/>
            <w:r w:rsidRPr="0019306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TenantContext</w:t>
            </w:r>
            <w:proofErr w:type="spellEnd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cleared after request and around jobs</w:t>
            </w:r>
          </w:p>
        </w:tc>
      </w:tr>
      <w:tr w:rsidR="0019306B" w:rsidRPr="0019306B" w:rsidTr="0019306B"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Subdomain and alias routing</w:t>
            </w:r>
          </w:p>
        </w:tc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 central </w:t>
            </w:r>
            <w:proofErr w:type="spellStart"/>
            <w:r w:rsidRPr="0019306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orbit.test</w:t>
            </w:r>
            <w:proofErr w:type="spellEnd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tenant </w:t>
            </w:r>
            <w:r w:rsidRPr="0019306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*.</w:t>
            </w:r>
            <w:proofErr w:type="spellStart"/>
            <w:r w:rsidRPr="0019306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orbit.test</w:t>
            </w:r>
            <w:proofErr w:type="spellEnd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MCC </w:t>
            </w:r>
            <w:proofErr w:type="spellStart"/>
            <w:r w:rsidRPr="0019306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mobilecontent</w:t>
            </w:r>
            <w:proofErr w:type="spellEnd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+ </w:t>
            </w:r>
            <w:r w:rsidRPr="0019306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mcc</w:t>
            </w: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alias</w:t>
            </w:r>
          </w:p>
        </w:tc>
      </w:tr>
      <w:tr w:rsidR="0019306B" w:rsidRPr="0019306B" w:rsidTr="0019306B"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Core automated tests</w:t>
            </w:r>
          </w:p>
        </w:tc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 </w:t>
            </w:r>
            <w:proofErr w:type="spellStart"/>
            <w:r w:rsidRPr="0019306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HostnameRoutingTest</w:t>
            </w:r>
            <w:proofErr w:type="spellEnd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 </w:t>
            </w:r>
            <w:proofErr w:type="spellStart"/>
            <w:r w:rsidRPr="0019306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CustomDomainVerificationTest</w:t>
            </w:r>
            <w:proofErr w:type="spellEnd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plus the existing suite</w:t>
            </w:r>
          </w:p>
        </w:tc>
      </w:tr>
    </w:tbl>
    <w:p w:rsidR="0019306B" w:rsidRDefault="0019306B" w:rsidP="0019306B"/>
    <w:p w:rsidR="0019306B" w:rsidRDefault="0019306B" w:rsidP="0019306B">
      <w:r>
        <w:t xml:space="preserve">## </w:t>
      </w:r>
      <w:r w:rsidRPr="00BE16D9">
        <w:rPr>
          <w:b/>
        </w:rPr>
        <w:t>Tenant isolation — done</w:t>
      </w:r>
    </w:p>
    <w:p w:rsidR="0019306B" w:rsidRDefault="0019306B" w:rsidP="0019306B"/>
    <w:p w:rsidR="0019306B" w:rsidRDefault="0019306B" w:rsidP="0019306B">
      <w:r>
        <w:t>This layer was already in ORBIT (`</w:t>
      </w:r>
      <w:proofErr w:type="spellStart"/>
      <w:r>
        <w:t>organization_id</w:t>
      </w:r>
      <w:proofErr w:type="spellEnd"/>
      <w:r>
        <w:t>`, global scope, policies). Hostname tenancy now **activates** that context instead of deriving it from the logged-in user.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8"/>
        <w:gridCol w:w="7212"/>
      </w:tblGrid>
      <w:tr w:rsidR="0019306B" w:rsidRPr="0019306B" w:rsidTr="0019306B">
        <w:tc>
          <w:tcPr>
            <w:tcW w:w="0" w:type="auto"/>
            <w:noWrap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Item</w:t>
            </w:r>
          </w:p>
        </w:tc>
        <w:tc>
          <w:tcPr>
            <w:tcW w:w="0" w:type="auto"/>
            <w:noWrap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Status</w:t>
            </w:r>
          </w:p>
        </w:tc>
      </w:tr>
      <w:tr w:rsidR="0019306B" w:rsidRPr="0019306B" w:rsidTr="0019306B"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Organisation</w:t>
            </w:r>
            <w:proofErr w:type="spellEnd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ownership</w:t>
            </w:r>
          </w:p>
        </w:tc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 FKs, auto-stamp on create</w:t>
            </w:r>
          </w:p>
        </w:tc>
      </w:tr>
      <w:tr w:rsidR="0019306B" w:rsidRPr="0019306B" w:rsidTr="0019306B"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Tenant-aware queries</w:t>
            </w:r>
          </w:p>
        </w:tc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 </w:t>
            </w:r>
            <w:proofErr w:type="spellStart"/>
            <w:r w:rsidRPr="0019306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BelongsToOrganization</w:t>
            </w:r>
            <w:proofErr w:type="spellEnd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/ </w:t>
            </w:r>
            <w:proofErr w:type="spellStart"/>
            <w:r w:rsidRPr="0019306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OrganizationScope</w:t>
            </w:r>
            <w:proofErr w:type="spellEnd"/>
          </w:p>
        </w:tc>
      </w:tr>
      <w:tr w:rsidR="0019306B" w:rsidRPr="0019306B" w:rsidTr="0019306B"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Policies</w:t>
            </w:r>
          </w:p>
        </w:tc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 plus </w:t>
            </w:r>
            <w:proofErr w:type="spellStart"/>
            <w:r w:rsidRPr="0019306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manageWorkspace</w:t>
            </w:r>
            <w:proofErr w:type="spellEnd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for domains/branding</w:t>
            </w:r>
          </w:p>
        </w:tc>
      </w:tr>
      <w:tr w:rsidR="0019306B" w:rsidRPr="0019306B" w:rsidTr="0019306B"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Membership checks</w:t>
            </w:r>
          </w:p>
        </w:tc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Done — tenant user must belong to the host’s </w:t>
            </w:r>
            <w:proofErr w:type="spellStart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organisation</w:t>
            </w:r>
            <w:proofErr w:type="spellEnd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; platform stays on the central host</w:t>
            </w:r>
          </w:p>
        </w:tc>
      </w:tr>
      <w:tr w:rsidR="0019306B" w:rsidRPr="0019306B" w:rsidTr="0019306B"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Cross-tenant security tests</w:t>
            </w:r>
          </w:p>
        </w:tc>
        <w:tc>
          <w:tcPr>
            <w:tcW w:w="0" w:type="auto"/>
            <w:hideMark/>
          </w:tcPr>
          <w:p w:rsidR="0019306B" w:rsidRPr="0019306B" w:rsidRDefault="0019306B" w:rsidP="0019306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 </w:t>
            </w:r>
            <w:proofErr w:type="spellStart"/>
            <w:r w:rsidRPr="0019306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TenantIsolationTest</w:t>
            </w:r>
            <w:proofErr w:type="spellEnd"/>
            <w:r w:rsidRPr="0019306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+ hostname tests for records and branding files</w:t>
            </w:r>
          </w:p>
        </w:tc>
      </w:tr>
    </w:tbl>
    <w:p w:rsidR="0019306B" w:rsidRDefault="0019306B" w:rsidP="0019306B"/>
    <w:p w:rsidR="0019306B" w:rsidRDefault="0019306B" w:rsidP="0019306B"/>
    <w:p w:rsidR="0019306B" w:rsidRDefault="0019306B" w:rsidP="0019306B">
      <w:r>
        <w:t xml:space="preserve">One deliberate product rule: **one user still belongs to one </w:t>
      </w:r>
      <w:proofErr w:type="spellStart"/>
      <w:r>
        <w:t>organisation</w:t>
      </w:r>
      <w:proofErr w:type="spellEnd"/>
      <w:r>
        <w:t xml:space="preserve"> or the platform** (ADR-0009). There is no multi-org switching. That was the existing account model, not a miss in this work.</w:t>
      </w:r>
    </w:p>
    <w:p w:rsidR="0019306B" w:rsidRDefault="0019306B" w:rsidP="0019306B"/>
    <w:p w:rsidR="0019306B" w:rsidRDefault="0019306B" w:rsidP="0019306B">
      <w:r>
        <w:t xml:space="preserve">## </w:t>
      </w:r>
      <w:r w:rsidRPr="00BE16D9">
        <w:rPr>
          <w:b/>
        </w:rPr>
        <w:t>Branding — done, with two polish gaps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6797"/>
      </w:tblGrid>
      <w:tr w:rsidR="00BE16D9" w:rsidRPr="00BE16D9" w:rsidTr="00BE16D9">
        <w:tc>
          <w:tcPr>
            <w:tcW w:w="0" w:type="auto"/>
            <w:noWrap/>
            <w:hideMark/>
          </w:tcPr>
          <w:p w:rsidR="00BE16D9" w:rsidRPr="00BE16D9" w:rsidRDefault="00BE16D9" w:rsidP="00BE16D9">
            <w:pPr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</w:pPr>
            <w:r w:rsidRPr="00BE16D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Item</w:t>
            </w:r>
          </w:p>
        </w:tc>
        <w:tc>
          <w:tcPr>
            <w:tcW w:w="0" w:type="auto"/>
            <w:noWrap/>
            <w:hideMark/>
          </w:tcPr>
          <w:p w:rsidR="00BE16D9" w:rsidRPr="00BE16D9" w:rsidRDefault="00BE16D9" w:rsidP="00BE16D9">
            <w:pPr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</w:pPr>
            <w:r w:rsidRPr="00BE16D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Status</w:t>
            </w:r>
          </w:p>
        </w:tc>
      </w:tr>
      <w:tr w:rsidR="00BE16D9" w:rsidRPr="00BE16D9" w:rsidTr="00BE16D9">
        <w:tc>
          <w:tcPr>
            <w:tcW w:w="0" w:type="auto"/>
            <w:hideMark/>
          </w:tcPr>
          <w:p w:rsidR="00BE16D9" w:rsidRPr="00BE16D9" w:rsidRDefault="00BE16D9" w:rsidP="00BE16D9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Branding model and migration</w:t>
            </w:r>
          </w:p>
        </w:tc>
        <w:tc>
          <w:tcPr>
            <w:tcW w:w="0" w:type="auto"/>
            <w:hideMark/>
          </w:tcPr>
          <w:p w:rsidR="00BE16D9" w:rsidRPr="00BE16D9" w:rsidRDefault="00BE16D9" w:rsidP="00BE16D9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 </w:t>
            </w:r>
            <w:proofErr w:type="spellStart"/>
            <w:r w:rsidRPr="00BE16D9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organization_brandings</w:t>
            </w:r>
            <w:proofErr w:type="spellEnd"/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+ draft/publish</w:t>
            </w:r>
          </w:p>
        </w:tc>
      </w:tr>
      <w:tr w:rsidR="00BE16D9" w:rsidRPr="00BE16D9" w:rsidTr="00BE16D9">
        <w:tc>
          <w:tcPr>
            <w:tcW w:w="0" w:type="auto"/>
            <w:hideMark/>
          </w:tcPr>
          <w:p w:rsidR="00BE16D9" w:rsidRPr="00BE16D9" w:rsidRDefault="00BE16D9" w:rsidP="00BE16D9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Logo and favicon storage</w:t>
            </w:r>
          </w:p>
        </w:tc>
        <w:tc>
          <w:tcPr>
            <w:tcW w:w="0" w:type="auto"/>
            <w:hideMark/>
          </w:tcPr>
          <w:p w:rsidR="00BE16D9" w:rsidRPr="00BE16D9" w:rsidRDefault="00BE16D9" w:rsidP="00BE16D9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 private disk </w:t>
            </w:r>
            <w:r w:rsidRPr="00BE16D9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organizations/{</w:t>
            </w:r>
            <w:proofErr w:type="spellStart"/>
            <w:r w:rsidRPr="00BE16D9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uuid</w:t>
            </w:r>
            <w:proofErr w:type="spellEnd"/>
            <w:r w:rsidRPr="00BE16D9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}/branding/</w:t>
            </w:r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served only on that tenant host</w:t>
            </w:r>
          </w:p>
        </w:tc>
      </w:tr>
      <w:tr w:rsidR="00BE16D9" w:rsidRPr="00BE16D9" w:rsidTr="00BE16D9">
        <w:tc>
          <w:tcPr>
            <w:tcW w:w="0" w:type="auto"/>
            <w:hideMark/>
          </w:tcPr>
          <w:p w:rsidR="00BE16D9" w:rsidRPr="00BE16D9" w:rsidRDefault="00BE16D9" w:rsidP="00BE16D9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Theme/design tokens</w:t>
            </w:r>
          </w:p>
        </w:tc>
        <w:tc>
          <w:tcPr>
            <w:tcW w:w="0" w:type="auto"/>
            <w:hideMark/>
          </w:tcPr>
          <w:p w:rsidR="00BE16D9" w:rsidRPr="00BE16D9" w:rsidRDefault="00BE16D9" w:rsidP="00BE16D9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Done — CSS variables from validated hex </w:t>
            </w:r>
            <w:proofErr w:type="spellStart"/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colours</w:t>
            </w:r>
            <w:proofErr w:type="spellEnd"/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; approved fonts</w:t>
            </w:r>
          </w:p>
        </w:tc>
      </w:tr>
      <w:tr w:rsidR="00BE16D9" w:rsidRPr="00BE16D9" w:rsidTr="00BE16D9">
        <w:tc>
          <w:tcPr>
            <w:tcW w:w="0" w:type="auto"/>
            <w:hideMark/>
          </w:tcPr>
          <w:p w:rsidR="00BE16D9" w:rsidRPr="00BE16D9" w:rsidRDefault="00BE16D9" w:rsidP="00BE16D9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Dynamic tenant branding</w:t>
            </w:r>
          </w:p>
        </w:tc>
        <w:tc>
          <w:tcPr>
            <w:tcW w:w="0" w:type="auto"/>
            <w:hideMark/>
          </w:tcPr>
          <w:p w:rsidR="00BE16D9" w:rsidRPr="00BE16D9" w:rsidRDefault="00BE16D9" w:rsidP="00BE16D9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 </w:t>
            </w:r>
            <w:proofErr w:type="spellStart"/>
            <w:r w:rsidRPr="00BE16D9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BrandingService</w:t>
            </w:r>
            <w:proofErr w:type="spellEnd"/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 (cached, forgotten on publish) on login, </w:t>
            </w:r>
            <w:proofErr w:type="spellStart"/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nav</w:t>
            </w:r>
            <w:proofErr w:type="spellEnd"/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title, favicon</w:t>
            </w:r>
          </w:p>
        </w:tc>
      </w:tr>
      <w:tr w:rsidR="00BE16D9" w:rsidRPr="00BE16D9" w:rsidTr="00BE16D9">
        <w:tc>
          <w:tcPr>
            <w:tcW w:w="0" w:type="auto"/>
            <w:hideMark/>
          </w:tcPr>
          <w:p w:rsidR="00BE16D9" w:rsidRPr="00BE16D9" w:rsidRDefault="00BE16D9" w:rsidP="00BE16D9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Tenant-specific login page</w:t>
            </w:r>
          </w:p>
        </w:tc>
        <w:tc>
          <w:tcPr>
            <w:tcW w:w="0" w:type="auto"/>
            <w:hideMark/>
          </w:tcPr>
          <w:p w:rsidR="00BE16D9" w:rsidRPr="00BE16D9" w:rsidRDefault="00BE16D9" w:rsidP="00BE16D9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Done — heading, message, </w:t>
            </w:r>
            <w:proofErr w:type="spellStart"/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colours</w:t>
            </w:r>
            <w:proofErr w:type="spellEnd"/>
            <w:r w:rsidRPr="00BE16D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, logo, footer</w:t>
            </w:r>
          </w:p>
        </w:tc>
      </w:tr>
    </w:tbl>
    <w:p w:rsidR="0019306B" w:rsidRDefault="0019306B" w:rsidP="0019306B"/>
    <w:p w:rsidR="00051561" w:rsidRPr="00051561" w:rsidRDefault="00051561" w:rsidP="00051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561">
        <w:rPr>
          <w:rFonts w:ascii="Times New Roman" w:eastAsia="Times New Roman" w:hAnsi="Times New Roman" w:cs="Times New Roman"/>
          <w:kern w:val="0"/>
          <w14:ligatures w14:val="none"/>
        </w:rPr>
        <w:t>Not fully wired yet (safe to commit; not blockers for this milestone):</w:t>
      </w:r>
    </w:p>
    <w:p w:rsidR="00051561" w:rsidRPr="00051561" w:rsidRDefault="00051561" w:rsidP="00051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561">
        <w:rPr>
          <w:rFonts w:ascii="Times New Roman" w:eastAsia="Times New Roman" w:hAnsi="Times New Roman" w:cs="Times New Roman"/>
          <w:kern w:val="0"/>
          <w14:ligatures w14:val="none"/>
        </w:rPr>
        <w:t>Login panel image can be uploaded, but the login layout does not render </w:t>
      </w:r>
      <w:proofErr w:type="spellStart"/>
      <w:r w:rsidRPr="000515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loginImageUrl</w:t>
      </w:r>
      <w:proofErr w:type="spellEnd"/>
      <w:r w:rsidRPr="00051561">
        <w:rPr>
          <w:rFonts w:ascii="Times New Roman" w:eastAsia="Times New Roman" w:hAnsi="Times New Roman" w:cs="Times New Roman"/>
          <w:kern w:val="0"/>
          <w14:ligatures w14:val="none"/>
        </w:rPr>
        <w:t> yet.</w:t>
      </w:r>
    </w:p>
    <w:p w:rsidR="00051561" w:rsidRPr="00051561" w:rsidRDefault="00051561" w:rsidP="000515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561">
        <w:rPr>
          <w:rFonts w:ascii="Times New Roman" w:eastAsia="Times New Roman" w:hAnsi="Times New Roman" w:cs="Times New Roman"/>
          <w:kern w:val="0"/>
          <w14:ligatures w14:val="none"/>
        </w:rPr>
        <w:t xml:space="preserve">Mail chrome still uses the ORBIT lockup. Invitation links already use the tenant URL and </w:t>
      </w:r>
      <w:proofErr w:type="spellStart"/>
      <w:r w:rsidRPr="00051561">
        <w:rPr>
          <w:rFonts w:ascii="Times New Roman" w:eastAsia="Times New Roman" w:hAnsi="Times New Roman" w:cs="Times New Roman"/>
          <w:kern w:val="0"/>
          <w14:ligatures w14:val="none"/>
        </w:rPr>
        <w:t>organisation</w:t>
      </w:r>
      <w:proofErr w:type="spellEnd"/>
      <w:r w:rsidRPr="00051561">
        <w:rPr>
          <w:rFonts w:ascii="Times New Roman" w:eastAsia="Times New Roman" w:hAnsi="Times New Roman" w:cs="Times New Roman"/>
          <w:kern w:val="0"/>
          <w14:ligatures w14:val="none"/>
        </w:rPr>
        <w:t xml:space="preserve"> name.</w:t>
      </w:r>
    </w:p>
    <w:p w:rsidR="0019306B" w:rsidRDefault="0019306B" w:rsidP="0019306B"/>
    <w:p w:rsidR="0019306B" w:rsidRPr="006A47EB" w:rsidRDefault="0019306B" w:rsidP="0019306B">
      <w:pPr>
        <w:rPr>
          <w:b/>
        </w:rPr>
      </w:pPr>
      <w:r>
        <w:t xml:space="preserve">## </w:t>
      </w:r>
      <w:r w:rsidR="006A47EB">
        <w:rPr>
          <w:b/>
        </w:rPr>
        <w:t>Administration — done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6"/>
        <w:gridCol w:w="6804"/>
      </w:tblGrid>
      <w:tr w:rsidR="006A47EB" w:rsidRPr="006A47EB" w:rsidTr="006A47EB">
        <w:tc>
          <w:tcPr>
            <w:tcW w:w="0" w:type="auto"/>
            <w:noWrap/>
            <w:hideMark/>
          </w:tcPr>
          <w:p w:rsidR="006A47EB" w:rsidRPr="006A47EB" w:rsidRDefault="006A47EB" w:rsidP="006A47EB">
            <w:pPr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</w:pPr>
            <w:r w:rsidRPr="006A47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Item</w:t>
            </w:r>
          </w:p>
        </w:tc>
        <w:tc>
          <w:tcPr>
            <w:tcW w:w="0" w:type="auto"/>
            <w:noWrap/>
            <w:hideMark/>
          </w:tcPr>
          <w:p w:rsidR="006A47EB" w:rsidRPr="006A47EB" w:rsidRDefault="006A47EB" w:rsidP="006A47EB">
            <w:pPr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</w:pPr>
            <w:r w:rsidRPr="006A47E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Status</w:t>
            </w:r>
          </w:p>
        </w:tc>
      </w:tr>
      <w:tr w:rsidR="006A47EB" w:rsidRPr="006A47EB" w:rsidTr="006A47EB">
        <w:tc>
          <w:tcPr>
            <w:tcW w:w="0" w:type="auto"/>
            <w:hideMark/>
          </w:tcPr>
          <w:p w:rsidR="006A47EB" w:rsidRPr="006A47EB" w:rsidRDefault="006A47EB" w:rsidP="006A47E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6A47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Organisation</w:t>
            </w:r>
            <w:proofErr w:type="spellEnd"/>
            <w:r w:rsidRPr="006A47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branding interface</w:t>
            </w:r>
          </w:p>
        </w:tc>
        <w:tc>
          <w:tcPr>
            <w:tcW w:w="0" w:type="auto"/>
            <w:hideMark/>
          </w:tcPr>
          <w:p w:rsidR="006A47EB" w:rsidRPr="006A47EB" w:rsidRDefault="006A47EB" w:rsidP="006A47E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A47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 Profile / Domains / Branding tabs (org + super admin)</w:t>
            </w:r>
          </w:p>
        </w:tc>
      </w:tr>
      <w:tr w:rsidR="006A47EB" w:rsidRPr="006A47EB" w:rsidTr="006A47EB">
        <w:tc>
          <w:tcPr>
            <w:tcW w:w="0" w:type="auto"/>
            <w:hideMark/>
          </w:tcPr>
          <w:p w:rsidR="006A47EB" w:rsidRPr="006A47EB" w:rsidRDefault="006A47EB" w:rsidP="006A47E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A47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Domain and alias management</w:t>
            </w:r>
          </w:p>
        </w:tc>
        <w:tc>
          <w:tcPr>
            <w:tcW w:w="0" w:type="auto"/>
            <w:hideMark/>
          </w:tcPr>
          <w:p w:rsidR="006A47EB" w:rsidRPr="006A47EB" w:rsidRDefault="006A47EB" w:rsidP="006A47E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A47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 register, primary, activate/deactivate, remove, custom-domain TXT check</w:t>
            </w:r>
          </w:p>
        </w:tc>
      </w:tr>
      <w:tr w:rsidR="006A47EB" w:rsidRPr="006A47EB" w:rsidTr="006A47EB">
        <w:tc>
          <w:tcPr>
            <w:tcW w:w="0" w:type="auto"/>
            <w:hideMark/>
          </w:tcPr>
          <w:p w:rsidR="006A47EB" w:rsidRPr="006A47EB" w:rsidRDefault="006A47EB" w:rsidP="006A47E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A47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Preview and publishing</w:t>
            </w:r>
          </w:p>
        </w:tc>
        <w:tc>
          <w:tcPr>
            <w:tcW w:w="0" w:type="auto"/>
            <w:hideMark/>
          </w:tcPr>
          <w:p w:rsidR="006A47EB" w:rsidRPr="006A47EB" w:rsidRDefault="006A47EB" w:rsidP="006A47E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A47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 save draft, preview login, publish</w:t>
            </w:r>
          </w:p>
        </w:tc>
      </w:tr>
      <w:tr w:rsidR="006A47EB" w:rsidRPr="006A47EB" w:rsidTr="006A47EB">
        <w:tc>
          <w:tcPr>
            <w:tcW w:w="0" w:type="auto"/>
            <w:hideMark/>
          </w:tcPr>
          <w:p w:rsidR="006A47EB" w:rsidRPr="006A47EB" w:rsidRDefault="006A47EB" w:rsidP="006A47E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A47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Permission checks</w:t>
            </w:r>
          </w:p>
        </w:tc>
        <w:tc>
          <w:tcPr>
            <w:tcW w:w="0" w:type="auto"/>
            <w:hideMark/>
          </w:tcPr>
          <w:p w:rsidR="006A47EB" w:rsidRPr="006A47EB" w:rsidRDefault="006A47EB" w:rsidP="006A47EB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6A47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 org </w:t>
            </w:r>
            <w:proofErr w:type="spellStart"/>
            <w:r w:rsidRPr="006A47E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organization.update</w:t>
            </w:r>
            <w:proofErr w:type="spellEnd"/>
            <w:r w:rsidRPr="006A47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; platform </w:t>
            </w:r>
            <w:proofErr w:type="spellStart"/>
            <w:r w:rsidRPr="006A47EB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platform.organizations.manage</w:t>
            </w:r>
            <w:proofErr w:type="spellEnd"/>
            <w:r w:rsidRPr="006A47EB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; tested</w:t>
            </w:r>
          </w:p>
        </w:tc>
      </w:tr>
    </w:tbl>
    <w:p w:rsidR="0019306B" w:rsidRDefault="0019306B" w:rsidP="0019306B"/>
    <w:p w:rsidR="0019306B" w:rsidRDefault="0019306B" w:rsidP="0019306B">
      <w:r>
        <w:t xml:space="preserve">## </w:t>
      </w:r>
      <w:r w:rsidRPr="000250A6">
        <w:rPr>
          <w:b/>
        </w:rPr>
        <w:t>Production readiness — partial (by design for local)</w:t>
      </w:r>
    </w:p>
    <w:p w:rsidR="0019306B" w:rsidRDefault="0019306B" w:rsidP="001930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7"/>
        <w:gridCol w:w="7283"/>
      </w:tblGrid>
      <w:tr w:rsidR="000250A6" w:rsidRPr="000250A6" w:rsidTr="000250A6">
        <w:tc>
          <w:tcPr>
            <w:tcW w:w="0" w:type="auto"/>
            <w:noWrap/>
            <w:hideMark/>
          </w:tcPr>
          <w:p w:rsidR="000250A6" w:rsidRPr="000250A6" w:rsidRDefault="000250A6" w:rsidP="000250A6">
            <w:pPr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</w:pPr>
            <w:r w:rsidRPr="000250A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Item</w:t>
            </w:r>
          </w:p>
        </w:tc>
        <w:tc>
          <w:tcPr>
            <w:tcW w:w="0" w:type="auto"/>
            <w:noWrap/>
            <w:hideMark/>
          </w:tcPr>
          <w:p w:rsidR="000250A6" w:rsidRPr="000250A6" w:rsidRDefault="000250A6" w:rsidP="000250A6">
            <w:pPr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</w:pPr>
            <w:r w:rsidRPr="000250A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Status</w:t>
            </w:r>
          </w:p>
        </w:tc>
      </w:tr>
      <w:tr w:rsidR="000250A6" w:rsidRPr="000250A6" w:rsidTr="000250A6">
        <w:tc>
          <w:tcPr>
            <w:tcW w:w="0" w:type="auto"/>
            <w:hideMark/>
          </w:tcPr>
          <w:p w:rsidR="000250A6" w:rsidRPr="000250A6" w:rsidRDefault="000250A6" w:rsidP="000250A6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Queue and cache isolation</w:t>
            </w:r>
          </w:p>
        </w:tc>
        <w:tc>
          <w:tcPr>
            <w:tcW w:w="0" w:type="auto"/>
            <w:hideMark/>
          </w:tcPr>
          <w:p w:rsidR="000250A6" w:rsidRPr="000250A6" w:rsidRDefault="000250A6" w:rsidP="000250A6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Partial. Branding cache keys include </w:t>
            </w:r>
            <w:r w:rsidRPr="000250A6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organization</w:t>
            </w:r>
            <w:proofErr w:type="gramStart"/>
            <w:r w:rsidRPr="000250A6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.{</w:t>
            </w:r>
            <w:proofErr w:type="gramEnd"/>
            <w:r w:rsidRPr="000250A6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id}</w:t>
            </w:r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Job pattern is </w:t>
            </w:r>
            <w:proofErr w:type="spellStart"/>
            <w:r w:rsidRPr="000250A6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IsTenantAware</w:t>
            </w:r>
            <w:proofErr w:type="spellEnd"/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+ </w:t>
            </w:r>
            <w:proofErr w:type="spellStart"/>
            <w:r w:rsidRPr="000250A6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RestoreTenantContext</w:t>
            </w:r>
            <w:proofErr w:type="spellEnd"/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. Only the sample job uses that trait; invitation mail is queued but </w:t>
            </w:r>
            <w:proofErr w:type="spellStart"/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serialises</w:t>
            </w:r>
            <w:proofErr w:type="spellEnd"/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its own invitation, so it does not restore tenant context.</w:t>
            </w:r>
          </w:p>
        </w:tc>
      </w:tr>
      <w:tr w:rsidR="000250A6" w:rsidRPr="000250A6" w:rsidTr="000250A6">
        <w:tc>
          <w:tcPr>
            <w:tcW w:w="0" w:type="auto"/>
            <w:hideMark/>
          </w:tcPr>
          <w:p w:rsidR="000250A6" w:rsidRPr="000250A6" w:rsidRDefault="000250A6" w:rsidP="000250A6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Long-running worker checks</w:t>
            </w:r>
          </w:p>
        </w:tc>
        <w:tc>
          <w:tcPr>
            <w:tcW w:w="0" w:type="auto"/>
            <w:hideMark/>
          </w:tcPr>
          <w:p w:rsidR="000250A6" w:rsidRPr="000250A6" w:rsidRDefault="000250A6" w:rsidP="000250A6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Partial. Octane was not installed. Context is a scoped binding with terminate/queue cleanup, and a test runs two sequential requests. That is Octane-safe code, not an Octane runtime test.</w:t>
            </w:r>
          </w:p>
        </w:tc>
      </w:tr>
      <w:tr w:rsidR="000250A6" w:rsidRPr="000250A6" w:rsidTr="000250A6">
        <w:tc>
          <w:tcPr>
            <w:tcW w:w="0" w:type="auto"/>
            <w:hideMark/>
          </w:tcPr>
          <w:p w:rsidR="000250A6" w:rsidRPr="000250A6" w:rsidRDefault="000250A6" w:rsidP="000250A6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DNS/SSL deployment documentation</w:t>
            </w:r>
          </w:p>
        </w:tc>
        <w:tc>
          <w:tcPr>
            <w:tcW w:w="0" w:type="auto"/>
            <w:hideMark/>
          </w:tcPr>
          <w:p w:rsidR="000250A6" w:rsidRPr="000250A6" w:rsidRDefault="000250A6" w:rsidP="000250A6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Done — </w:t>
            </w:r>
            <w:r w:rsidRPr="000250A6">
              <w:rPr>
                <w:rFonts w:ascii="Consolas" w:eastAsia="Times New Roman" w:hAnsi="Consolas" w:cs="Courier New"/>
                <w:kern w:val="0"/>
                <w:sz w:val="21"/>
                <w:szCs w:val="21"/>
                <w14:ligatures w14:val="none"/>
              </w:rPr>
              <w:t>.cursor/docs/implementation/dns-and-tls.md</w:t>
            </w:r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. No production DNS/TLS/proxy was changed.</w:t>
            </w:r>
          </w:p>
        </w:tc>
      </w:tr>
      <w:tr w:rsidR="000250A6" w:rsidRPr="000250A6" w:rsidTr="000250A6">
        <w:tc>
          <w:tcPr>
            <w:tcW w:w="0" w:type="auto"/>
            <w:hideMark/>
          </w:tcPr>
          <w:p w:rsidR="000250A6" w:rsidRPr="000250A6" w:rsidRDefault="000250A6" w:rsidP="000250A6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Performance and security testing</w:t>
            </w:r>
          </w:p>
        </w:tc>
        <w:tc>
          <w:tcPr>
            <w:tcW w:w="0" w:type="auto"/>
            <w:hideMark/>
          </w:tcPr>
          <w:p w:rsidR="000250A6" w:rsidRPr="000250A6" w:rsidRDefault="000250A6" w:rsidP="000250A6">
            <w:pPr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Partial. Security is covered by automated tests (unknown host, unverified custom domain, reserved subdomains, cross-tenant 404s, </w:t>
            </w:r>
            <w:proofErr w:type="gramStart"/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host</w:t>
            </w:r>
            <w:proofErr w:type="gramEnd"/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-only sessions). There is no load test or production </w:t>
            </w:r>
            <w:proofErr w:type="spellStart"/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pentest</w:t>
            </w:r>
            <w:proofErr w:type="spellEnd"/>
            <w:r w:rsidRPr="000250A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in this increment.</w:t>
            </w:r>
          </w:p>
        </w:tc>
      </w:tr>
    </w:tbl>
    <w:p w:rsidR="0019306B" w:rsidRDefault="0019306B" w:rsidP="0019306B"/>
    <w:p w:rsidR="0019306B" w:rsidRDefault="0019306B" w:rsidP="0019306B">
      <w:r>
        <w:t xml:space="preserve">## </w:t>
      </w:r>
      <w:r w:rsidRPr="003A0120">
        <w:rPr>
          <w:b/>
        </w:rPr>
        <w:t>Commit recommendation</w:t>
      </w:r>
    </w:p>
    <w:p w:rsidR="0019306B" w:rsidRDefault="0019306B" w:rsidP="0019306B"/>
    <w:p w:rsidR="0019306B" w:rsidRDefault="0019306B" w:rsidP="0019306B">
      <w:r>
        <w:t>**Yes — commit</w:t>
      </w:r>
      <w:proofErr w:type="gramStart"/>
      <w:r>
        <w:t>.*</w:t>
      </w:r>
      <w:proofErr w:type="gramEnd"/>
      <w:r>
        <w:t>* This is a complete hostname-tenancy slice for local/dev, with 158 tests passing last run.</w:t>
      </w:r>
    </w:p>
    <w:p w:rsidR="003A0120" w:rsidRPr="003A0120" w:rsidRDefault="003A0120" w:rsidP="003A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120">
        <w:rPr>
          <w:rFonts w:ascii="Times New Roman" w:eastAsia="Times New Roman" w:hAnsi="Times New Roman" w:cs="Times New Roman"/>
          <w:kern w:val="0"/>
          <w14:ligatures w14:val="none"/>
        </w:rPr>
        <w:t>Yes — commit. This is a complete hostname-tenancy slice for local/dev, with 158 tests passing last run.</w:t>
      </w:r>
    </w:p>
    <w:p w:rsidR="003A0120" w:rsidRPr="003A0120" w:rsidRDefault="003A0120" w:rsidP="003A0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3A0120">
        <w:rPr>
          <w:rFonts w:ascii="Times New Roman" w:eastAsia="Times New Roman" w:hAnsi="Times New Roman" w:cs="Times New Roman"/>
          <w:b/>
          <w:kern w:val="0"/>
          <w14:ligatures w14:val="none"/>
        </w:rPr>
        <w:t>Leave for a follow-up, not this commit:</w:t>
      </w:r>
    </w:p>
    <w:p w:rsidR="003A0120" w:rsidRPr="003A0120" w:rsidRDefault="003A0120" w:rsidP="003A0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120">
        <w:rPr>
          <w:rFonts w:ascii="Times New Roman" w:eastAsia="Times New Roman" w:hAnsi="Times New Roman" w:cs="Times New Roman"/>
          <w:kern w:val="0"/>
          <w14:ligatures w14:val="none"/>
        </w:rPr>
        <w:t xml:space="preserve">Render the uploaded login image on the </w:t>
      </w:r>
      <w:proofErr w:type="spellStart"/>
      <w:r w:rsidRPr="003A0120">
        <w:rPr>
          <w:rFonts w:ascii="Times New Roman" w:eastAsia="Times New Roman" w:hAnsi="Times New Roman" w:cs="Times New Roman"/>
          <w:kern w:val="0"/>
          <w14:ligatures w14:val="none"/>
        </w:rPr>
        <w:t>auth</w:t>
      </w:r>
      <w:proofErr w:type="spellEnd"/>
      <w:r w:rsidRPr="003A0120">
        <w:rPr>
          <w:rFonts w:ascii="Times New Roman" w:eastAsia="Times New Roman" w:hAnsi="Times New Roman" w:cs="Times New Roman"/>
          <w:kern w:val="0"/>
          <w14:ligatures w14:val="none"/>
        </w:rPr>
        <w:t xml:space="preserve"> layout.</w:t>
      </w:r>
    </w:p>
    <w:p w:rsidR="003A0120" w:rsidRPr="003A0120" w:rsidRDefault="003A0120" w:rsidP="003A0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1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Apply tenant logo on mail templates (keep ORBIT attribution).</w:t>
      </w:r>
    </w:p>
    <w:p w:rsidR="003A0120" w:rsidRPr="003A0120" w:rsidRDefault="003A0120" w:rsidP="003A0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120">
        <w:rPr>
          <w:rFonts w:ascii="Times New Roman" w:eastAsia="Times New Roman" w:hAnsi="Times New Roman" w:cs="Times New Roman"/>
          <w:kern w:val="0"/>
          <w14:ligatures w14:val="none"/>
        </w:rPr>
        <w:t>Put </w:t>
      </w:r>
      <w:proofErr w:type="spellStart"/>
      <w:r w:rsidRPr="003A012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IsTenantAware</w:t>
      </w:r>
      <w:proofErr w:type="spellEnd"/>
      <w:r w:rsidRPr="003A0120">
        <w:rPr>
          <w:rFonts w:ascii="Times New Roman" w:eastAsia="Times New Roman" w:hAnsi="Times New Roman" w:cs="Times New Roman"/>
          <w:kern w:val="0"/>
          <w14:ligatures w14:val="none"/>
        </w:rPr>
        <w:t> on real queued tenant jobs as they appear.</w:t>
      </w:r>
    </w:p>
    <w:p w:rsidR="003A0120" w:rsidRPr="003A0120" w:rsidRDefault="003A0120" w:rsidP="003A0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120">
        <w:rPr>
          <w:rFonts w:ascii="Times New Roman" w:eastAsia="Times New Roman" w:hAnsi="Times New Roman" w:cs="Times New Roman"/>
          <w:kern w:val="0"/>
          <w14:ligatures w14:val="none"/>
        </w:rPr>
        <w:t>Install/run Octane only when you choose a production process model.</w:t>
      </w:r>
    </w:p>
    <w:p w:rsidR="003A0120" w:rsidRDefault="003A0120" w:rsidP="003A0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120">
        <w:rPr>
          <w:rFonts w:ascii="Times New Roman" w:eastAsia="Times New Roman" w:hAnsi="Times New Roman" w:cs="Times New Roman"/>
          <w:kern w:val="0"/>
          <w14:ligatures w14:val="none"/>
        </w:rPr>
        <w:t>Apply DNS/wildcard TLS when you deploy, using the doc.</w:t>
      </w:r>
    </w:p>
    <w:p w:rsidR="004451A4" w:rsidRPr="004451A4" w:rsidRDefault="004451A4" w:rsidP="004451A4">
      <w:pPr>
        <w:pStyle w:val="ListParagraph"/>
        <w:numPr>
          <w:ilvl w:val="0"/>
          <w:numId w:val="2"/>
        </w:numPr>
        <w:spacing w:before="240" w:after="0" w:line="240" w:lineRule="auto"/>
        <w:rPr>
          <w:rFonts w:ascii="Segoe UI" w:eastAsia="Times New Roman" w:hAnsi="Segoe UI" w:cs="Segoe UI"/>
          <w:kern w:val="0"/>
          <w:sz w:val="23"/>
          <w:szCs w:val="23"/>
          <w14:ligatures w14:val="none"/>
        </w:rPr>
      </w:pPr>
      <w:r w:rsidRPr="004451A4">
        <w:rPr>
          <w:rFonts w:ascii="Segoe UI" w:eastAsia="Times New Roman" w:hAnsi="Segoe UI" w:cs="Segoe UI"/>
          <w:kern w:val="0"/>
          <w:sz w:val="23"/>
          <w:szCs w:val="23"/>
          <w14:ligatures w14:val="none"/>
        </w:rPr>
        <w:t>Next milestone: Stage 4 attendance (QR sessions and field check-in), on these tenant hosts.</w:t>
      </w:r>
    </w:p>
    <w:p w:rsidR="004451A4" w:rsidRPr="003A0120" w:rsidRDefault="004451A4" w:rsidP="003A0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bookmarkEnd w:id="0"/>
    </w:p>
    <w:p w:rsidR="0067770C" w:rsidRDefault="0067770C" w:rsidP="003A0120"/>
    <w:p w:rsidR="004B4A50" w:rsidRDefault="004B4A50" w:rsidP="003A0120"/>
    <w:p w:rsidR="004B4A50" w:rsidRDefault="004B4A50" w:rsidP="003A0120">
      <w:pPr>
        <w:pBdr>
          <w:top w:val="double" w:sz="6" w:space="1" w:color="auto"/>
          <w:bottom w:val="double" w:sz="6" w:space="1" w:color="auto"/>
        </w:pBdr>
      </w:pPr>
    </w:p>
    <w:p w:rsidR="004B4A50" w:rsidRDefault="004B4A50" w:rsidP="003A0120"/>
    <w:sectPr w:rsidR="004B4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6B0BC6"/>
    <w:multiLevelType w:val="multilevel"/>
    <w:tmpl w:val="C484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27407"/>
    <w:multiLevelType w:val="multilevel"/>
    <w:tmpl w:val="FB7C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C4258"/>
    <w:multiLevelType w:val="multilevel"/>
    <w:tmpl w:val="FD38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81B8B"/>
    <w:multiLevelType w:val="multilevel"/>
    <w:tmpl w:val="931E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06B"/>
    <w:rsid w:val="000250A6"/>
    <w:rsid w:val="00051561"/>
    <w:rsid w:val="0019306B"/>
    <w:rsid w:val="001A69EF"/>
    <w:rsid w:val="003A0120"/>
    <w:rsid w:val="00434060"/>
    <w:rsid w:val="004451A4"/>
    <w:rsid w:val="004B4A50"/>
    <w:rsid w:val="004C232A"/>
    <w:rsid w:val="0067770C"/>
    <w:rsid w:val="006A47EB"/>
    <w:rsid w:val="008E1009"/>
    <w:rsid w:val="008E2542"/>
    <w:rsid w:val="00BE16D9"/>
    <w:rsid w:val="00D90F87"/>
    <w:rsid w:val="00E70152"/>
    <w:rsid w:val="00F0062A"/>
    <w:rsid w:val="00FA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2F7869-BB0F-4302-9959-6F296664C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51A4"/>
  </w:style>
  <w:style w:type="paragraph" w:styleId="Heading2">
    <w:name w:val="heading 2"/>
    <w:basedOn w:val="Normal"/>
    <w:link w:val="Heading2Char"/>
    <w:uiPriority w:val="9"/>
    <w:qFormat/>
    <w:rsid w:val="004C23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9306B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prefix">
    <w:name w:val="ui-markdown__inline-path-prefix"/>
    <w:basedOn w:val="DefaultParagraphFont"/>
    <w:rsid w:val="0019306B"/>
  </w:style>
  <w:style w:type="character" w:customStyle="1" w:styleId="ui-markdowninline-path-filename">
    <w:name w:val="ui-markdown__inline-path-filename"/>
    <w:basedOn w:val="DefaultParagraphFont"/>
    <w:rsid w:val="0019306B"/>
  </w:style>
  <w:style w:type="table" w:styleId="PlainTable1">
    <w:name w:val="Plain Table 1"/>
    <w:basedOn w:val="TableNormal"/>
    <w:uiPriority w:val="41"/>
    <w:rsid w:val="001930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193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i-markdownparagraph">
    <w:name w:val="ui-markdown__paragraph"/>
    <w:basedOn w:val="Normal"/>
    <w:rsid w:val="00051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C232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ListParagraph">
    <w:name w:val="List Paragraph"/>
    <w:basedOn w:val="Normal"/>
    <w:uiPriority w:val="34"/>
    <w:qFormat/>
    <w:rsid w:val="004451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3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7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7570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618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47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6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4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72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39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86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58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11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3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04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0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39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2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2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2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1352</Words>
  <Characters>7712</Characters>
  <Application>Microsoft Office Word</Application>
  <DocSecurity>0</DocSecurity>
  <Lines>64</Lines>
  <Paragraphs>18</Paragraphs>
  <ScaleCrop>false</ScaleCrop>
  <Company/>
  <LinksUpToDate>false</LinksUpToDate>
  <CharactersWithSpaces>9046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2026-10-31T07:13:00Z</dcterms:created>
  <dcterms:modified xsi:type="dcterms:W3CDTF">2026-10-31T07:30:00Z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f8d1bb71-1b6d-46c3-9726-2f91fe4feba9</vt:lpwstr>
  </property>
</Properties>
</file>