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jc w:val="center"/>
      </w:pPr>
      <w:r>
        <w:rPr>
          <w:rFonts w:ascii="Arial" w:hAnsi="Arial"/>
          <w:b/>
          <w:color w:val="009944"/>
          <w:sz w:val="56"/>
        </w:rPr>
        <w:t>⬡  C E R B E R U S  L O C A L  ⬡</w:t>
      </w:r>
    </w:p>
    <w:p>
      <w:pPr>
        <w:jc w:val="center"/>
      </w:pPr>
      <w:r>
        <w:rPr>
          <w:i/>
          <w:color w:val="666666"/>
          <w:sz w:val="28"/>
        </w:rPr>
        <w:t>MANUAL TÉCNICO DE REFERENCIA Y OPERACIÓN</w:t>
        <w:br/>
        <w:t>EDR Híbrido con IA Local Offline para Entornos Windows</w:t>
      </w:r>
    </w:p>
    <w:p>
      <w:pPr>
        <w:spacing w:before="3600"/>
        <w:jc w:val="center"/>
      </w:pPr>
      <w:r>
        <w:rPr>
          <w:color w:val="888888"/>
          <w:sz w:val="20"/>
        </w:rPr>
        <w:t>Versión del Agente: v0.7.0 (M6)</w:t>
        <w:br/>
        <w:t>Fecha: Mayo 2026</w:t>
        <w:br/>
        <w:t>Ecosistema de Ciberseguridad HADES</w:t>
      </w:r>
    </w:p>
    <w:p>
      <w:r>
        <w:br w:type="page"/>
      </w:r>
    </w:p>
    <w:p>
      <w:pPr>
        <w:keepNext/>
        <w:spacing w:before="360" w:after="120"/>
      </w:pPr>
      <w:r>
        <w:rPr>
          <w:rFonts w:ascii="Arial" w:hAnsi="Arial"/>
          <w:b/>
          <w:color w:val="008833"/>
          <w:sz w:val="36"/>
        </w:rPr>
        <w:t>1. Introducción y Propuesta de Valor</w:t>
      </w:r>
    </w:p>
    <w:p>
      <w:pPr>
        <w:spacing w:after="120" w:line="276" w:lineRule="auto"/>
      </w:pPr>
      <w:r>
        <w:rPr>
          <w:b/>
        </w:rPr>
        <w:t xml:space="preserve">CERBERUS-LOCAL </w:t>
      </w:r>
      <w:r>
        <w:t>es una solución defensiva de tipo EDR (Endpoint Detection and Response) híbrida e instalable de manera local en hosts Windows. Nace como un fork y andamiaje especializado para el despliegue en producción a partir del ecosistema defensivo de HADES, optimizado para operaciones en servidores o estaciones de trabajo reales.</w:t>
      </w:r>
    </w:p>
    <w:p>
      <w:pPr>
        <w:keepNext/>
        <w:spacing w:before="240" w:after="80"/>
      </w:pPr>
      <w:r>
        <w:rPr>
          <w:rFonts w:ascii="Arial" w:hAnsi="Arial"/>
          <w:b/>
          <w:color w:val="335533"/>
          <w:sz w:val="28"/>
        </w:rPr>
        <w:t>1.1 Propuesta de Valor</w:t>
      </w:r>
    </w:p>
    <w:p>
      <w:pPr>
        <w:pStyle w:val="ListBullet"/>
        <w:spacing w:after="80" w:line="276" w:lineRule="auto"/>
      </w:pPr>
      <w:r>
        <w:rPr>
          <w:b/>
        </w:rPr>
        <w:t xml:space="preserve">Privacidad Absoluta (Offline AI): </w:t>
      </w:r>
      <w:r>
        <w:t>Ejecuta inferencias de inteligencia artificial localmente mediante Ollama, sin enviar tráfico hacia APIs externas ni requerir conexión a Internet. Esto asegura la máxima confidencialidad en entornos sensibles corporativos.</w:t>
      </w:r>
    </w:p>
    <w:p>
      <w:pPr>
        <w:pStyle w:val="ListBullet"/>
        <w:spacing w:after="80" w:line="276" w:lineRule="auto"/>
      </w:pPr>
      <w:r>
        <w:rPr>
          <w:b/>
        </w:rPr>
        <w:t xml:space="preserve">Bajo Consumo de Recursos: </w:t>
      </w:r>
      <w:r>
        <w:t>Su arquitectura ligera en Python consume menos de un 5% de CPU y menos de 200MB de RAM en reposo (baseline 24h), lo que evita cuellos de botella en sistemas de producción.</w:t>
      </w:r>
    </w:p>
    <w:p>
      <w:pPr>
        <w:pStyle w:val="ListBullet"/>
        <w:spacing w:after="80" w:line="276" w:lineRule="auto"/>
      </w:pPr>
      <w:r>
        <w:rPr>
          <w:b/>
        </w:rPr>
        <w:t xml:space="preserve">Protección de Integridad: </w:t>
      </w:r>
      <w:r>
        <w:t>Verificación criptográfica constante del árbol de archivos del agente. Cualquier modificación sospechosa dispara alertas inmediatas y mitiga en caliente, impidiendo intrusiones o alteraciones maliciosas (anti-tampering).</w:t>
      </w:r>
    </w:p>
    <w:p>
      <w:pPr>
        <w:pStyle w:val="ListBullet"/>
        <w:spacing w:after="80" w:line="276" w:lineRule="auto"/>
      </w:pPr>
      <w:r>
        <w:rPr>
          <w:b/>
        </w:rPr>
        <w:t xml:space="preserve">Mitigación Activa Avanzada: </w:t>
      </w:r>
      <w:r>
        <w:t>Capacidad de bloquear procesos, aislar puertos o enviar archivos a cuarentena de manera 100% automatizada o bajo autorización del operador mediante políticas de respuesta flexibles.</w:t>
      </w:r>
    </w:p>
    <w:p>
      <w:pPr>
        <w:pStyle w:val="ListBullet"/>
        <w:spacing w:after="80" w:line="276" w:lineRule="auto"/>
      </w:pPr>
      <w:r>
        <w:rPr>
          <w:b/>
        </w:rPr>
        <w:t xml:space="preserve">Mecanismo de Rollback: </w:t>
      </w:r>
      <w:r>
        <w:t>Las acciones automáticas aplicadas (como cuarentena o cambios de políticas) pueden revertirse de manera controlada y transparente, garantizando la continuidad de negocio ante falsos positivos.</w:t>
      </w:r>
    </w:p>
    <w:p>
      <w:pPr>
        <w:keepNext/>
        <w:spacing w:before="360" w:after="120"/>
      </w:pPr>
      <w:r>
        <w:rPr>
          <w:rFonts w:ascii="Arial" w:hAnsi="Arial"/>
          <w:b/>
          <w:color w:val="008833"/>
          <w:sz w:val="36"/>
        </w:rPr>
        <w:t>2. Arquitectura de Colectores y Funcionamiento Paso a Paso</w:t>
      </w:r>
    </w:p>
    <w:p>
      <w:pPr>
        <w:spacing w:after="120" w:line="276" w:lineRule="auto"/>
      </w:pPr>
      <w:r>
        <w:t>El agente Cerberus opera en ciclos continuos a través de un bus de eventos coordinado. A continuación se desglosa el flujo paso a paso de su funcionamiento interno:</w:t>
      </w:r>
    </w:p>
    <w:p>
      <w:pPr>
        <w:keepNext/>
        <w:spacing w:before="240" w:after="80"/>
      </w:pPr>
      <w:r>
        <w:rPr>
          <w:rFonts w:ascii="Arial" w:hAnsi="Arial"/>
          <w:b/>
          <w:color w:val="335533"/>
          <w:sz w:val="28"/>
        </w:rPr>
        <w:t>Paso 0: Inicialización y Auto-verificación de Integridad</w:t>
      </w:r>
    </w:p>
    <w:p>
      <w:pPr>
        <w:spacing w:after="120" w:line="276" w:lineRule="auto"/>
      </w:pPr>
      <w:r>
        <w:t>Al arrancar, Cerberus verifica las firmas criptográficas del manifiesto contra su árbol de archivos local para asegurar que sus binarios, configuraciones y reglas no han sido manipulados externamente. A continuación, inicia el EventBus de alta velocidad y mapea los colectores habilitados en la configuración.</w:t>
      </w:r>
    </w:p>
    <w:p>
      <w:pPr>
        <w:keepNext/>
        <w:spacing w:before="240" w:after="80"/>
      </w:pPr>
      <w:r>
        <w:rPr>
          <w:rFonts w:ascii="Arial" w:hAnsi="Arial"/>
          <w:b/>
          <w:color w:val="335533"/>
          <w:sz w:val="28"/>
        </w:rPr>
        <w:t>Paso 1: Recolección y Extracción de Telemetría (Colectores)</w:t>
      </w:r>
    </w:p>
    <w:p>
      <w:pPr>
        <w:spacing w:after="120" w:line="276" w:lineRule="auto"/>
      </w:pPr>
      <w:r>
        <w:t>El agente activa cuatro colectores asíncronos concurrentes que extraen telemetría en vivo:</w:t>
      </w:r>
    </w:p>
    <w:p>
      <w:pPr>
        <w:pStyle w:val="ListBullet"/>
        <w:spacing w:after="80" w:line="276" w:lineRule="auto"/>
      </w:pPr>
      <w:r>
        <w:rPr>
          <w:b/>
        </w:rPr>
        <w:t xml:space="preserve">ProcCollector (Procesos): </w:t>
      </w:r>
      <w:r>
        <w:t>Monitorea constantemente la creación, modificación y finalización de procesos. Captura PIDs, rutas ejecutables, consumo de CPU y usuarios.</w:t>
      </w:r>
    </w:p>
    <w:p>
      <w:pPr>
        <w:pStyle w:val="ListBullet"/>
        <w:spacing w:after="80" w:line="276" w:lineRule="auto"/>
      </w:pPr>
      <w:r>
        <w:rPr>
          <w:b/>
        </w:rPr>
        <w:t xml:space="preserve">NetCollector (Red y DNS): </w:t>
      </w:r>
      <w:r>
        <w:t>Captura de paquetes de red y telemetría de consultas de resolución de nombres DNS. Funciona mediante un driver inyectable (Npcap / PyShark) que degrada de forma segura a consultas periódicas del socket de Windows si el driver no está disponible.</w:t>
      </w:r>
    </w:p>
    <w:p>
      <w:pPr>
        <w:pStyle w:val="ListBullet"/>
        <w:spacing w:after="80" w:line="276" w:lineRule="auto"/>
      </w:pPr>
      <w:r>
        <w:rPr>
          <w:b/>
        </w:rPr>
        <w:t xml:space="preserve">FsCollector (Sistema de Archivos): </w:t>
      </w:r>
      <w:r>
        <w:t>Monitorea directorios críticos del sistema. Detecta eventos masivos de renombrado o alta entropía (patrones típicos de ransomware cifrando archivos).</w:t>
      </w:r>
    </w:p>
    <w:p>
      <w:pPr>
        <w:pStyle w:val="ListBullet"/>
        <w:spacing w:after="80" w:line="276" w:lineRule="auto"/>
      </w:pPr>
      <w:r>
        <w:rPr>
          <w:b/>
        </w:rPr>
        <w:t xml:space="preserve">EvtCollector (Visor de Eventos de Windows): </w:t>
      </w:r>
      <w:r>
        <w:t>Se subscribe a los canales oficiales del visor de eventos de Windows para interceptar anomalías a nivel del sistema operativo y Active Directory.</w:t>
      </w:r>
    </w:p>
    <w:p>
      <w:pPr>
        <w:keepNext/>
        <w:spacing w:before="240" w:after="80"/>
      </w:pPr>
      <w:r>
        <w:rPr>
          <w:rFonts w:ascii="Arial" w:hAnsi="Arial"/>
          <w:b/>
          <w:color w:val="335533"/>
          <w:sz w:val="28"/>
        </w:rPr>
        <w:t>Paso 2: Procesamiento y Correlación (EventBus &amp; Correlator)</w:t>
      </w:r>
    </w:p>
    <w:p>
      <w:pPr>
        <w:spacing w:after="120" w:line="276" w:lineRule="auto"/>
      </w:pPr>
      <w:r>
        <w:t>Todos los eventos recolectados se envían al bus central de eventos. El motor de correlación analiza las fuentes en ventanas temporales configurables (ej. 60 segundos). Si se detecta un patrón sospechoso proveniente de múltiples fuentes (como un script de PowerShell haciendo conexiones extrañas mientras modifica archivos), se genera un Hallazgo (Finding).</w:t>
      </w:r>
    </w:p>
    <w:p>
      <w:pPr>
        <w:keepNext/>
        <w:spacing w:before="240" w:after="80"/>
      </w:pPr>
      <w:r>
        <w:rPr>
          <w:rFonts w:ascii="Arial" w:hAnsi="Arial"/>
          <w:b/>
          <w:color w:val="335533"/>
          <w:sz w:val="28"/>
        </w:rPr>
        <w:t>Paso 3: Triage y Enriquecimiento de Amenazas mediante IA Local (Ollama)</w:t>
      </w:r>
    </w:p>
    <w:p>
      <w:pPr>
        <w:spacing w:after="120" w:line="276" w:lineRule="auto"/>
      </w:pPr>
      <w:r>
        <w:t>El Hallazgo es interceptado por el AIAnalyst. Utiliza una plantilla de prompt securizada e inyecta la información estructurada al modelo local de Ollama (ej. llama3-EDR). El modelo procesa la información offline y devuelve:</w:t>
      </w:r>
    </w:p>
    <w:p>
      <w:pPr>
        <w:pStyle w:val="ListBullet"/>
        <w:spacing w:after="80" w:line="276" w:lineRule="auto"/>
      </w:pPr>
      <w:r>
        <w:rPr>
          <w:b/>
        </w:rPr>
        <w:t xml:space="preserve">Familia Estimada: </w:t>
      </w:r>
      <w:r>
        <w:t>Clasifica la amenaza bajo familias conocidas (Ransomware, Trojan, Cryptominer, Spyware, etc.).</w:t>
      </w:r>
    </w:p>
    <w:p>
      <w:pPr>
        <w:pStyle w:val="ListBullet"/>
        <w:spacing w:after="80" w:line="276" w:lineRule="auto"/>
      </w:pPr>
      <w:r>
        <w:rPr>
          <w:b/>
        </w:rPr>
        <w:t xml:space="preserve">Nivel de Confianza: </w:t>
      </w:r>
      <w:r>
        <w:t>Entrega un nivel decimal que indica la seguridad del diagnóstico.</w:t>
      </w:r>
    </w:p>
    <w:p>
      <w:pPr>
        <w:pStyle w:val="ListBullet"/>
        <w:spacing w:after="80" w:line="276" w:lineRule="auto"/>
      </w:pPr>
      <w:r>
        <w:rPr>
          <w:b/>
        </w:rPr>
        <w:t xml:space="preserve">Ajuste de Severidad (Promoción): </w:t>
      </w:r>
      <w:r>
        <w:t>Si la IA detecta que la gravedad original estimada es incorrecta, la promueve a un nivel mayor.</w:t>
      </w:r>
    </w:p>
    <w:p>
      <w:pPr>
        <w:keepNext/>
        <w:spacing w:before="240" w:after="80"/>
      </w:pPr>
      <w:r>
        <w:rPr>
          <w:rFonts w:ascii="Arial" w:hAnsi="Arial"/>
          <w:b/>
          <w:color w:val="335533"/>
          <w:sz w:val="28"/>
        </w:rPr>
        <w:t>Paso 4: Motor de Políticas y Toma de Decisiones (PolicyEngine)</w:t>
      </w:r>
    </w:p>
    <w:p>
      <w:pPr>
        <w:spacing w:after="120" w:line="276" w:lineRule="auto"/>
      </w:pPr>
      <w:r>
        <w:t>El motor de políticas asocia el Hallazgo enriquecido con reglas específicas de mitigación cargadas en caliente (archivos YAML). Dependiendo del modo operativo del agente:</w:t>
      </w:r>
    </w:p>
    <w:p>
      <w:pPr>
        <w:pStyle w:val="ListBullet"/>
        <w:spacing w:after="80" w:line="276" w:lineRule="auto"/>
      </w:pPr>
      <w:r>
        <w:rPr>
          <w:b/>
        </w:rPr>
        <w:t xml:space="preserve">Modo Dry-Run (Pasivo): </w:t>
      </w:r>
      <w:r>
        <w:t>Registra el hallazgo en la base de datos de SQLite y lo reporta en la terminal sin aplicar cambios restrictivos en el sistema.</w:t>
      </w:r>
    </w:p>
    <w:p>
      <w:pPr>
        <w:pStyle w:val="ListBullet"/>
        <w:spacing w:after="80" w:line="276" w:lineRule="auto"/>
      </w:pPr>
      <w:r>
        <w:rPr>
          <w:b/>
        </w:rPr>
        <w:t xml:space="preserve">Modo Auto-Critical (Activo): </w:t>
      </w:r>
      <w:r>
        <w:t>Aplica medidas de respuesta inmediata si la severidad del hallazgo supera el umbral crítico configurado.</w:t>
      </w:r>
    </w:p>
    <w:p>
      <w:pPr>
        <w:keepNext/>
        <w:spacing w:before="240" w:after="80"/>
      </w:pPr>
      <w:r>
        <w:rPr>
          <w:rFonts w:ascii="Arial" w:hAnsi="Arial"/>
          <w:b/>
          <w:color w:val="335533"/>
          <w:sz w:val="28"/>
        </w:rPr>
        <w:t>Paso 5: Ejecución de Mitigación y Respuesta (SystemExecutor)</w:t>
      </w:r>
    </w:p>
    <w:p>
      <w:pPr>
        <w:spacing w:after="120" w:line="276" w:lineRule="auto"/>
      </w:pPr>
      <w:r>
        <w:t>El SystemExecutor aplica de inmediato las acciones necesarias:</w:t>
      </w:r>
    </w:p>
    <w:p>
      <w:pPr>
        <w:pStyle w:val="ListBullet"/>
        <w:spacing w:after="80" w:line="276" w:lineRule="auto"/>
      </w:pPr>
      <w:r>
        <w:rPr>
          <w:b/>
        </w:rPr>
        <w:t xml:space="preserve">Kill PID: </w:t>
      </w:r>
      <w:r>
        <w:t>Termina el proceso atacante en el sistema.</w:t>
      </w:r>
    </w:p>
    <w:p>
      <w:pPr>
        <w:pStyle w:val="ListBullet"/>
        <w:spacing w:after="80" w:line="276" w:lineRule="auto"/>
      </w:pPr>
      <w:r>
        <w:rPr>
          <w:b/>
        </w:rPr>
        <w:t xml:space="preserve">Cuarentena de Archivos: </w:t>
      </w:r>
      <w:r>
        <w:t>Mueve el archivo malicioso a un directorio cifrado y protegido.</w:t>
      </w:r>
    </w:p>
    <w:p>
      <w:pPr>
        <w:pStyle w:val="ListBullet"/>
        <w:spacing w:after="80" w:line="276" w:lineRule="auto"/>
      </w:pPr>
      <w:r>
        <w:rPr>
          <w:b/>
        </w:rPr>
        <w:t xml:space="preserve">Aislamiento de Red: </w:t>
      </w:r>
      <w:r>
        <w:t>Deshabilita interfaces o bloquea el tráfico sospechoso.</w:t>
      </w:r>
    </w:p>
    <w:p>
      <w:pPr>
        <w:keepNext/>
        <w:spacing w:before="240" w:after="80"/>
      </w:pPr>
      <w:r>
        <w:rPr>
          <w:rFonts w:ascii="Arial" w:hAnsi="Arial"/>
          <w:b/>
          <w:color w:val="335533"/>
          <w:sz w:val="28"/>
        </w:rPr>
        <w:t>Paso 6: Consolidación y Reportes</w:t>
      </w:r>
    </w:p>
    <w:p>
      <w:pPr>
        <w:spacing w:after="120" w:line="276" w:lineRule="auto"/>
      </w:pPr>
      <w:r>
        <w:t>Se escriben informes maestros en Markdown dentro del directorio de reportes, detallando las IPs, PIDs y veredictos de la IA para las auditorías del administrador de seguridad.</w:t>
      </w:r>
    </w:p>
    <w:p>
      <w:pPr>
        <w:keepNext/>
        <w:spacing w:before="360" w:after="120"/>
      </w:pPr>
      <w:r>
        <w:rPr>
          <w:rFonts w:ascii="Arial" w:hAnsi="Arial"/>
          <w:b/>
          <w:color w:val="008833"/>
          <w:sz w:val="36"/>
        </w:rPr>
        <w:t>3. Guía de Instalación y Requisitos</w:t>
      </w:r>
    </w:p>
    <w:p>
      <w:pPr>
        <w:spacing w:after="120" w:line="276" w:lineRule="auto"/>
      </w:pPr>
      <w:r>
        <w:t>Para desplegar Cerberus Local de forma correcta en un entorno Windows de producción, se deben seguir los siguientes pasos y validar los requisitos.</w:t>
      </w:r>
    </w:p>
    <w:p>
      <w:pPr>
        <w:keepNext/>
        <w:spacing w:before="240" w:after="80"/>
      </w:pPr>
      <w:r>
        <w:rPr>
          <w:rFonts w:ascii="Arial" w:hAnsi="Arial"/>
          <w:b/>
          <w:color w:val="335533"/>
          <w:sz w:val="28"/>
        </w:rPr>
        <w:t>3.1 Requisitos Previos</w:t>
      </w:r>
    </w:p>
    <w:p>
      <w:pPr>
        <w:pStyle w:val="ListBullet"/>
        <w:spacing w:after="80" w:line="276" w:lineRule="auto"/>
      </w:pPr>
      <w:r>
        <w:rPr>
          <w:b/>
        </w:rPr>
        <w:t xml:space="preserve">Python: </w:t>
      </w:r>
      <w:r>
        <w:t>Instalación de Python 3.10, 3.11 o 3.12 (se recomienda 3.11) agregado al PATH.</w:t>
      </w:r>
    </w:p>
    <w:p>
      <w:pPr>
        <w:pStyle w:val="ListBullet"/>
        <w:spacing w:after="80" w:line="276" w:lineRule="auto"/>
      </w:pPr>
      <w:r>
        <w:rPr>
          <w:b/>
        </w:rPr>
        <w:t xml:space="preserve">Npcap (Recomendado): </w:t>
      </w:r>
      <w:r>
        <w:t>Driver necesario para la captura DNS y sniffing pasivo. Descargar e instalar desde su sitio oficial con soporte de compatibilidad WinPcap.</w:t>
      </w:r>
    </w:p>
    <w:p>
      <w:pPr>
        <w:pStyle w:val="ListBullet"/>
        <w:spacing w:after="80" w:line="276" w:lineRule="auto"/>
      </w:pPr>
      <w:r>
        <w:rPr>
          <w:b/>
        </w:rPr>
        <w:t xml:space="preserve">Ollama Service: </w:t>
      </w:r>
      <w:r>
        <w:t>Ollama instalado localmente con el modelo configurado (ej. llama3 o similar) levantado en el puerto por defecto (11434).</w:t>
      </w:r>
    </w:p>
    <w:p>
      <w:pPr>
        <w:pStyle w:val="ListBullet"/>
        <w:spacing w:after="80" w:line="276" w:lineRule="auto"/>
      </w:pPr>
      <w:r>
        <w:rPr>
          <w:b/>
        </w:rPr>
        <w:t xml:space="preserve">Privilegios de Sistema: </w:t>
      </w:r>
      <w:r>
        <w:t>Permisos de Administrador para registrar el servicio y ejecutar las políticas de mitigación activa.</w:t>
      </w:r>
    </w:p>
    <w:p>
      <w:pPr>
        <w:keepNext/>
        <w:spacing w:before="240" w:after="80"/>
      </w:pPr>
      <w:r>
        <w:rPr>
          <w:rFonts w:ascii="Arial" w:hAnsi="Arial"/>
          <w:b/>
          <w:color w:val="335533"/>
          <w:sz w:val="28"/>
        </w:rPr>
        <w:t>3.2 Instalación Paso a Paso</w:t>
      </w:r>
    </w:p>
    <w:p>
      <w:pPr>
        <w:spacing w:after="120" w:line="276" w:lineRule="auto"/>
      </w:pPr>
      <w:r>
        <w:t>1. Clonar o copiar el repositorio del agente Cerberus en el host Windows:</w:t>
      </w:r>
    </w:p>
    <w:p>
      <w:pPr>
        <w:spacing w:before="80" w:after="80"/>
        <w:ind w:left="576"/>
        <w:shd w:fill="F4F6F4"/>
      </w:pPr>
      <w:r>
        <w:rPr>
          <w:rFonts w:ascii="Courier New" w:hAnsi="Courier New"/>
          <w:color w:val="006622"/>
          <w:sz w:val="19"/>
        </w:rPr>
        <w:t>cd C:\Users\DELL 5420\Desktop\HADES ECOSYSTEM\cerberus-local</w:t>
      </w:r>
    </w:p>
    <w:p>
      <w:pPr>
        <w:spacing w:after="120" w:line="276" w:lineRule="auto"/>
      </w:pPr>
      <w:r>
        <w:t>2. Crear y activar el entorno virtual de Python:</w:t>
      </w:r>
    </w:p>
    <w:p>
      <w:pPr>
        <w:spacing w:before="80" w:after="80"/>
        <w:ind w:left="576"/>
        <w:shd w:fill="F4F6F4"/>
      </w:pPr>
      <w:r>
        <w:rPr>
          <w:rFonts w:ascii="Courier New" w:hAnsi="Courier New"/>
          <w:color w:val="006622"/>
          <w:sz w:val="19"/>
        </w:rPr>
        <w:t>python -m venv .venv</w:t>
        <w:br/>
        <w:t>.venv\Scripts\activate</w:t>
      </w:r>
    </w:p>
    <w:p>
      <w:pPr>
        <w:spacing w:after="120" w:line="276" w:lineRule="auto"/>
      </w:pPr>
      <w:r>
        <w:t>3. Instalar las dependencias y el paquete en modo editable (incluyendo utilidades de Windows):</w:t>
      </w:r>
    </w:p>
    <w:p>
      <w:pPr>
        <w:spacing w:before="80" w:after="80"/>
        <w:ind w:left="576"/>
        <w:shd w:fill="F4F6F4"/>
      </w:pPr>
      <w:r>
        <w:rPr>
          <w:rFonts w:ascii="Courier New" w:hAnsi="Courier New"/>
          <w:color w:val="006622"/>
          <w:sz w:val="19"/>
        </w:rPr>
        <w:t>pip install -e .[dev]</w:t>
        <w:br/>
        <w:t>pip install -e .[windows]</w:t>
      </w:r>
    </w:p>
    <w:p>
      <w:pPr>
        <w:spacing w:after="120" w:line="276" w:lineRule="auto"/>
      </w:pPr>
      <w:r>
        <w:t>4. Registrar el agente como un servicio nativo de Windows (se iniciará automáticamente al arrancar):</w:t>
      </w:r>
    </w:p>
    <w:p>
      <w:pPr>
        <w:spacing w:before="80" w:after="80"/>
        <w:ind w:left="576"/>
        <w:shd w:fill="F4F6F4"/>
      </w:pPr>
      <w:r>
        <w:rPr>
          <w:rFonts w:ascii="Courier New" w:hAnsi="Courier New"/>
          <w:color w:val="006622"/>
          <w:sz w:val="19"/>
        </w:rPr>
        <w:t>powershell -ExecutionPolicy Bypass -File .\packaging\install_service.ps1 -PythonExe ".venv\Scripts\python.exe"</w:t>
      </w:r>
    </w:p>
    <w:p>
      <w:pPr>
        <w:keepNext/>
        <w:spacing w:before="240" w:after="80"/>
      </w:pPr>
      <w:r>
        <w:rPr>
          <w:rFonts w:ascii="Arial" w:hAnsi="Arial"/>
          <w:b/>
          <w:color w:val="335533"/>
          <w:sz w:val="28"/>
        </w:rPr>
        <w:t>3.3 Comandos Principales de la CLI</w:t>
      </w:r>
    </w:p>
    <w:p>
      <w:pPr>
        <w:spacing w:after="120" w:line="276" w:lineRule="auto"/>
      </w:pPr>
      <w:r>
        <w:t>La interfaz de comandos permite controlar todas las facetas del agente de manera remota o local:</w:t>
      </w:r>
    </w:p>
    <w:p>
      <w:pPr>
        <w:pStyle w:val="ListBullet"/>
        <w:spacing w:after="80" w:line="276" w:lineRule="auto"/>
      </w:pPr>
      <w:r>
        <w:rPr>
          <w:b/>
        </w:rPr>
        <w:t xml:space="preserve">python cerberus_local.py start --dry-run: </w:t>
      </w:r>
      <w:r>
        <w:t>Inicia el bucle del EDR y abre el servidor del Dashboard en segundo plano.</w:t>
      </w:r>
    </w:p>
    <w:p>
      <w:pPr>
        <w:pStyle w:val="ListBullet"/>
        <w:spacing w:after="80" w:line="276" w:lineRule="auto"/>
      </w:pPr>
      <w:r>
        <w:rPr>
          <w:b/>
        </w:rPr>
        <w:t xml:space="preserve">python cerberus_local.py stop: </w:t>
      </w:r>
      <w:r>
        <w:t>Detiene el servicio o los procesos del agente en ejecución.</w:t>
      </w:r>
    </w:p>
    <w:p>
      <w:pPr>
        <w:pStyle w:val="ListBullet"/>
        <w:spacing w:after="80" w:line="276" w:lineRule="auto"/>
      </w:pPr>
      <w:r>
        <w:rPr>
          <w:b/>
        </w:rPr>
        <w:t xml:space="preserve">python cerberus_local.py status: </w:t>
      </w:r>
      <w:r>
        <w:t>Muestra estadísticas y conteos acumulados de la base de datos.</w:t>
      </w:r>
    </w:p>
    <w:p>
      <w:pPr>
        <w:pStyle w:val="ListBullet"/>
        <w:spacing w:after="80" w:line="276" w:lineRule="auto"/>
      </w:pPr>
      <w:r>
        <w:rPr>
          <w:b/>
        </w:rPr>
        <w:t xml:space="preserve">python cerberus_local.py mode auto_critical: </w:t>
      </w:r>
      <w:r>
        <w:t>Modifica dinámicamente el modo de mitigación activa (ej. dry_run o auto_critical).</w:t>
      </w:r>
    </w:p>
    <w:p>
      <w:pPr>
        <w:pStyle w:val="ListBullet"/>
        <w:spacing w:after="80" w:line="276" w:lineRule="auto"/>
      </w:pPr>
      <w:r>
        <w:rPr>
          <w:b/>
        </w:rPr>
        <w:t xml:space="preserve">python cerberus_local.py integrity verify: </w:t>
      </w:r>
      <w:r>
        <w:t>Verifica si algún archivo del core o configs del agente ha sido alterado.</w:t>
      </w:r>
    </w:p>
    <w:p>
      <w:pPr>
        <w:pStyle w:val="ListBullet"/>
        <w:spacing w:after="80" w:line="276" w:lineRule="auto"/>
      </w:pPr>
      <w:r>
        <w:rPr>
          <w:b/>
        </w:rPr>
        <w:t xml:space="preserve">python cerberus_local.py rollback &lt;ID_ACCION&gt;: </w:t>
      </w:r>
      <w:r>
        <w:t>Revierte una mitigación aplicada (ej. saca un archivo de la cuarentena).</w:t>
      </w:r>
    </w:p>
    <w:p>
      <w:pPr>
        <w:keepNext/>
        <w:spacing w:before="360" w:after="120"/>
      </w:pPr>
      <w:r>
        <w:rPr>
          <w:rFonts w:ascii="Arial" w:hAnsi="Arial"/>
          <w:b/>
          <w:color w:val="008833"/>
          <w:sz w:val="36"/>
        </w:rPr>
        <w:t>4. Resultados Operativos e Informes</w:t>
      </w:r>
    </w:p>
    <w:p>
      <w:pPr>
        <w:spacing w:after="120" w:line="276" w:lineRule="auto"/>
      </w:pPr>
      <w:r>
        <w:t>Cerberus Local genera diferentes tipos de outputs estructurados para auditorías forenses:</w:t>
      </w:r>
    </w:p>
    <w:p>
      <w:pPr>
        <w:keepNext/>
        <w:spacing w:before="240" w:after="80"/>
      </w:pPr>
      <w:r>
        <w:rPr>
          <w:rFonts w:ascii="Arial" w:hAnsi="Arial"/>
          <w:b/>
          <w:color w:val="335533"/>
          <w:sz w:val="28"/>
        </w:rPr>
        <w:t>4.1 Bases de Datos SQLite Locales</w:t>
      </w:r>
    </w:p>
    <w:p>
      <w:pPr>
        <w:spacing w:after="120" w:line="276" w:lineRule="auto"/>
      </w:pPr>
      <w:r>
        <w:t>La telemetría e incidencias se persisten de manera estructurada en bases de datos con modo Write-Ahead Logging (WAL) para permitir lectura concurrente rápida desde el Dashboard:</w:t>
      </w:r>
    </w:p>
    <w:p>
      <w:pPr>
        <w:pStyle w:val="ListBullet"/>
        <w:spacing w:after="80" w:line="276" w:lineRule="auto"/>
      </w:pPr>
      <w:r>
        <w:rPr>
          <w:b/>
        </w:rPr>
        <w:t xml:space="preserve">events.db: </w:t>
      </w:r>
      <w:r>
        <w:t>Contiene el histórico de cada proceso, conexión y cambio detectado.</w:t>
      </w:r>
    </w:p>
    <w:p>
      <w:pPr>
        <w:pStyle w:val="ListBullet"/>
        <w:spacing w:after="80" w:line="276" w:lineRule="auto"/>
      </w:pPr>
      <w:r>
        <w:rPr>
          <w:b/>
        </w:rPr>
        <w:t xml:space="preserve">findings.db: </w:t>
      </w:r>
      <w:r>
        <w:t>Registra las alertas de seguridad y el análisis cognitivo de Ollama IA.</w:t>
      </w:r>
    </w:p>
    <w:p>
      <w:pPr>
        <w:pStyle w:val="ListBullet"/>
        <w:spacing w:after="80" w:line="276" w:lineRule="auto"/>
      </w:pPr>
      <w:r>
        <w:rPr>
          <w:b/>
        </w:rPr>
        <w:t xml:space="preserve">actions.db: </w:t>
      </w:r>
      <w:r>
        <w:t>Almacena la bitácora de aislamientos, bloqueos y rollbacks ejecutados.</w:t>
      </w:r>
    </w:p>
    <w:p>
      <w:pPr>
        <w:keepNext/>
        <w:spacing w:before="240" w:after="80"/>
      </w:pPr>
      <w:r>
        <w:rPr>
          <w:rFonts w:ascii="Arial" w:hAnsi="Arial"/>
          <w:b/>
          <w:color w:val="335533"/>
          <w:sz w:val="28"/>
        </w:rPr>
        <w:t>4.2 Dashboard Interactivo Táctico</w:t>
      </w:r>
    </w:p>
    <w:p>
      <w:pPr>
        <w:spacing w:after="120" w:line="276" w:lineRule="auto"/>
      </w:pPr>
      <w:r>
        <w:t>Proporciona una visualización en vivo a través de un panel web (puerto 5000) con estética táctica. Muestra:</w:t>
      </w:r>
    </w:p>
    <w:p>
      <w:pPr>
        <w:pStyle w:val="ListBullet"/>
        <w:spacing w:after="80" w:line="276" w:lineRule="auto"/>
      </w:pPr>
      <w:r>
        <w:rPr>
          <w:b/>
        </w:rPr>
        <w:t xml:space="preserve">Monitor de Hardware Local: </w:t>
      </w:r>
      <w:r>
        <w:t>Visualización y telemetría de uso del procesador, RAM, disco y temperatura real.</w:t>
      </w:r>
    </w:p>
    <w:p>
      <w:pPr>
        <w:pStyle w:val="ListBullet"/>
        <w:spacing w:after="80" w:line="276" w:lineRule="auto"/>
      </w:pPr>
      <w:r>
        <w:rPr>
          <w:b/>
        </w:rPr>
        <w:t xml:space="preserve">Procesos Activos: </w:t>
      </w:r>
      <w:r>
        <w:t>Listado ordenado de consumos de CPU por PID con actualización periódica.</w:t>
      </w:r>
    </w:p>
    <w:p>
      <w:pPr>
        <w:pStyle w:val="ListBullet"/>
        <w:spacing w:after="80" w:line="276" w:lineRule="auto"/>
      </w:pPr>
      <w:r>
        <w:rPr>
          <w:b/>
        </w:rPr>
        <w:t xml:space="preserve">Tabla de Amenazas: </w:t>
      </w:r>
      <w:r>
        <w:t>Historial de alertas de severidad y detalle forense del triage de la IA.</w:t>
      </w:r>
    </w:p>
    <w:p>
      <w:pPr>
        <w:pStyle w:val="ListBullet"/>
        <w:spacing w:after="80" w:line="276" w:lineRule="auto"/>
      </w:pPr>
      <w:r>
        <w:rPr>
          <w:b/>
        </w:rPr>
        <w:t xml:space="preserve">Consola de logs: </w:t>
      </w:r>
      <w:r>
        <w:t>Terminal integrada que refleja en vivo los eventos recopilados por el EventBus.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