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4DD5F" w14:textId="651D7095" w:rsidR="00D81433" w:rsidRDefault="00D81433" w:rsidP="00406EE8">
      <w:pPr>
        <w:spacing w:line="360" w:lineRule="auto"/>
        <w:jc w:val="center"/>
        <w:rPr>
          <w:rFonts w:ascii="Times New Roman" w:hAnsi="Times New Roman" w:cs="Times New Roman"/>
          <w:b/>
          <w:bCs/>
          <w:sz w:val="28"/>
          <w:szCs w:val="28"/>
        </w:rPr>
      </w:pPr>
      <w:r w:rsidRPr="009D76E0">
        <w:rPr>
          <w:rFonts w:ascii="Times New Roman" w:hAnsi="Times New Roman" w:cs="Times New Roman"/>
          <w:b/>
          <w:i/>
          <w:sz w:val="28"/>
          <w:szCs w:val="28"/>
        </w:rPr>
        <w:t>Impact of</w:t>
      </w:r>
      <w:r>
        <w:rPr>
          <w:rFonts w:ascii="Times New Roman" w:hAnsi="Times New Roman" w:cs="Times New Roman"/>
          <w:b/>
          <w:i/>
          <w:sz w:val="28"/>
          <w:szCs w:val="28"/>
        </w:rPr>
        <w:t xml:space="preserve"> lifestyle modification for Prevention and Management of Thyroid and Hypertension in Pregnant Women: A Study</w:t>
      </w:r>
    </w:p>
    <w:p w14:paraId="78A0352D" w14:textId="77777777" w:rsidR="00D81433" w:rsidRDefault="00D81433" w:rsidP="00EF0802">
      <w:pPr>
        <w:spacing w:line="360" w:lineRule="auto"/>
        <w:jc w:val="center"/>
        <w:rPr>
          <w:rFonts w:ascii="Times New Roman" w:hAnsi="Times New Roman" w:cs="Times New Roman"/>
          <w:b/>
          <w:bCs/>
          <w:sz w:val="28"/>
          <w:szCs w:val="28"/>
        </w:rPr>
      </w:pPr>
    </w:p>
    <w:p w14:paraId="681ECDF3" w14:textId="77777777" w:rsidR="00D81433" w:rsidRDefault="00D81433" w:rsidP="00EF0802">
      <w:pPr>
        <w:spacing w:line="360" w:lineRule="auto"/>
        <w:jc w:val="center"/>
        <w:rPr>
          <w:rFonts w:ascii="Times New Roman" w:hAnsi="Times New Roman" w:cs="Times New Roman"/>
          <w:b/>
          <w:bCs/>
          <w:sz w:val="28"/>
          <w:szCs w:val="28"/>
        </w:rPr>
      </w:pPr>
    </w:p>
    <w:p w14:paraId="3F8537D1" w14:textId="77777777" w:rsidR="00D81433" w:rsidRDefault="00D81433" w:rsidP="00EF0802">
      <w:pPr>
        <w:spacing w:line="360" w:lineRule="auto"/>
        <w:jc w:val="center"/>
        <w:rPr>
          <w:rFonts w:ascii="Times New Roman" w:hAnsi="Times New Roman" w:cs="Times New Roman"/>
          <w:b/>
          <w:bCs/>
          <w:sz w:val="28"/>
          <w:szCs w:val="28"/>
        </w:rPr>
      </w:pPr>
    </w:p>
    <w:p w14:paraId="4A832D92" w14:textId="77777777" w:rsidR="00D81433" w:rsidRDefault="00D81433" w:rsidP="00EF0802">
      <w:pPr>
        <w:spacing w:line="360" w:lineRule="auto"/>
        <w:jc w:val="center"/>
        <w:rPr>
          <w:rFonts w:ascii="Times New Roman" w:hAnsi="Times New Roman" w:cs="Times New Roman"/>
          <w:b/>
          <w:bCs/>
          <w:sz w:val="28"/>
          <w:szCs w:val="28"/>
        </w:rPr>
      </w:pPr>
    </w:p>
    <w:p w14:paraId="0D515160" w14:textId="77777777" w:rsidR="00D81433" w:rsidRDefault="00D81433" w:rsidP="00EF0802">
      <w:pPr>
        <w:spacing w:line="360" w:lineRule="auto"/>
        <w:jc w:val="center"/>
        <w:rPr>
          <w:rFonts w:ascii="Times New Roman" w:hAnsi="Times New Roman" w:cs="Times New Roman"/>
          <w:b/>
          <w:bCs/>
          <w:sz w:val="28"/>
          <w:szCs w:val="28"/>
        </w:rPr>
      </w:pPr>
    </w:p>
    <w:p w14:paraId="670B97A8" w14:textId="77777777" w:rsidR="00D81433" w:rsidRDefault="00D81433" w:rsidP="00EF0802">
      <w:pPr>
        <w:spacing w:line="360" w:lineRule="auto"/>
        <w:jc w:val="center"/>
        <w:rPr>
          <w:rFonts w:ascii="Times New Roman" w:hAnsi="Times New Roman" w:cs="Times New Roman"/>
          <w:b/>
          <w:bCs/>
          <w:sz w:val="28"/>
          <w:szCs w:val="28"/>
        </w:rPr>
      </w:pPr>
    </w:p>
    <w:p w14:paraId="3FEC51DA" w14:textId="77777777" w:rsidR="00D81433" w:rsidRDefault="00D81433" w:rsidP="00EF0802">
      <w:pPr>
        <w:spacing w:line="360" w:lineRule="auto"/>
        <w:jc w:val="center"/>
        <w:rPr>
          <w:rFonts w:ascii="Times New Roman" w:hAnsi="Times New Roman" w:cs="Times New Roman"/>
          <w:b/>
          <w:bCs/>
          <w:sz w:val="28"/>
          <w:szCs w:val="28"/>
        </w:rPr>
      </w:pPr>
    </w:p>
    <w:p w14:paraId="531E5B68" w14:textId="77777777" w:rsidR="00D81433" w:rsidRDefault="00D81433" w:rsidP="00EF0802">
      <w:pPr>
        <w:spacing w:line="360" w:lineRule="auto"/>
        <w:jc w:val="center"/>
        <w:rPr>
          <w:rFonts w:ascii="Times New Roman" w:hAnsi="Times New Roman" w:cs="Times New Roman"/>
          <w:b/>
          <w:bCs/>
          <w:sz w:val="28"/>
          <w:szCs w:val="28"/>
        </w:rPr>
      </w:pPr>
    </w:p>
    <w:p w14:paraId="400853A3" w14:textId="77777777" w:rsidR="00D81433" w:rsidRDefault="00D81433" w:rsidP="00EF0802">
      <w:pPr>
        <w:spacing w:line="360" w:lineRule="auto"/>
        <w:jc w:val="center"/>
        <w:rPr>
          <w:rFonts w:ascii="Times New Roman" w:hAnsi="Times New Roman" w:cs="Times New Roman"/>
          <w:b/>
          <w:bCs/>
          <w:sz w:val="28"/>
          <w:szCs w:val="28"/>
        </w:rPr>
      </w:pPr>
    </w:p>
    <w:p w14:paraId="5A3B9203" w14:textId="77777777" w:rsidR="00D81433" w:rsidRDefault="00D81433" w:rsidP="00EF0802">
      <w:pPr>
        <w:spacing w:line="360" w:lineRule="auto"/>
        <w:jc w:val="center"/>
        <w:rPr>
          <w:rFonts w:ascii="Times New Roman" w:hAnsi="Times New Roman" w:cs="Times New Roman"/>
          <w:b/>
          <w:bCs/>
          <w:sz w:val="28"/>
          <w:szCs w:val="28"/>
        </w:rPr>
      </w:pPr>
    </w:p>
    <w:p w14:paraId="2E2108FE" w14:textId="77777777" w:rsidR="00D81433" w:rsidRDefault="00D81433" w:rsidP="00EF0802">
      <w:pPr>
        <w:spacing w:line="360" w:lineRule="auto"/>
        <w:jc w:val="center"/>
        <w:rPr>
          <w:rFonts w:ascii="Times New Roman" w:hAnsi="Times New Roman" w:cs="Times New Roman"/>
          <w:b/>
          <w:bCs/>
          <w:sz w:val="28"/>
          <w:szCs w:val="28"/>
        </w:rPr>
      </w:pPr>
    </w:p>
    <w:p w14:paraId="195AEB4D" w14:textId="77777777" w:rsidR="00D81433" w:rsidRDefault="00D81433" w:rsidP="00EF0802">
      <w:pPr>
        <w:spacing w:line="360" w:lineRule="auto"/>
        <w:jc w:val="center"/>
        <w:rPr>
          <w:rFonts w:ascii="Times New Roman" w:hAnsi="Times New Roman" w:cs="Times New Roman"/>
          <w:b/>
          <w:bCs/>
          <w:sz w:val="28"/>
          <w:szCs w:val="28"/>
        </w:rPr>
      </w:pPr>
    </w:p>
    <w:p w14:paraId="6D2B87C9" w14:textId="77777777" w:rsidR="00D81433" w:rsidRDefault="00D81433" w:rsidP="00EF0802">
      <w:pPr>
        <w:spacing w:line="360" w:lineRule="auto"/>
        <w:jc w:val="center"/>
        <w:rPr>
          <w:rFonts w:ascii="Times New Roman" w:hAnsi="Times New Roman" w:cs="Times New Roman"/>
          <w:b/>
          <w:bCs/>
          <w:sz w:val="28"/>
          <w:szCs w:val="28"/>
        </w:rPr>
      </w:pPr>
    </w:p>
    <w:p w14:paraId="71B06FC8" w14:textId="77777777" w:rsidR="00D81433" w:rsidRDefault="00D81433" w:rsidP="00EF0802">
      <w:pPr>
        <w:spacing w:line="360" w:lineRule="auto"/>
        <w:jc w:val="center"/>
        <w:rPr>
          <w:rFonts w:ascii="Times New Roman" w:hAnsi="Times New Roman" w:cs="Times New Roman"/>
          <w:b/>
          <w:bCs/>
          <w:sz w:val="28"/>
          <w:szCs w:val="28"/>
        </w:rPr>
      </w:pPr>
    </w:p>
    <w:p w14:paraId="2E93056F" w14:textId="77777777" w:rsidR="00D81433" w:rsidRDefault="00D81433" w:rsidP="00EF0802">
      <w:pPr>
        <w:spacing w:line="360" w:lineRule="auto"/>
        <w:jc w:val="center"/>
        <w:rPr>
          <w:rFonts w:ascii="Times New Roman" w:hAnsi="Times New Roman" w:cs="Times New Roman"/>
          <w:b/>
          <w:bCs/>
          <w:sz w:val="28"/>
          <w:szCs w:val="28"/>
        </w:rPr>
      </w:pPr>
    </w:p>
    <w:p w14:paraId="2BFDB9AF" w14:textId="77777777" w:rsidR="00D81433" w:rsidRDefault="00D81433" w:rsidP="00EF0802">
      <w:pPr>
        <w:spacing w:line="360" w:lineRule="auto"/>
        <w:jc w:val="center"/>
        <w:rPr>
          <w:rFonts w:ascii="Times New Roman" w:hAnsi="Times New Roman" w:cs="Times New Roman"/>
          <w:b/>
          <w:bCs/>
          <w:sz w:val="28"/>
          <w:szCs w:val="28"/>
        </w:rPr>
      </w:pPr>
    </w:p>
    <w:p w14:paraId="22C4778B" w14:textId="77777777" w:rsidR="00D81433" w:rsidRDefault="00D81433" w:rsidP="00EF0802">
      <w:pPr>
        <w:spacing w:line="360" w:lineRule="auto"/>
        <w:jc w:val="center"/>
        <w:rPr>
          <w:rFonts w:ascii="Times New Roman" w:hAnsi="Times New Roman" w:cs="Times New Roman"/>
          <w:b/>
          <w:bCs/>
          <w:sz w:val="28"/>
          <w:szCs w:val="28"/>
        </w:rPr>
      </w:pPr>
    </w:p>
    <w:p w14:paraId="1338A89B" w14:textId="77777777" w:rsidR="00D81433" w:rsidRDefault="00D81433" w:rsidP="00EF0802">
      <w:pPr>
        <w:spacing w:line="360" w:lineRule="auto"/>
        <w:jc w:val="center"/>
        <w:rPr>
          <w:rFonts w:ascii="Times New Roman" w:hAnsi="Times New Roman" w:cs="Times New Roman"/>
          <w:b/>
          <w:bCs/>
          <w:sz w:val="28"/>
          <w:szCs w:val="28"/>
        </w:rPr>
      </w:pPr>
    </w:p>
    <w:p w14:paraId="0E93E116" w14:textId="77777777" w:rsidR="00D81433" w:rsidRDefault="00D81433" w:rsidP="00EF0802">
      <w:pPr>
        <w:spacing w:line="360" w:lineRule="auto"/>
        <w:jc w:val="center"/>
        <w:rPr>
          <w:rFonts w:ascii="Times New Roman" w:hAnsi="Times New Roman" w:cs="Times New Roman"/>
          <w:b/>
          <w:bCs/>
          <w:sz w:val="28"/>
          <w:szCs w:val="28"/>
        </w:rPr>
      </w:pPr>
    </w:p>
    <w:p w14:paraId="4CB3A844" w14:textId="77777777" w:rsidR="00D81433" w:rsidRDefault="00D81433" w:rsidP="00EF0802">
      <w:pPr>
        <w:spacing w:line="360" w:lineRule="auto"/>
        <w:jc w:val="center"/>
        <w:rPr>
          <w:rFonts w:ascii="Times New Roman" w:hAnsi="Times New Roman" w:cs="Times New Roman"/>
          <w:b/>
          <w:bCs/>
          <w:sz w:val="28"/>
          <w:szCs w:val="28"/>
        </w:rPr>
      </w:pPr>
    </w:p>
    <w:p w14:paraId="0EB71418" w14:textId="77777777" w:rsidR="00B36320" w:rsidRPr="00B36320" w:rsidRDefault="00B36320" w:rsidP="00EF0802">
      <w:pPr>
        <w:spacing w:line="360" w:lineRule="auto"/>
        <w:jc w:val="center"/>
        <w:rPr>
          <w:rFonts w:ascii="Times New Roman" w:hAnsi="Times New Roman" w:cs="Times New Roman"/>
          <w:b/>
          <w:bCs/>
          <w:sz w:val="28"/>
          <w:szCs w:val="28"/>
        </w:rPr>
      </w:pPr>
      <w:r w:rsidRPr="00B36320">
        <w:rPr>
          <w:rFonts w:ascii="Times New Roman" w:hAnsi="Times New Roman" w:cs="Times New Roman"/>
          <w:b/>
          <w:bCs/>
          <w:sz w:val="28"/>
          <w:szCs w:val="28"/>
        </w:rPr>
        <w:lastRenderedPageBreak/>
        <w:t>TABLE OF CONTENT</w:t>
      </w:r>
    </w:p>
    <w:tbl>
      <w:tblPr>
        <w:tblStyle w:val="TableGrid"/>
        <w:tblW w:w="5000" w:type="pct"/>
        <w:tblLook w:val="04A0" w:firstRow="1" w:lastRow="0" w:firstColumn="1" w:lastColumn="0" w:noHBand="0" w:noVBand="1"/>
      </w:tblPr>
      <w:tblGrid>
        <w:gridCol w:w="722"/>
        <w:gridCol w:w="6056"/>
        <w:gridCol w:w="1518"/>
      </w:tblGrid>
      <w:tr w:rsidR="00B36320" w:rsidRPr="00B36320" w14:paraId="3F3ED21C"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208A8C4D" w14:textId="77777777" w:rsidR="00B36320" w:rsidRPr="00EF0802" w:rsidRDefault="00B36320" w:rsidP="00EF0802">
            <w:pPr>
              <w:spacing w:line="360" w:lineRule="auto"/>
              <w:rPr>
                <w:rFonts w:ascii="Times New Roman" w:hAnsi="Times New Roman" w:cs="Times New Roman"/>
                <w:b/>
                <w:bCs/>
              </w:rPr>
            </w:pPr>
            <w:proofErr w:type="spellStart"/>
            <w:proofErr w:type="gramStart"/>
            <w:r w:rsidRPr="00EF0802">
              <w:rPr>
                <w:rFonts w:ascii="Times New Roman" w:hAnsi="Times New Roman" w:cs="Times New Roman"/>
                <w:b/>
                <w:bCs/>
              </w:rPr>
              <w:t>S.No</w:t>
            </w:r>
            <w:proofErr w:type="spellEnd"/>
            <w:proofErr w:type="gramEnd"/>
          </w:p>
        </w:tc>
        <w:tc>
          <w:tcPr>
            <w:tcW w:w="3650" w:type="pct"/>
            <w:tcBorders>
              <w:top w:val="single" w:sz="4" w:space="0" w:color="auto"/>
              <w:left w:val="single" w:sz="4" w:space="0" w:color="auto"/>
              <w:bottom w:val="single" w:sz="4" w:space="0" w:color="auto"/>
              <w:right w:val="single" w:sz="4" w:space="0" w:color="auto"/>
            </w:tcBorders>
            <w:hideMark/>
          </w:tcPr>
          <w:p w14:paraId="7E35268F" w14:textId="77777777" w:rsidR="00B36320" w:rsidRPr="00EF0802" w:rsidRDefault="00B36320" w:rsidP="00EF0802">
            <w:pPr>
              <w:spacing w:line="360" w:lineRule="auto"/>
              <w:rPr>
                <w:rFonts w:ascii="Times New Roman" w:hAnsi="Times New Roman" w:cs="Times New Roman"/>
                <w:b/>
                <w:bCs/>
              </w:rPr>
            </w:pPr>
            <w:r w:rsidRPr="00EF0802">
              <w:rPr>
                <w:rFonts w:ascii="Times New Roman" w:hAnsi="Times New Roman" w:cs="Times New Roman"/>
                <w:b/>
                <w:bCs/>
              </w:rPr>
              <w:t>Title/Chapter</w:t>
            </w:r>
          </w:p>
        </w:tc>
        <w:tc>
          <w:tcPr>
            <w:tcW w:w="915" w:type="pct"/>
            <w:tcBorders>
              <w:top w:val="single" w:sz="4" w:space="0" w:color="auto"/>
              <w:left w:val="single" w:sz="4" w:space="0" w:color="auto"/>
              <w:bottom w:val="single" w:sz="4" w:space="0" w:color="auto"/>
              <w:right w:val="single" w:sz="4" w:space="0" w:color="auto"/>
            </w:tcBorders>
            <w:hideMark/>
          </w:tcPr>
          <w:p w14:paraId="58152BD1" w14:textId="77777777" w:rsidR="00B36320" w:rsidRPr="00EF0802" w:rsidRDefault="00B36320" w:rsidP="00EF0802">
            <w:pPr>
              <w:spacing w:line="360" w:lineRule="auto"/>
              <w:rPr>
                <w:rFonts w:ascii="Times New Roman" w:hAnsi="Times New Roman" w:cs="Times New Roman"/>
                <w:b/>
                <w:bCs/>
              </w:rPr>
            </w:pPr>
            <w:r w:rsidRPr="00EF0802">
              <w:rPr>
                <w:rFonts w:ascii="Times New Roman" w:hAnsi="Times New Roman" w:cs="Times New Roman"/>
                <w:b/>
                <w:bCs/>
              </w:rPr>
              <w:t>Page No.</w:t>
            </w:r>
          </w:p>
        </w:tc>
      </w:tr>
      <w:tr w:rsidR="00B36320" w:rsidRPr="00B36320" w14:paraId="2A3F26E0"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680F4633"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1</w:t>
            </w:r>
          </w:p>
        </w:tc>
        <w:tc>
          <w:tcPr>
            <w:tcW w:w="3650" w:type="pct"/>
            <w:tcBorders>
              <w:top w:val="single" w:sz="4" w:space="0" w:color="auto"/>
              <w:left w:val="single" w:sz="4" w:space="0" w:color="auto"/>
              <w:bottom w:val="single" w:sz="4" w:space="0" w:color="auto"/>
              <w:right w:val="single" w:sz="4" w:space="0" w:color="auto"/>
            </w:tcBorders>
            <w:hideMark/>
          </w:tcPr>
          <w:p w14:paraId="2D04FE0D"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b/>
                <w:bCs/>
              </w:rPr>
              <w:t>Abstract</w:t>
            </w:r>
          </w:p>
        </w:tc>
        <w:tc>
          <w:tcPr>
            <w:tcW w:w="915" w:type="pct"/>
            <w:tcBorders>
              <w:top w:val="single" w:sz="4" w:space="0" w:color="auto"/>
              <w:left w:val="single" w:sz="4" w:space="0" w:color="auto"/>
              <w:bottom w:val="single" w:sz="4" w:space="0" w:color="auto"/>
              <w:right w:val="single" w:sz="4" w:space="0" w:color="auto"/>
            </w:tcBorders>
            <w:hideMark/>
          </w:tcPr>
          <w:p w14:paraId="3393054D" w14:textId="77777777" w:rsidR="00B36320" w:rsidRPr="00EF0802" w:rsidRDefault="00B36320" w:rsidP="00EF0802">
            <w:pPr>
              <w:spacing w:line="360" w:lineRule="auto"/>
              <w:rPr>
                <w:rFonts w:ascii="Times New Roman" w:hAnsi="Times New Roman" w:cs="Times New Roman"/>
              </w:rPr>
            </w:pPr>
          </w:p>
        </w:tc>
      </w:tr>
      <w:tr w:rsidR="00B36320" w:rsidRPr="00B36320" w14:paraId="3D51A1E1"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53C3394A"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2</w:t>
            </w:r>
          </w:p>
        </w:tc>
        <w:tc>
          <w:tcPr>
            <w:tcW w:w="3650" w:type="pct"/>
            <w:tcBorders>
              <w:top w:val="single" w:sz="4" w:space="0" w:color="auto"/>
              <w:left w:val="single" w:sz="4" w:space="0" w:color="auto"/>
              <w:bottom w:val="single" w:sz="4" w:space="0" w:color="auto"/>
              <w:right w:val="single" w:sz="4" w:space="0" w:color="auto"/>
            </w:tcBorders>
            <w:hideMark/>
          </w:tcPr>
          <w:p w14:paraId="0379A487"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b/>
                <w:bCs/>
              </w:rPr>
              <w:t>Acknowledgements</w:t>
            </w:r>
          </w:p>
        </w:tc>
        <w:tc>
          <w:tcPr>
            <w:tcW w:w="915" w:type="pct"/>
            <w:tcBorders>
              <w:top w:val="single" w:sz="4" w:space="0" w:color="auto"/>
              <w:left w:val="single" w:sz="4" w:space="0" w:color="auto"/>
              <w:bottom w:val="single" w:sz="4" w:space="0" w:color="auto"/>
              <w:right w:val="single" w:sz="4" w:space="0" w:color="auto"/>
            </w:tcBorders>
            <w:hideMark/>
          </w:tcPr>
          <w:p w14:paraId="6CA97DF2" w14:textId="77777777" w:rsidR="00B36320" w:rsidRPr="00EF0802" w:rsidRDefault="00B36320" w:rsidP="00EF0802">
            <w:pPr>
              <w:spacing w:line="360" w:lineRule="auto"/>
              <w:rPr>
                <w:rFonts w:ascii="Times New Roman" w:hAnsi="Times New Roman" w:cs="Times New Roman"/>
              </w:rPr>
            </w:pPr>
          </w:p>
        </w:tc>
      </w:tr>
      <w:tr w:rsidR="00B36320" w:rsidRPr="00B36320" w14:paraId="3077D50B"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7FBBFD0A"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3</w:t>
            </w:r>
          </w:p>
        </w:tc>
        <w:tc>
          <w:tcPr>
            <w:tcW w:w="3650" w:type="pct"/>
            <w:tcBorders>
              <w:top w:val="single" w:sz="4" w:space="0" w:color="auto"/>
              <w:left w:val="single" w:sz="4" w:space="0" w:color="auto"/>
              <w:bottom w:val="single" w:sz="4" w:space="0" w:color="auto"/>
              <w:right w:val="single" w:sz="4" w:space="0" w:color="auto"/>
            </w:tcBorders>
            <w:hideMark/>
          </w:tcPr>
          <w:p w14:paraId="69E773B3"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b/>
                <w:bCs/>
              </w:rPr>
              <w:t>List of Figures</w:t>
            </w:r>
          </w:p>
        </w:tc>
        <w:tc>
          <w:tcPr>
            <w:tcW w:w="915" w:type="pct"/>
            <w:tcBorders>
              <w:top w:val="single" w:sz="4" w:space="0" w:color="auto"/>
              <w:left w:val="single" w:sz="4" w:space="0" w:color="auto"/>
              <w:bottom w:val="single" w:sz="4" w:space="0" w:color="auto"/>
              <w:right w:val="single" w:sz="4" w:space="0" w:color="auto"/>
            </w:tcBorders>
            <w:hideMark/>
          </w:tcPr>
          <w:p w14:paraId="6F4E78A9" w14:textId="77777777" w:rsidR="00B36320" w:rsidRPr="00EF0802" w:rsidRDefault="00B36320" w:rsidP="00EF0802">
            <w:pPr>
              <w:spacing w:line="360" w:lineRule="auto"/>
              <w:rPr>
                <w:rFonts w:ascii="Times New Roman" w:hAnsi="Times New Roman" w:cs="Times New Roman"/>
              </w:rPr>
            </w:pPr>
          </w:p>
        </w:tc>
      </w:tr>
      <w:tr w:rsidR="00B36320" w:rsidRPr="00B36320" w14:paraId="4521AA53"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0034E556"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4</w:t>
            </w:r>
          </w:p>
        </w:tc>
        <w:tc>
          <w:tcPr>
            <w:tcW w:w="3650" w:type="pct"/>
            <w:tcBorders>
              <w:top w:val="single" w:sz="4" w:space="0" w:color="auto"/>
              <w:left w:val="single" w:sz="4" w:space="0" w:color="auto"/>
              <w:bottom w:val="single" w:sz="4" w:space="0" w:color="auto"/>
              <w:right w:val="single" w:sz="4" w:space="0" w:color="auto"/>
            </w:tcBorders>
            <w:hideMark/>
          </w:tcPr>
          <w:p w14:paraId="084EBBA8"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b/>
                <w:bCs/>
              </w:rPr>
              <w:t>List of Tables</w:t>
            </w:r>
          </w:p>
        </w:tc>
        <w:tc>
          <w:tcPr>
            <w:tcW w:w="915" w:type="pct"/>
            <w:tcBorders>
              <w:top w:val="single" w:sz="4" w:space="0" w:color="auto"/>
              <w:left w:val="single" w:sz="4" w:space="0" w:color="auto"/>
              <w:bottom w:val="single" w:sz="4" w:space="0" w:color="auto"/>
              <w:right w:val="single" w:sz="4" w:space="0" w:color="auto"/>
            </w:tcBorders>
            <w:hideMark/>
          </w:tcPr>
          <w:p w14:paraId="4F81E457" w14:textId="77777777" w:rsidR="00B36320" w:rsidRPr="00EF0802" w:rsidRDefault="00B36320" w:rsidP="00EF0802">
            <w:pPr>
              <w:spacing w:line="360" w:lineRule="auto"/>
              <w:rPr>
                <w:rFonts w:ascii="Times New Roman" w:hAnsi="Times New Roman" w:cs="Times New Roman"/>
              </w:rPr>
            </w:pPr>
          </w:p>
        </w:tc>
      </w:tr>
      <w:tr w:rsidR="00B36320" w:rsidRPr="00B36320" w14:paraId="1EE5FE33"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378FFCB5"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5</w:t>
            </w:r>
          </w:p>
        </w:tc>
        <w:tc>
          <w:tcPr>
            <w:tcW w:w="3650" w:type="pct"/>
            <w:tcBorders>
              <w:top w:val="single" w:sz="4" w:space="0" w:color="auto"/>
              <w:left w:val="single" w:sz="4" w:space="0" w:color="auto"/>
              <w:bottom w:val="single" w:sz="4" w:space="0" w:color="auto"/>
              <w:right w:val="single" w:sz="4" w:space="0" w:color="auto"/>
            </w:tcBorders>
            <w:hideMark/>
          </w:tcPr>
          <w:p w14:paraId="29DE7B54"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b/>
                <w:bCs/>
              </w:rPr>
              <w:t>Chapter 1 — Introduction</w:t>
            </w:r>
          </w:p>
        </w:tc>
        <w:tc>
          <w:tcPr>
            <w:tcW w:w="915" w:type="pct"/>
            <w:tcBorders>
              <w:top w:val="single" w:sz="4" w:space="0" w:color="auto"/>
              <w:left w:val="single" w:sz="4" w:space="0" w:color="auto"/>
              <w:bottom w:val="single" w:sz="4" w:space="0" w:color="auto"/>
              <w:right w:val="single" w:sz="4" w:space="0" w:color="auto"/>
            </w:tcBorders>
            <w:hideMark/>
          </w:tcPr>
          <w:p w14:paraId="572E1B9B" w14:textId="77777777" w:rsidR="00B36320" w:rsidRPr="00EF0802" w:rsidRDefault="00B36320" w:rsidP="00EF0802">
            <w:pPr>
              <w:spacing w:line="360" w:lineRule="auto"/>
              <w:rPr>
                <w:rFonts w:ascii="Times New Roman" w:hAnsi="Times New Roman" w:cs="Times New Roman"/>
              </w:rPr>
            </w:pPr>
          </w:p>
        </w:tc>
      </w:tr>
      <w:tr w:rsidR="00B36320" w:rsidRPr="00B36320" w14:paraId="38FC7EAC"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7855ABC9"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5.1</w:t>
            </w:r>
          </w:p>
        </w:tc>
        <w:tc>
          <w:tcPr>
            <w:tcW w:w="3650" w:type="pct"/>
            <w:tcBorders>
              <w:top w:val="single" w:sz="4" w:space="0" w:color="auto"/>
              <w:left w:val="single" w:sz="4" w:space="0" w:color="auto"/>
              <w:bottom w:val="single" w:sz="4" w:space="0" w:color="auto"/>
              <w:right w:val="single" w:sz="4" w:space="0" w:color="auto"/>
            </w:tcBorders>
            <w:hideMark/>
          </w:tcPr>
          <w:p w14:paraId="09AC463E"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General Introduction</w:t>
            </w:r>
          </w:p>
        </w:tc>
        <w:tc>
          <w:tcPr>
            <w:tcW w:w="915" w:type="pct"/>
            <w:tcBorders>
              <w:top w:val="single" w:sz="4" w:space="0" w:color="auto"/>
              <w:left w:val="single" w:sz="4" w:space="0" w:color="auto"/>
              <w:bottom w:val="single" w:sz="4" w:space="0" w:color="auto"/>
              <w:right w:val="single" w:sz="4" w:space="0" w:color="auto"/>
            </w:tcBorders>
            <w:hideMark/>
          </w:tcPr>
          <w:p w14:paraId="310F74B1" w14:textId="77777777" w:rsidR="00B36320" w:rsidRPr="00EF0802" w:rsidRDefault="00B36320" w:rsidP="00EF0802">
            <w:pPr>
              <w:spacing w:line="360" w:lineRule="auto"/>
              <w:rPr>
                <w:rFonts w:ascii="Times New Roman" w:hAnsi="Times New Roman" w:cs="Times New Roman"/>
              </w:rPr>
            </w:pPr>
          </w:p>
        </w:tc>
      </w:tr>
      <w:tr w:rsidR="00B36320" w:rsidRPr="00B36320" w14:paraId="52494227"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49945431"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5.2</w:t>
            </w:r>
          </w:p>
        </w:tc>
        <w:tc>
          <w:tcPr>
            <w:tcW w:w="3650" w:type="pct"/>
            <w:tcBorders>
              <w:top w:val="single" w:sz="4" w:space="0" w:color="auto"/>
              <w:left w:val="single" w:sz="4" w:space="0" w:color="auto"/>
              <w:bottom w:val="single" w:sz="4" w:space="0" w:color="auto"/>
              <w:right w:val="single" w:sz="4" w:space="0" w:color="auto"/>
            </w:tcBorders>
            <w:hideMark/>
          </w:tcPr>
          <w:p w14:paraId="5A6EAF1F"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Background of the Study</w:t>
            </w:r>
          </w:p>
        </w:tc>
        <w:tc>
          <w:tcPr>
            <w:tcW w:w="915" w:type="pct"/>
            <w:tcBorders>
              <w:top w:val="single" w:sz="4" w:space="0" w:color="auto"/>
              <w:left w:val="single" w:sz="4" w:space="0" w:color="auto"/>
              <w:bottom w:val="single" w:sz="4" w:space="0" w:color="auto"/>
              <w:right w:val="single" w:sz="4" w:space="0" w:color="auto"/>
            </w:tcBorders>
            <w:hideMark/>
          </w:tcPr>
          <w:p w14:paraId="63411180" w14:textId="77777777" w:rsidR="00B36320" w:rsidRPr="00EF0802" w:rsidRDefault="00B36320" w:rsidP="00EF0802">
            <w:pPr>
              <w:spacing w:line="360" w:lineRule="auto"/>
              <w:rPr>
                <w:rFonts w:ascii="Times New Roman" w:hAnsi="Times New Roman" w:cs="Times New Roman"/>
              </w:rPr>
            </w:pPr>
          </w:p>
        </w:tc>
      </w:tr>
      <w:tr w:rsidR="00B36320" w:rsidRPr="00B36320" w14:paraId="2E5EB7D3"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5F7BA629"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5.3</w:t>
            </w:r>
          </w:p>
        </w:tc>
        <w:tc>
          <w:tcPr>
            <w:tcW w:w="3650" w:type="pct"/>
            <w:tcBorders>
              <w:top w:val="single" w:sz="4" w:space="0" w:color="auto"/>
              <w:left w:val="single" w:sz="4" w:space="0" w:color="auto"/>
              <w:bottom w:val="single" w:sz="4" w:space="0" w:color="auto"/>
              <w:right w:val="single" w:sz="4" w:space="0" w:color="auto"/>
            </w:tcBorders>
            <w:hideMark/>
          </w:tcPr>
          <w:p w14:paraId="25A2647D"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Lifestyle Modification</w:t>
            </w:r>
          </w:p>
        </w:tc>
        <w:tc>
          <w:tcPr>
            <w:tcW w:w="915" w:type="pct"/>
            <w:tcBorders>
              <w:top w:val="single" w:sz="4" w:space="0" w:color="auto"/>
              <w:left w:val="single" w:sz="4" w:space="0" w:color="auto"/>
              <w:bottom w:val="single" w:sz="4" w:space="0" w:color="auto"/>
              <w:right w:val="single" w:sz="4" w:space="0" w:color="auto"/>
            </w:tcBorders>
            <w:hideMark/>
          </w:tcPr>
          <w:p w14:paraId="61F5D0F8" w14:textId="77777777" w:rsidR="00B36320" w:rsidRPr="00EF0802" w:rsidRDefault="00B36320" w:rsidP="00EF0802">
            <w:pPr>
              <w:spacing w:line="360" w:lineRule="auto"/>
              <w:rPr>
                <w:rFonts w:ascii="Times New Roman" w:hAnsi="Times New Roman" w:cs="Times New Roman"/>
              </w:rPr>
            </w:pPr>
          </w:p>
        </w:tc>
      </w:tr>
      <w:tr w:rsidR="00B36320" w:rsidRPr="00B36320" w14:paraId="4D634E92"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02BEEB8E"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5.4</w:t>
            </w:r>
          </w:p>
        </w:tc>
        <w:tc>
          <w:tcPr>
            <w:tcW w:w="3650" w:type="pct"/>
            <w:tcBorders>
              <w:top w:val="single" w:sz="4" w:space="0" w:color="auto"/>
              <w:left w:val="single" w:sz="4" w:space="0" w:color="auto"/>
              <w:bottom w:val="single" w:sz="4" w:space="0" w:color="auto"/>
              <w:right w:val="single" w:sz="4" w:space="0" w:color="auto"/>
            </w:tcBorders>
            <w:hideMark/>
          </w:tcPr>
          <w:p w14:paraId="715F4827"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Thyroid Dysfunction</w:t>
            </w:r>
          </w:p>
        </w:tc>
        <w:tc>
          <w:tcPr>
            <w:tcW w:w="915" w:type="pct"/>
            <w:tcBorders>
              <w:top w:val="single" w:sz="4" w:space="0" w:color="auto"/>
              <w:left w:val="single" w:sz="4" w:space="0" w:color="auto"/>
              <w:bottom w:val="single" w:sz="4" w:space="0" w:color="auto"/>
              <w:right w:val="single" w:sz="4" w:space="0" w:color="auto"/>
            </w:tcBorders>
            <w:hideMark/>
          </w:tcPr>
          <w:p w14:paraId="6F5FE865" w14:textId="77777777" w:rsidR="00B36320" w:rsidRPr="00EF0802" w:rsidRDefault="00B36320" w:rsidP="00EF0802">
            <w:pPr>
              <w:spacing w:line="360" w:lineRule="auto"/>
              <w:rPr>
                <w:rFonts w:ascii="Times New Roman" w:hAnsi="Times New Roman" w:cs="Times New Roman"/>
              </w:rPr>
            </w:pPr>
          </w:p>
        </w:tc>
      </w:tr>
      <w:tr w:rsidR="00B36320" w:rsidRPr="00B36320" w14:paraId="4F6F0560"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75CA15D2"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5.5</w:t>
            </w:r>
          </w:p>
        </w:tc>
        <w:tc>
          <w:tcPr>
            <w:tcW w:w="3650" w:type="pct"/>
            <w:tcBorders>
              <w:top w:val="single" w:sz="4" w:space="0" w:color="auto"/>
              <w:left w:val="single" w:sz="4" w:space="0" w:color="auto"/>
              <w:bottom w:val="single" w:sz="4" w:space="0" w:color="auto"/>
              <w:right w:val="single" w:sz="4" w:space="0" w:color="auto"/>
            </w:tcBorders>
            <w:hideMark/>
          </w:tcPr>
          <w:p w14:paraId="64B410DF"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Hypertension in Pregnancy</w:t>
            </w:r>
          </w:p>
        </w:tc>
        <w:tc>
          <w:tcPr>
            <w:tcW w:w="915" w:type="pct"/>
            <w:tcBorders>
              <w:top w:val="single" w:sz="4" w:space="0" w:color="auto"/>
              <w:left w:val="single" w:sz="4" w:space="0" w:color="auto"/>
              <w:bottom w:val="single" w:sz="4" w:space="0" w:color="auto"/>
              <w:right w:val="single" w:sz="4" w:space="0" w:color="auto"/>
            </w:tcBorders>
            <w:hideMark/>
          </w:tcPr>
          <w:p w14:paraId="6AF83751" w14:textId="77777777" w:rsidR="00B36320" w:rsidRPr="00EF0802" w:rsidRDefault="00B36320" w:rsidP="00EF0802">
            <w:pPr>
              <w:spacing w:line="360" w:lineRule="auto"/>
              <w:rPr>
                <w:rFonts w:ascii="Times New Roman" w:hAnsi="Times New Roman" w:cs="Times New Roman"/>
              </w:rPr>
            </w:pPr>
          </w:p>
        </w:tc>
      </w:tr>
      <w:tr w:rsidR="00B36320" w:rsidRPr="00B36320" w14:paraId="38E1F3EF"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712E23E4"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5.6</w:t>
            </w:r>
          </w:p>
        </w:tc>
        <w:tc>
          <w:tcPr>
            <w:tcW w:w="3650" w:type="pct"/>
            <w:tcBorders>
              <w:top w:val="single" w:sz="4" w:space="0" w:color="auto"/>
              <w:left w:val="single" w:sz="4" w:space="0" w:color="auto"/>
              <w:bottom w:val="single" w:sz="4" w:space="0" w:color="auto"/>
              <w:right w:val="single" w:sz="4" w:space="0" w:color="auto"/>
            </w:tcBorders>
            <w:hideMark/>
          </w:tcPr>
          <w:p w14:paraId="1223D0E0"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Intervention Definition</w:t>
            </w:r>
          </w:p>
        </w:tc>
        <w:tc>
          <w:tcPr>
            <w:tcW w:w="915" w:type="pct"/>
            <w:tcBorders>
              <w:top w:val="single" w:sz="4" w:space="0" w:color="auto"/>
              <w:left w:val="single" w:sz="4" w:space="0" w:color="auto"/>
              <w:bottom w:val="single" w:sz="4" w:space="0" w:color="auto"/>
              <w:right w:val="single" w:sz="4" w:space="0" w:color="auto"/>
            </w:tcBorders>
            <w:hideMark/>
          </w:tcPr>
          <w:p w14:paraId="0310DC59" w14:textId="77777777" w:rsidR="00B36320" w:rsidRPr="00EF0802" w:rsidRDefault="00B36320" w:rsidP="00EF0802">
            <w:pPr>
              <w:spacing w:line="360" w:lineRule="auto"/>
              <w:rPr>
                <w:rFonts w:ascii="Times New Roman" w:hAnsi="Times New Roman" w:cs="Times New Roman"/>
              </w:rPr>
            </w:pPr>
          </w:p>
        </w:tc>
      </w:tr>
      <w:tr w:rsidR="00B36320" w:rsidRPr="00B36320" w14:paraId="1CD03A0E"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4F57FB1B"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5.7</w:t>
            </w:r>
          </w:p>
        </w:tc>
        <w:tc>
          <w:tcPr>
            <w:tcW w:w="3650" w:type="pct"/>
            <w:tcBorders>
              <w:top w:val="single" w:sz="4" w:space="0" w:color="auto"/>
              <w:left w:val="single" w:sz="4" w:space="0" w:color="auto"/>
              <w:bottom w:val="single" w:sz="4" w:space="0" w:color="auto"/>
              <w:right w:val="single" w:sz="4" w:space="0" w:color="auto"/>
            </w:tcBorders>
            <w:hideMark/>
          </w:tcPr>
          <w:p w14:paraId="7D491F22"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Scientific Necessity of the Study</w:t>
            </w:r>
          </w:p>
        </w:tc>
        <w:tc>
          <w:tcPr>
            <w:tcW w:w="915" w:type="pct"/>
            <w:tcBorders>
              <w:top w:val="single" w:sz="4" w:space="0" w:color="auto"/>
              <w:left w:val="single" w:sz="4" w:space="0" w:color="auto"/>
              <w:bottom w:val="single" w:sz="4" w:space="0" w:color="auto"/>
              <w:right w:val="single" w:sz="4" w:space="0" w:color="auto"/>
            </w:tcBorders>
            <w:hideMark/>
          </w:tcPr>
          <w:p w14:paraId="793C63DE" w14:textId="77777777" w:rsidR="00B36320" w:rsidRPr="00EF0802" w:rsidRDefault="00B36320" w:rsidP="00EF0802">
            <w:pPr>
              <w:spacing w:line="360" w:lineRule="auto"/>
              <w:rPr>
                <w:rFonts w:ascii="Times New Roman" w:hAnsi="Times New Roman" w:cs="Times New Roman"/>
              </w:rPr>
            </w:pPr>
          </w:p>
        </w:tc>
      </w:tr>
      <w:tr w:rsidR="00B36320" w:rsidRPr="00B36320" w14:paraId="2AE7C0C4"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7B4FEF0B"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5.8</w:t>
            </w:r>
          </w:p>
        </w:tc>
        <w:tc>
          <w:tcPr>
            <w:tcW w:w="3650" w:type="pct"/>
            <w:tcBorders>
              <w:top w:val="single" w:sz="4" w:space="0" w:color="auto"/>
              <w:left w:val="single" w:sz="4" w:space="0" w:color="auto"/>
              <w:bottom w:val="single" w:sz="4" w:space="0" w:color="auto"/>
              <w:right w:val="single" w:sz="4" w:space="0" w:color="auto"/>
            </w:tcBorders>
            <w:hideMark/>
          </w:tcPr>
          <w:p w14:paraId="44926F88"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Objectives of the Study</w:t>
            </w:r>
          </w:p>
        </w:tc>
        <w:tc>
          <w:tcPr>
            <w:tcW w:w="915" w:type="pct"/>
            <w:tcBorders>
              <w:top w:val="single" w:sz="4" w:space="0" w:color="auto"/>
              <w:left w:val="single" w:sz="4" w:space="0" w:color="auto"/>
              <w:bottom w:val="single" w:sz="4" w:space="0" w:color="auto"/>
              <w:right w:val="single" w:sz="4" w:space="0" w:color="auto"/>
            </w:tcBorders>
            <w:hideMark/>
          </w:tcPr>
          <w:p w14:paraId="40CD9C08" w14:textId="77777777" w:rsidR="00B36320" w:rsidRPr="00EF0802" w:rsidRDefault="00B36320" w:rsidP="00EF0802">
            <w:pPr>
              <w:spacing w:line="360" w:lineRule="auto"/>
              <w:rPr>
                <w:rFonts w:ascii="Times New Roman" w:hAnsi="Times New Roman" w:cs="Times New Roman"/>
              </w:rPr>
            </w:pPr>
          </w:p>
        </w:tc>
      </w:tr>
      <w:tr w:rsidR="00B36320" w:rsidRPr="00B36320" w14:paraId="0771001E"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17DADB39"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5.9</w:t>
            </w:r>
          </w:p>
        </w:tc>
        <w:tc>
          <w:tcPr>
            <w:tcW w:w="3650" w:type="pct"/>
            <w:tcBorders>
              <w:top w:val="single" w:sz="4" w:space="0" w:color="auto"/>
              <w:left w:val="single" w:sz="4" w:space="0" w:color="auto"/>
              <w:bottom w:val="single" w:sz="4" w:space="0" w:color="auto"/>
              <w:right w:val="single" w:sz="4" w:space="0" w:color="auto"/>
            </w:tcBorders>
            <w:hideMark/>
          </w:tcPr>
          <w:p w14:paraId="4218E024"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Scope and Delimitations of the Study</w:t>
            </w:r>
          </w:p>
        </w:tc>
        <w:tc>
          <w:tcPr>
            <w:tcW w:w="915" w:type="pct"/>
            <w:tcBorders>
              <w:top w:val="single" w:sz="4" w:space="0" w:color="auto"/>
              <w:left w:val="single" w:sz="4" w:space="0" w:color="auto"/>
              <w:bottom w:val="single" w:sz="4" w:space="0" w:color="auto"/>
              <w:right w:val="single" w:sz="4" w:space="0" w:color="auto"/>
            </w:tcBorders>
            <w:hideMark/>
          </w:tcPr>
          <w:p w14:paraId="4F5B9507" w14:textId="77777777" w:rsidR="00B36320" w:rsidRPr="00EF0802" w:rsidRDefault="00B36320" w:rsidP="00EF0802">
            <w:pPr>
              <w:spacing w:line="360" w:lineRule="auto"/>
              <w:rPr>
                <w:rFonts w:ascii="Times New Roman" w:hAnsi="Times New Roman" w:cs="Times New Roman"/>
              </w:rPr>
            </w:pPr>
          </w:p>
        </w:tc>
      </w:tr>
      <w:tr w:rsidR="00B36320" w:rsidRPr="00B36320" w14:paraId="77E228E9"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151E38D2"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6</w:t>
            </w:r>
          </w:p>
        </w:tc>
        <w:tc>
          <w:tcPr>
            <w:tcW w:w="3650" w:type="pct"/>
            <w:tcBorders>
              <w:top w:val="single" w:sz="4" w:space="0" w:color="auto"/>
              <w:left w:val="single" w:sz="4" w:space="0" w:color="auto"/>
              <w:bottom w:val="single" w:sz="4" w:space="0" w:color="auto"/>
              <w:right w:val="single" w:sz="4" w:space="0" w:color="auto"/>
            </w:tcBorders>
            <w:hideMark/>
          </w:tcPr>
          <w:p w14:paraId="4376936D"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b/>
                <w:bCs/>
              </w:rPr>
              <w:t>Chapter 2 — Review of Literature</w:t>
            </w:r>
          </w:p>
        </w:tc>
        <w:tc>
          <w:tcPr>
            <w:tcW w:w="915" w:type="pct"/>
            <w:tcBorders>
              <w:top w:val="single" w:sz="4" w:space="0" w:color="auto"/>
              <w:left w:val="single" w:sz="4" w:space="0" w:color="auto"/>
              <w:bottom w:val="single" w:sz="4" w:space="0" w:color="auto"/>
              <w:right w:val="single" w:sz="4" w:space="0" w:color="auto"/>
            </w:tcBorders>
            <w:hideMark/>
          </w:tcPr>
          <w:p w14:paraId="37028CD9" w14:textId="77777777" w:rsidR="00B36320" w:rsidRPr="00EF0802" w:rsidRDefault="00B36320" w:rsidP="00EF0802">
            <w:pPr>
              <w:spacing w:line="360" w:lineRule="auto"/>
              <w:rPr>
                <w:rFonts w:ascii="Times New Roman" w:hAnsi="Times New Roman" w:cs="Times New Roman"/>
              </w:rPr>
            </w:pPr>
          </w:p>
        </w:tc>
      </w:tr>
      <w:tr w:rsidR="00B36320" w:rsidRPr="00B36320" w14:paraId="1C807090"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3A4868CF"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6.1</w:t>
            </w:r>
          </w:p>
        </w:tc>
        <w:tc>
          <w:tcPr>
            <w:tcW w:w="3650" w:type="pct"/>
            <w:tcBorders>
              <w:top w:val="single" w:sz="4" w:space="0" w:color="auto"/>
              <w:left w:val="single" w:sz="4" w:space="0" w:color="auto"/>
              <w:bottom w:val="single" w:sz="4" w:space="0" w:color="auto"/>
              <w:right w:val="single" w:sz="4" w:space="0" w:color="auto"/>
            </w:tcBorders>
            <w:hideMark/>
          </w:tcPr>
          <w:p w14:paraId="06E991EA"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Introduction</w:t>
            </w:r>
          </w:p>
        </w:tc>
        <w:tc>
          <w:tcPr>
            <w:tcW w:w="915" w:type="pct"/>
            <w:tcBorders>
              <w:top w:val="single" w:sz="4" w:space="0" w:color="auto"/>
              <w:left w:val="single" w:sz="4" w:space="0" w:color="auto"/>
              <w:bottom w:val="single" w:sz="4" w:space="0" w:color="auto"/>
              <w:right w:val="single" w:sz="4" w:space="0" w:color="auto"/>
            </w:tcBorders>
            <w:hideMark/>
          </w:tcPr>
          <w:p w14:paraId="498F60C6" w14:textId="77777777" w:rsidR="00B36320" w:rsidRPr="00EF0802" w:rsidRDefault="00B36320" w:rsidP="00EF0802">
            <w:pPr>
              <w:spacing w:line="360" w:lineRule="auto"/>
              <w:rPr>
                <w:rFonts w:ascii="Times New Roman" w:hAnsi="Times New Roman" w:cs="Times New Roman"/>
              </w:rPr>
            </w:pPr>
          </w:p>
        </w:tc>
      </w:tr>
      <w:tr w:rsidR="00B36320" w:rsidRPr="00B36320" w14:paraId="5BB2CCAA"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066AF59F"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6.2</w:t>
            </w:r>
          </w:p>
        </w:tc>
        <w:tc>
          <w:tcPr>
            <w:tcW w:w="3650" w:type="pct"/>
            <w:tcBorders>
              <w:top w:val="single" w:sz="4" w:space="0" w:color="auto"/>
              <w:left w:val="single" w:sz="4" w:space="0" w:color="auto"/>
              <w:bottom w:val="single" w:sz="4" w:space="0" w:color="auto"/>
              <w:right w:val="single" w:sz="4" w:space="0" w:color="auto"/>
            </w:tcBorders>
            <w:hideMark/>
          </w:tcPr>
          <w:p w14:paraId="505D75CE" w14:textId="77777777" w:rsidR="00B36320" w:rsidRPr="00EF0802" w:rsidRDefault="00B36320" w:rsidP="00EF0802">
            <w:pPr>
              <w:spacing w:line="360" w:lineRule="auto"/>
              <w:rPr>
                <w:rFonts w:ascii="Times New Roman" w:hAnsi="Times New Roman" w:cs="Times New Roman"/>
              </w:rPr>
            </w:pPr>
            <w:proofErr w:type="spellStart"/>
            <w:r w:rsidRPr="00EF0802">
              <w:rPr>
                <w:rFonts w:ascii="Times New Roman" w:hAnsi="Times New Roman" w:cs="Times New Roman"/>
              </w:rPr>
              <w:t>Anemia</w:t>
            </w:r>
            <w:proofErr w:type="spellEnd"/>
            <w:r w:rsidRPr="00EF0802">
              <w:rPr>
                <w:rFonts w:ascii="Times New Roman" w:hAnsi="Times New Roman" w:cs="Times New Roman"/>
              </w:rPr>
              <w:t xml:space="preserve"> and Thyroid Disorders in Pregnancy – Global and National Trends</w:t>
            </w:r>
          </w:p>
        </w:tc>
        <w:tc>
          <w:tcPr>
            <w:tcW w:w="915" w:type="pct"/>
            <w:tcBorders>
              <w:top w:val="single" w:sz="4" w:space="0" w:color="auto"/>
              <w:left w:val="single" w:sz="4" w:space="0" w:color="auto"/>
              <w:bottom w:val="single" w:sz="4" w:space="0" w:color="auto"/>
              <w:right w:val="single" w:sz="4" w:space="0" w:color="auto"/>
            </w:tcBorders>
            <w:hideMark/>
          </w:tcPr>
          <w:p w14:paraId="2C7D3DA6" w14:textId="77777777" w:rsidR="00B36320" w:rsidRPr="00EF0802" w:rsidRDefault="00B36320" w:rsidP="00EF0802">
            <w:pPr>
              <w:spacing w:line="360" w:lineRule="auto"/>
              <w:rPr>
                <w:rFonts w:ascii="Times New Roman" w:hAnsi="Times New Roman" w:cs="Times New Roman"/>
              </w:rPr>
            </w:pPr>
          </w:p>
        </w:tc>
      </w:tr>
      <w:tr w:rsidR="00B36320" w:rsidRPr="00B36320" w14:paraId="216A2014"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75627AE8"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6.3</w:t>
            </w:r>
          </w:p>
        </w:tc>
        <w:tc>
          <w:tcPr>
            <w:tcW w:w="3650" w:type="pct"/>
            <w:tcBorders>
              <w:top w:val="single" w:sz="4" w:space="0" w:color="auto"/>
              <w:left w:val="single" w:sz="4" w:space="0" w:color="auto"/>
              <w:bottom w:val="single" w:sz="4" w:space="0" w:color="auto"/>
              <w:right w:val="single" w:sz="4" w:space="0" w:color="auto"/>
            </w:tcBorders>
            <w:hideMark/>
          </w:tcPr>
          <w:p w14:paraId="5E121EB9"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Nutritional and Lifestyle Determinants in Pregnancy</w:t>
            </w:r>
          </w:p>
        </w:tc>
        <w:tc>
          <w:tcPr>
            <w:tcW w:w="915" w:type="pct"/>
            <w:tcBorders>
              <w:top w:val="single" w:sz="4" w:space="0" w:color="auto"/>
              <w:left w:val="single" w:sz="4" w:space="0" w:color="auto"/>
              <w:bottom w:val="single" w:sz="4" w:space="0" w:color="auto"/>
              <w:right w:val="single" w:sz="4" w:space="0" w:color="auto"/>
            </w:tcBorders>
            <w:hideMark/>
          </w:tcPr>
          <w:p w14:paraId="78319691" w14:textId="77777777" w:rsidR="00B36320" w:rsidRPr="00EF0802" w:rsidRDefault="00B36320" w:rsidP="00EF0802">
            <w:pPr>
              <w:spacing w:line="360" w:lineRule="auto"/>
              <w:rPr>
                <w:rFonts w:ascii="Times New Roman" w:hAnsi="Times New Roman" w:cs="Times New Roman"/>
              </w:rPr>
            </w:pPr>
          </w:p>
        </w:tc>
      </w:tr>
      <w:tr w:rsidR="00B36320" w:rsidRPr="00B36320" w14:paraId="379E8DFE"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7F5D6C37"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6.4</w:t>
            </w:r>
          </w:p>
        </w:tc>
        <w:tc>
          <w:tcPr>
            <w:tcW w:w="3650" w:type="pct"/>
            <w:tcBorders>
              <w:top w:val="single" w:sz="4" w:space="0" w:color="auto"/>
              <w:left w:val="single" w:sz="4" w:space="0" w:color="auto"/>
              <w:bottom w:val="single" w:sz="4" w:space="0" w:color="auto"/>
              <w:right w:val="single" w:sz="4" w:space="0" w:color="auto"/>
            </w:tcBorders>
            <w:hideMark/>
          </w:tcPr>
          <w:p w14:paraId="3E0D68BA"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 xml:space="preserve">Impact of Thyroid Dysfunction and Hypertension on Maternal &amp; </w:t>
            </w:r>
            <w:proofErr w:type="spellStart"/>
            <w:r w:rsidRPr="00EF0802">
              <w:rPr>
                <w:rFonts w:ascii="Times New Roman" w:hAnsi="Times New Roman" w:cs="Times New Roman"/>
              </w:rPr>
              <w:t>Fetal</w:t>
            </w:r>
            <w:proofErr w:type="spellEnd"/>
            <w:r w:rsidRPr="00EF0802">
              <w:rPr>
                <w:rFonts w:ascii="Times New Roman" w:hAnsi="Times New Roman" w:cs="Times New Roman"/>
              </w:rPr>
              <w:t xml:space="preserve"> Health</w:t>
            </w:r>
          </w:p>
        </w:tc>
        <w:tc>
          <w:tcPr>
            <w:tcW w:w="915" w:type="pct"/>
            <w:tcBorders>
              <w:top w:val="single" w:sz="4" w:space="0" w:color="auto"/>
              <w:left w:val="single" w:sz="4" w:space="0" w:color="auto"/>
              <w:bottom w:val="single" w:sz="4" w:space="0" w:color="auto"/>
              <w:right w:val="single" w:sz="4" w:space="0" w:color="auto"/>
            </w:tcBorders>
            <w:hideMark/>
          </w:tcPr>
          <w:p w14:paraId="23776D08" w14:textId="77777777" w:rsidR="00B36320" w:rsidRPr="00EF0802" w:rsidRDefault="00B36320" w:rsidP="00EF0802">
            <w:pPr>
              <w:spacing w:line="360" w:lineRule="auto"/>
              <w:rPr>
                <w:rFonts w:ascii="Times New Roman" w:hAnsi="Times New Roman" w:cs="Times New Roman"/>
              </w:rPr>
            </w:pPr>
          </w:p>
        </w:tc>
      </w:tr>
      <w:tr w:rsidR="00B36320" w:rsidRPr="00B36320" w14:paraId="27BEC8BD"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58BA2B0E"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6.5</w:t>
            </w:r>
          </w:p>
        </w:tc>
        <w:tc>
          <w:tcPr>
            <w:tcW w:w="3650" w:type="pct"/>
            <w:tcBorders>
              <w:top w:val="single" w:sz="4" w:space="0" w:color="auto"/>
              <w:left w:val="single" w:sz="4" w:space="0" w:color="auto"/>
              <w:bottom w:val="single" w:sz="4" w:space="0" w:color="auto"/>
              <w:right w:val="single" w:sz="4" w:space="0" w:color="auto"/>
            </w:tcBorders>
            <w:hideMark/>
          </w:tcPr>
          <w:p w14:paraId="7912937F"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Studies Related to Healthy Lifestyle to Prevent Thyroid in Pregnancy</w:t>
            </w:r>
          </w:p>
        </w:tc>
        <w:tc>
          <w:tcPr>
            <w:tcW w:w="915" w:type="pct"/>
            <w:tcBorders>
              <w:top w:val="single" w:sz="4" w:space="0" w:color="auto"/>
              <w:left w:val="single" w:sz="4" w:space="0" w:color="auto"/>
              <w:bottom w:val="single" w:sz="4" w:space="0" w:color="auto"/>
              <w:right w:val="single" w:sz="4" w:space="0" w:color="auto"/>
            </w:tcBorders>
            <w:hideMark/>
          </w:tcPr>
          <w:p w14:paraId="58B1600D" w14:textId="77777777" w:rsidR="00B36320" w:rsidRPr="00EF0802" w:rsidRDefault="00B36320" w:rsidP="00EF0802">
            <w:pPr>
              <w:spacing w:line="360" w:lineRule="auto"/>
              <w:rPr>
                <w:rFonts w:ascii="Times New Roman" w:hAnsi="Times New Roman" w:cs="Times New Roman"/>
              </w:rPr>
            </w:pPr>
          </w:p>
        </w:tc>
      </w:tr>
      <w:tr w:rsidR="00B36320" w:rsidRPr="00B36320" w14:paraId="60A97300"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5D27B15B"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6.6</w:t>
            </w:r>
          </w:p>
        </w:tc>
        <w:tc>
          <w:tcPr>
            <w:tcW w:w="3650" w:type="pct"/>
            <w:tcBorders>
              <w:top w:val="single" w:sz="4" w:space="0" w:color="auto"/>
              <w:left w:val="single" w:sz="4" w:space="0" w:color="auto"/>
              <w:bottom w:val="single" w:sz="4" w:space="0" w:color="auto"/>
              <w:right w:val="single" w:sz="4" w:space="0" w:color="auto"/>
            </w:tcBorders>
            <w:hideMark/>
          </w:tcPr>
          <w:p w14:paraId="56CBE0D3"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Studies Related to Lifestyle Modification for Hypertension Prevention</w:t>
            </w:r>
          </w:p>
        </w:tc>
        <w:tc>
          <w:tcPr>
            <w:tcW w:w="915" w:type="pct"/>
            <w:tcBorders>
              <w:top w:val="single" w:sz="4" w:space="0" w:color="auto"/>
              <w:left w:val="single" w:sz="4" w:space="0" w:color="auto"/>
              <w:bottom w:val="single" w:sz="4" w:space="0" w:color="auto"/>
              <w:right w:val="single" w:sz="4" w:space="0" w:color="auto"/>
            </w:tcBorders>
            <w:hideMark/>
          </w:tcPr>
          <w:p w14:paraId="667CE6A7" w14:textId="77777777" w:rsidR="00B36320" w:rsidRPr="00EF0802" w:rsidRDefault="00B36320" w:rsidP="00EF0802">
            <w:pPr>
              <w:spacing w:line="360" w:lineRule="auto"/>
              <w:rPr>
                <w:rFonts w:ascii="Times New Roman" w:hAnsi="Times New Roman" w:cs="Times New Roman"/>
              </w:rPr>
            </w:pPr>
          </w:p>
        </w:tc>
      </w:tr>
      <w:tr w:rsidR="00B36320" w:rsidRPr="00B36320" w14:paraId="05104EF9"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5FADBB23"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6.7</w:t>
            </w:r>
          </w:p>
        </w:tc>
        <w:tc>
          <w:tcPr>
            <w:tcW w:w="3650" w:type="pct"/>
            <w:tcBorders>
              <w:top w:val="single" w:sz="4" w:space="0" w:color="auto"/>
              <w:left w:val="single" w:sz="4" w:space="0" w:color="auto"/>
              <w:bottom w:val="single" w:sz="4" w:space="0" w:color="auto"/>
              <w:right w:val="single" w:sz="4" w:space="0" w:color="auto"/>
            </w:tcBorders>
            <w:hideMark/>
          </w:tcPr>
          <w:p w14:paraId="26F11C63"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Research Gaps Identified</w:t>
            </w:r>
          </w:p>
        </w:tc>
        <w:tc>
          <w:tcPr>
            <w:tcW w:w="915" w:type="pct"/>
            <w:tcBorders>
              <w:top w:val="single" w:sz="4" w:space="0" w:color="auto"/>
              <w:left w:val="single" w:sz="4" w:space="0" w:color="auto"/>
              <w:bottom w:val="single" w:sz="4" w:space="0" w:color="auto"/>
              <w:right w:val="single" w:sz="4" w:space="0" w:color="auto"/>
            </w:tcBorders>
            <w:hideMark/>
          </w:tcPr>
          <w:p w14:paraId="0ADAC04F" w14:textId="77777777" w:rsidR="00B36320" w:rsidRPr="00EF0802" w:rsidRDefault="00B36320" w:rsidP="00EF0802">
            <w:pPr>
              <w:spacing w:line="360" w:lineRule="auto"/>
              <w:rPr>
                <w:rFonts w:ascii="Times New Roman" w:hAnsi="Times New Roman" w:cs="Times New Roman"/>
              </w:rPr>
            </w:pPr>
          </w:p>
        </w:tc>
      </w:tr>
      <w:tr w:rsidR="00B36320" w:rsidRPr="00B36320" w14:paraId="0CCED00E"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5DB269BE"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6.8</w:t>
            </w:r>
          </w:p>
        </w:tc>
        <w:tc>
          <w:tcPr>
            <w:tcW w:w="3650" w:type="pct"/>
            <w:tcBorders>
              <w:top w:val="single" w:sz="4" w:space="0" w:color="auto"/>
              <w:left w:val="single" w:sz="4" w:space="0" w:color="auto"/>
              <w:bottom w:val="single" w:sz="4" w:space="0" w:color="auto"/>
              <w:right w:val="single" w:sz="4" w:space="0" w:color="auto"/>
            </w:tcBorders>
            <w:hideMark/>
          </w:tcPr>
          <w:p w14:paraId="208F7C36"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Summary of Literature Review</w:t>
            </w:r>
          </w:p>
        </w:tc>
        <w:tc>
          <w:tcPr>
            <w:tcW w:w="915" w:type="pct"/>
            <w:tcBorders>
              <w:top w:val="single" w:sz="4" w:space="0" w:color="auto"/>
              <w:left w:val="single" w:sz="4" w:space="0" w:color="auto"/>
              <w:bottom w:val="single" w:sz="4" w:space="0" w:color="auto"/>
              <w:right w:val="single" w:sz="4" w:space="0" w:color="auto"/>
            </w:tcBorders>
            <w:hideMark/>
          </w:tcPr>
          <w:p w14:paraId="3B9CE375" w14:textId="77777777" w:rsidR="00B36320" w:rsidRPr="00EF0802" w:rsidRDefault="00B36320" w:rsidP="00EF0802">
            <w:pPr>
              <w:spacing w:line="360" w:lineRule="auto"/>
              <w:rPr>
                <w:rFonts w:ascii="Times New Roman" w:hAnsi="Times New Roman" w:cs="Times New Roman"/>
              </w:rPr>
            </w:pPr>
          </w:p>
        </w:tc>
      </w:tr>
      <w:tr w:rsidR="00B36320" w:rsidRPr="00B36320" w14:paraId="2FC0B5A8"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751066AD"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7</w:t>
            </w:r>
          </w:p>
        </w:tc>
        <w:tc>
          <w:tcPr>
            <w:tcW w:w="3650" w:type="pct"/>
            <w:tcBorders>
              <w:top w:val="single" w:sz="4" w:space="0" w:color="auto"/>
              <w:left w:val="single" w:sz="4" w:space="0" w:color="auto"/>
              <w:bottom w:val="single" w:sz="4" w:space="0" w:color="auto"/>
              <w:right w:val="single" w:sz="4" w:space="0" w:color="auto"/>
            </w:tcBorders>
            <w:hideMark/>
          </w:tcPr>
          <w:p w14:paraId="113FE087"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b/>
                <w:bCs/>
              </w:rPr>
              <w:t>Chapter 3 — Research Methodology</w:t>
            </w:r>
          </w:p>
        </w:tc>
        <w:tc>
          <w:tcPr>
            <w:tcW w:w="915" w:type="pct"/>
            <w:tcBorders>
              <w:top w:val="single" w:sz="4" w:space="0" w:color="auto"/>
              <w:left w:val="single" w:sz="4" w:space="0" w:color="auto"/>
              <w:bottom w:val="single" w:sz="4" w:space="0" w:color="auto"/>
              <w:right w:val="single" w:sz="4" w:space="0" w:color="auto"/>
            </w:tcBorders>
            <w:hideMark/>
          </w:tcPr>
          <w:p w14:paraId="5A956140" w14:textId="77777777" w:rsidR="00B36320" w:rsidRPr="00EF0802" w:rsidRDefault="00B36320" w:rsidP="00EF0802">
            <w:pPr>
              <w:spacing w:line="360" w:lineRule="auto"/>
              <w:rPr>
                <w:rFonts w:ascii="Times New Roman" w:hAnsi="Times New Roman" w:cs="Times New Roman"/>
              </w:rPr>
            </w:pPr>
          </w:p>
        </w:tc>
      </w:tr>
      <w:tr w:rsidR="00B36320" w:rsidRPr="00B36320" w14:paraId="3682A8D2"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0F05CCF8"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7.1</w:t>
            </w:r>
          </w:p>
        </w:tc>
        <w:tc>
          <w:tcPr>
            <w:tcW w:w="3650" w:type="pct"/>
            <w:tcBorders>
              <w:top w:val="single" w:sz="4" w:space="0" w:color="auto"/>
              <w:left w:val="single" w:sz="4" w:space="0" w:color="auto"/>
              <w:bottom w:val="single" w:sz="4" w:space="0" w:color="auto"/>
              <w:right w:val="single" w:sz="4" w:space="0" w:color="auto"/>
            </w:tcBorders>
            <w:hideMark/>
          </w:tcPr>
          <w:p w14:paraId="6C94FEE3"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Research Design</w:t>
            </w:r>
          </w:p>
        </w:tc>
        <w:tc>
          <w:tcPr>
            <w:tcW w:w="915" w:type="pct"/>
            <w:tcBorders>
              <w:top w:val="single" w:sz="4" w:space="0" w:color="auto"/>
              <w:left w:val="single" w:sz="4" w:space="0" w:color="auto"/>
              <w:bottom w:val="single" w:sz="4" w:space="0" w:color="auto"/>
              <w:right w:val="single" w:sz="4" w:space="0" w:color="auto"/>
            </w:tcBorders>
            <w:hideMark/>
          </w:tcPr>
          <w:p w14:paraId="2B033E88" w14:textId="77777777" w:rsidR="00B36320" w:rsidRPr="00EF0802" w:rsidRDefault="00B36320" w:rsidP="00EF0802">
            <w:pPr>
              <w:spacing w:line="360" w:lineRule="auto"/>
              <w:rPr>
                <w:rFonts w:ascii="Times New Roman" w:hAnsi="Times New Roman" w:cs="Times New Roman"/>
              </w:rPr>
            </w:pPr>
          </w:p>
        </w:tc>
      </w:tr>
      <w:tr w:rsidR="00B36320" w:rsidRPr="00B36320" w14:paraId="7B6229D6"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4D9349B8"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7.2</w:t>
            </w:r>
          </w:p>
        </w:tc>
        <w:tc>
          <w:tcPr>
            <w:tcW w:w="3650" w:type="pct"/>
            <w:tcBorders>
              <w:top w:val="single" w:sz="4" w:space="0" w:color="auto"/>
              <w:left w:val="single" w:sz="4" w:space="0" w:color="auto"/>
              <w:bottom w:val="single" w:sz="4" w:space="0" w:color="auto"/>
              <w:right w:val="single" w:sz="4" w:space="0" w:color="auto"/>
            </w:tcBorders>
            <w:hideMark/>
          </w:tcPr>
          <w:p w14:paraId="267FF1FC"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Study Area</w:t>
            </w:r>
          </w:p>
        </w:tc>
        <w:tc>
          <w:tcPr>
            <w:tcW w:w="915" w:type="pct"/>
            <w:tcBorders>
              <w:top w:val="single" w:sz="4" w:space="0" w:color="auto"/>
              <w:left w:val="single" w:sz="4" w:space="0" w:color="auto"/>
              <w:bottom w:val="single" w:sz="4" w:space="0" w:color="auto"/>
              <w:right w:val="single" w:sz="4" w:space="0" w:color="auto"/>
            </w:tcBorders>
            <w:hideMark/>
          </w:tcPr>
          <w:p w14:paraId="157317BB" w14:textId="77777777" w:rsidR="00B36320" w:rsidRPr="00EF0802" w:rsidRDefault="00B36320" w:rsidP="00EF0802">
            <w:pPr>
              <w:spacing w:line="360" w:lineRule="auto"/>
              <w:rPr>
                <w:rFonts w:ascii="Times New Roman" w:hAnsi="Times New Roman" w:cs="Times New Roman"/>
              </w:rPr>
            </w:pPr>
          </w:p>
        </w:tc>
      </w:tr>
      <w:tr w:rsidR="00B36320" w:rsidRPr="00B36320" w14:paraId="52F0B2D3"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7FEBECD3"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lastRenderedPageBreak/>
              <w:t>7.3</w:t>
            </w:r>
          </w:p>
        </w:tc>
        <w:tc>
          <w:tcPr>
            <w:tcW w:w="3650" w:type="pct"/>
            <w:tcBorders>
              <w:top w:val="single" w:sz="4" w:space="0" w:color="auto"/>
              <w:left w:val="single" w:sz="4" w:space="0" w:color="auto"/>
              <w:bottom w:val="single" w:sz="4" w:space="0" w:color="auto"/>
              <w:right w:val="single" w:sz="4" w:space="0" w:color="auto"/>
            </w:tcBorders>
            <w:hideMark/>
          </w:tcPr>
          <w:p w14:paraId="18E9650C"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Sample Selection and Criteria</w:t>
            </w:r>
          </w:p>
        </w:tc>
        <w:tc>
          <w:tcPr>
            <w:tcW w:w="915" w:type="pct"/>
            <w:tcBorders>
              <w:top w:val="single" w:sz="4" w:space="0" w:color="auto"/>
              <w:left w:val="single" w:sz="4" w:space="0" w:color="auto"/>
              <w:bottom w:val="single" w:sz="4" w:space="0" w:color="auto"/>
              <w:right w:val="single" w:sz="4" w:space="0" w:color="auto"/>
            </w:tcBorders>
            <w:hideMark/>
          </w:tcPr>
          <w:p w14:paraId="4CD643B7" w14:textId="77777777" w:rsidR="00B36320" w:rsidRPr="00EF0802" w:rsidRDefault="00B36320" w:rsidP="00EF0802">
            <w:pPr>
              <w:spacing w:line="360" w:lineRule="auto"/>
              <w:rPr>
                <w:rFonts w:ascii="Times New Roman" w:hAnsi="Times New Roman" w:cs="Times New Roman"/>
              </w:rPr>
            </w:pPr>
          </w:p>
        </w:tc>
      </w:tr>
      <w:tr w:rsidR="00B36320" w:rsidRPr="00B36320" w14:paraId="17A22F8C"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77091F57"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7.4</w:t>
            </w:r>
          </w:p>
        </w:tc>
        <w:tc>
          <w:tcPr>
            <w:tcW w:w="3650" w:type="pct"/>
            <w:tcBorders>
              <w:top w:val="single" w:sz="4" w:space="0" w:color="auto"/>
              <w:left w:val="single" w:sz="4" w:space="0" w:color="auto"/>
              <w:bottom w:val="single" w:sz="4" w:space="0" w:color="auto"/>
              <w:right w:val="single" w:sz="4" w:space="0" w:color="auto"/>
            </w:tcBorders>
            <w:hideMark/>
          </w:tcPr>
          <w:p w14:paraId="340452E1"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Tools and Techniques for Data Collection</w:t>
            </w:r>
          </w:p>
        </w:tc>
        <w:tc>
          <w:tcPr>
            <w:tcW w:w="915" w:type="pct"/>
            <w:tcBorders>
              <w:top w:val="single" w:sz="4" w:space="0" w:color="auto"/>
              <w:left w:val="single" w:sz="4" w:space="0" w:color="auto"/>
              <w:bottom w:val="single" w:sz="4" w:space="0" w:color="auto"/>
              <w:right w:val="single" w:sz="4" w:space="0" w:color="auto"/>
            </w:tcBorders>
            <w:hideMark/>
          </w:tcPr>
          <w:p w14:paraId="24EC4866" w14:textId="77777777" w:rsidR="00B36320" w:rsidRPr="00EF0802" w:rsidRDefault="00B36320" w:rsidP="00EF0802">
            <w:pPr>
              <w:spacing w:line="360" w:lineRule="auto"/>
              <w:rPr>
                <w:rFonts w:ascii="Times New Roman" w:hAnsi="Times New Roman" w:cs="Times New Roman"/>
              </w:rPr>
            </w:pPr>
          </w:p>
        </w:tc>
      </w:tr>
      <w:tr w:rsidR="00B36320" w:rsidRPr="00B36320" w14:paraId="0BC284FA"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4406D411"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7.5</w:t>
            </w:r>
          </w:p>
        </w:tc>
        <w:tc>
          <w:tcPr>
            <w:tcW w:w="3650" w:type="pct"/>
            <w:tcBorders>
              <w:top w:val="single" w:sz="4" w:space="0" w:color="auto"/>
              <w:left w:val="single" w:sz="4" w:space="0" w:color="auto"/>
              <w:bottom w:val="single" w:sz="4" w:space="0" w:color="auto"/>
              <w:right w:val="single" w:sz="4" w:space="0" w:color="auto"/>
            </w:tcBorders>
            <w:hideMark/>
          </w:tcPr>
          <w:p w14:paraId="55027195"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Description of Questionnaire Sections</w:t>
            </w:r>
          </w:p>
        </w:tc>
        <w:tc>
          <w:tcPr>
            <w:tcW w:w="915" w:type="pct"/>
            <w:tcBorders>
              <w:top w:val="single" w:sz="4" w:space="0" w:color="auto"/>
              <w:left w:val="single" w:sz="4" w:space="0" w:color="auto"/>
              <w:bottom w:val="single" w:sz="4" w:space="0" w:color="auto"/>
              <w:right w:val="single" w:sz="4" w:space="0" w:color="auto"/>
            </w:tcBorders>
            <w:hideMark/>
          </w:tcPr>
          <w:p w14:paraId="59CC4010" w14:textId="77777777" w:rsidR="00B36320" w:rsidRPr="00EF0802" w:rsidRDefault="00B36320" w:rsidP="00EF0802">
            <w:pPr>
              <w:spacing w:line="360" w:lineRule="auto"/>
              <w:rPr>
                <w:rFonts w:ascii="Times New Roman" w:hAnsi="Times New Roman" w:cs="Times New Roman"/>
              </w:rPr>
            </w:pPr>
          </w:p>
        </w:tc>
      </w:tr>
      <w:tr w:rsidR="00B36320" w:rsidRPr="00B36320" w14:paraId="4276723D"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40741228"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7.6</w:t>
            </w:r>
          </w:p>
        </w:tc>
        <w:tc>
          <w:tcPr>
            <w:tcW w:w="3650" w:type="pct"/>
            <w:tcBorders>
              <w:top w:val="single" w:sz="4" w:space="0" w:color="auto"/>
              <w:left w:val="single" w:sz="4" w:space="0" w:color="auto"/>
              <w:bottom w:val="single" w:sz="4" w:space="0" w:color="auto"/>
              <w:right w:val="single" w:sz="4" w:space="0" w:color="auto"/>
            </w:tcBorders>
            <w:hideMark/>
          </w:tcPr>
          <w:p w14:paraId="3FE9703B"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Intervention Design and Implementation</w:t>
            </w:r>
          </w:p>
        </w:tc>
        <w:tc>
          <w:tcPr>
            <w:tcW w:w="915" w:type="pct"/>
            <w:tcBorders>
              <w:top w:val="single" w:sz="4" w:space="0" w:color="auto"/>
              <w:left w:val="single" w:sz="4" w:space="0" w:color="auto"/>
              <w:bottom w:val="single" w:sz="4" w:space="0" w:color="auto"/>
              <w:right w:val="single" w:sz="4" w:space="0" w:color="auto"/>
            </w:tcBorders>
            <w:hideMark/>
          </w:tcPr>
          <w:p w14:paraId="79837041" w14:textId="77777777" w:rsidR="00B36320" w:rsidRPr="00EF0802" w:rsidRDefault="00B36320" w:rsidP="00EF0802">
            <w:pPr>
              <w:spacing w:line="360" w:lineRule="auto"/>
              <w:rPr>
                <w:rFonts w:ascii="Times New Roman" w:hAnsi="Times New Roman" w:cs="Times New Roman"/>
              </w:rPr>
            </w:pPr>
          </w:p>
        </w:tc>
      </w:tr>
      <w:tr w:rsidR="00B36320" w:rsidRPr="00B36320" w14:paraId="517D5081"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5509551E"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7.7</w:t>
            </w:r>
          </w:p>
        </w:tc>
        <w:tc>
          <w:tcPr>
            <w:tcW w:w="3650" w:type="pct"/>
            <w:tcBorders>
              <w:top w:val="single" w:sz="4" w:space="0" w:color="auto"/>
              <w:left w:val="single" w:sz="4" w:space="0" w:color="auto"/>
              <w:bottom w:val="single" w:sz="4" w:space="0" w:color="auto"/>
              <w:right w:val="single" w:sz="4" w:space="0" w:color="auto"/>
            </w:tcBorders>
            <w:hideMark/>
          </w:tcPr>
          <w:p w14:paraId="62133A43"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Ethical Approval and Consent</w:t>
            </w:r>
          </w:p>
        </w:tc>
        <w:tc>
          <w:tcPr>
            <w:tcW w:w="915" w:type="pct"/>
            <w:tcBorders>
              <w:top w:val="single" w:sz="4" w:space="0" w:color="auto"/>
              <w:left w:val="single" w:sz="4" w:space="0" w:color="auto"/>
              <w:bottom w:val="single" w:sz="4" w:space="0" w:color="auto"/>
              <w:right w:val="single" w:sz="4" w:space="0" w:color="auto"/>
            </w:tcBorders>
            <w:hideMark/>
          </w:tcPr>
          <w:p w14:paraId="16AEF86E" w14:textId="77777777" w:rsidR="00B36320" w:rsidRPr="00EF0802" w:rsidRDefault="00B36320" w:rsidP="00EF0802">
            <w:pPr>
              <w:spacing w:line="360" w:lineRule="auto"/>
              <w:rPr>
                <w:rFonts w:ascii="Times New Roman" w:hAnsi="Times New Roman" w:cs="Times New Roman"/>
              </w:rPr>
            </w:pPr>
          </w:p>
        </w:tc>
      </w:tr>
      <w:tr w:rsidR="00B36320" w:rsidRPr="00B36320" w14:paraId="575F7CDC"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4F8635B6"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7.8</w:t>
            </w:r>
          </w:p>
        </w:tc>
        <w:tc>
          <w:tcPr>
            <w:tcW w:w="3650" w:type="pct"/>
            <w:tcBorders>
              <w:top w:val="single" w:sz="4" w:space="0" w:color="auto"/>
              <w:left w:val="single" w:sz="4" w:space="0" w:color="auto"/>
              <w:bottom w:val="single" w:sz="4" w:space="0" w:color="auto"/>
              <w:right w:val="single" w:sz="4" w:space="0" w:color="auto"/>
            </w:tcBorders>
            <w:hideMark/>
          </w:tcPr>
          <w:p w14:paraId="6AC76094"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Data Analysis Methods</w:t>
            </w:r>
          </w:p>
        </w:tc>
        <w:tc>
          <w:tcPr>
            <w:tcW w:w="915" w:type="pct"/>
            <w:tcBorders>
              <w:top w:val="single" w:sz="4" w:space="0" w:color="auto"/>
              <w:left w:val="single" w:sz="4" w:space="0" w:color="auto"/>
              <w:bottom w:val="single" w:sz="4" w:space="0" w:color="auto"/>
              <w:right w:val="single" w:sz="4" w:space="0" w:color="auto"/>
            </w:tcBorders>
            <w:hideMark/>
          </w:tcPr>
          <w:p w14:paraId="7DD10952" w14:textId="77777777" w:rsidR="00B36320" w:rsidRPr="00EF0802" w:rsidRDefault="00B36320" w:rsidP="00EF0802">
            <w:pPr>
              <w:spacing w:line="360" w:lineRule="auto"/>
              <w:rPr>
                <w:rFonts w:ascii="Times New Roman" w:hAnsi="Times New Roman" w:cs="Times New Roman"/>
              </w:rPr>
            </w:pPr>
          </w:p>
        </w:tc>
      </w:tr>
      <w:tr w:rsidR="00B36320" w:rsidRPr="00B36320" w14:paraId="55E0F6F8"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0545D752"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7.9</w:t>
            </w:r>
          </w:p>
        </w:tc>
        <w:tc>
          <w:tcPr>
            <w:tcW w:w="3650" w:type="pct"/>
            <w:tcBorders>
              <w:top w:val="single" w:sz="4" w:space="0" w:color="auto"/>
              <w:left w:val="single" w:sz="4" w:space="0" w:color="auto"/>
              <w:bottom w:val="single" w:sz="4" w:space="0" w:color="auto"/>
              <w:right w:val="single" w:sz="4" w:space="0" w:color="auto"/>
            </w:tcBorders>
            <w:hideMark/>
          </w:tcPr>
          <w:p w14:paraId="63621EA2"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Statistical Tests Employed</w:t>
            </w:r>
          </w:p>
        </w:tc>
        <w:tc>
          <w:tcPr>
            <w:tcW w:w="915" w:type="pct"/>
            <w:tcBorders>
              <w:top w:val="single" w:sz="4" w:space="0" w:color="auto"/>
              <w:left w:val="single" w:sz="4" w:space="0" w:color="auto"/>
              <w:bottom w:val="single" w:sz="4" w:space="0" w:color="auto"/>
              <w:right w:val="single" w:sz="4" w:space="0" w:color="auto"/>
            </w:tcBorders>
            <w:hideMark/>
          </w:tcPr>
          <w:p w14:paraId="463E0F62" w14:textId="77777777" w:rsidR="00B36320" w:rsidRPr="00EF0802" w:rsidRDefault="00B36320" w:rsidP="00EF0802">
            <w:pPr>
              <w:spacing w:line="360" w:lineRule="auto"/>
              <w:rPr>
                <w:rFonts w:ascii="Times New Roman" w:hAnsi="Times New Roman" w:cs="Times New Roman"/>
              </w:rPr>
            </w:pPr>
          </w:p>
        </w:tc>
      </w:tr>
      <w:tr w:rsidR="00B36320" w:rsidRPr="00B36320" w14:paraId="3D567417"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326F762A"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7.10</w:t>
            </w:r>
          </w:p>
        </w:tc>
        <w:tc>
          <w:tcPr>
            <w:tcW w:w="3650" w:type="pct"/>
            <w:tcBorders>
              <w:top w:val="single" w:sz="4" w:space="0" w:color="auto"/>
              <w:left w:val="single" w:sz="4" w:space="0" w:color="auto"/>
              <w:bottom w:val="single" w:sz="4" w:space="0" w:color="auto"/>
              <w:right w:val="single" w:sz="4" w:space="0" w:color="auto"/>
            </w:tcBorders>
            <w:hideMark/>
          </w:tcPr>
          <w:p w14:paraId="7914FC93"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Limitations of the Study</w:t>
            </w:r>
          </w:p>
        </w:tc>
        <w:tc>
          <w:tcPr>
            <w:tcW w:w="915" w:type="pct"/>
            <w:tcBorders>
              <w:top w:val="single" w:sz="4" w:space="0" w:color="auto"/>
              <w:left w:val="single" w:sz="4" w:space="0" w:color="auto"/>
              <w:bottom w:val="single" w:sz="4" w:space="0" w:color="auto"/>
              <w:right w:val="single" w:sz="4" w:space="0" w:color="auto"/>
            </w:tcBorders>
            <w:hideMark/>
          </w:tcPr>
          <w:p w14:paraId="352A9302" w14:textId="77777777" w:rsidR="00B36320" w:rsidRPr="00EF0802" w:rsidRDefault="00B36320" w:rsidP="00EF0802">
            <w:pPr>
              <w:spacing w:line="360" w:lineRule="auto"/>
              <w:rPr>
                <w:rFonts w:ascii="Times New Roman" w:hAnsi="Times New Roman" w:cs="Times New Roman"/>
              </w:rPr>
            </w:pPr>
          </w:p>
        </w:tc>
      </w:tr>
      <w:tr w:rsidR="00B36320" w:rsidRPr="00B36320" w14:paraId="4BF52F9E"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38B07152"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8</w:t>
            </w:r>
          </w:p>
        </w:tc>
        <w:tc>
          <w:tcPr>
            <w:tcW w:w="3650" w:type="pct"/>
            <w:tcBorders>
              <w:top w:val="single" w:sz="4" w:space="0" w:color="auto"/>
              <w:left w:val="single" w:sz="4" w:space="0" w:color="auto"/>
              <w:bottom w:val="single" w:sz="4" w:space="0" w:color="auto"/>
              <w:right w:val="single" w:sz="4" w:space="0" w:color="auto"/>
            </w:tcBorders>
            <w:hideMark/>
          </w:tcPr>
          <w:p w14:paraId="63F81DE5"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b/>
                <w:bCs/>
              </w:rPr>
              <w:t>Chapter 4 — Results and Discussion</w:t>
            </w:r>
          </w:p>
        </w:tc>
        <w:tc>
          <w:tcPr>
            <w:tcW w:w="915" w:type="pct"/>
            <w:tcBorders>
              <w:top w:val="single" w:sz="4" w:space="0" w:color="auto"/>
              <w:left w:val="single" w:sz="4" w:space="0" w:color="auto"/>
              <w:bottom w:val="single" w:sz="4" w:space="0" w:color="auto"/>
              <w:right w:val="single" w:sz="4" w:space="0" w:color="auto"/>
            </w:tcBorders>
            <w:hideMark/>
          </w:tcPr>
          <w:p w14:paraId="409FC27E" w14:textId="77777777" w:rsidR="00B36320" w:rsidRPr="00EF0802" w:rsidRDefault="00B36320" w:rsidP="00EF0802">
            <w:pPr>
              <w:spacing w:line="360" w:lineRule="auto"/>
              <w:rPr>
                <w:rFonts w:ascii="Times New Roman" w:hAnsi="Times New Roman" w:cs="Times New Roman"/>
              </w:rPr>
            </w:pPr>
          </w:p>
        </w:tc>
      </w:tr>
      <w:tr w:rsidR="00B36320" w:rsidRPr="00B36320" w14:paraId="73F3F15A"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1830A40E"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8.1</w:t>
            </w:r>
          </w:p>
        </w:tc>
        <w:tc>
          <w:tcPr>
            <w:tcW w:w="3650" w:type="pct"/>
            <w:tcBorders>
              <w:top w:val="single" w:sz="4" w:space="0" w:color="auto"/>
              <w:left w:val="single" w:sz="4" w:space="0" w:color="auto"/>
              <w:bottom w:val="single" w:sz="4" w:space="0" w:color="auto"/>
              <w:right w:val="single" w:sz="4" w:space="0" w:color="auto"/>
            </w:tcBorders>
            <w:hideMark/>
          </w:tcPr>
          <w:p w14:paraId="1D1276E5"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Demographic Profile of the Respondents</w:t>
            </w:r>
          </w:p>
        </w:tc>
        <w:tc>
          <w:tcPr>
            <w:tcW w:w="915" w:type="pct"/>
            <w:tcBorders>
              <w:top w:val="single" w:sz="4" w:space="0" w:color="auto"/>
              <w:left w:val="single" w:sz="4" w:space="0" w:color="auto"/>
              <w:bottom w:val="single" w:sz="4" w:space="0" w:color="auto"/>
              <w:right w:val="single" w:sz="4" w:space="0" w:color="auto"/>
            </w:tcBorders>
            <w:hideMark/>
          </w:tcPr>
          <w:p w14:paraId="6867DF71" w14:textId="77777777" w:rsidR="00B36320" w:rsidRPr="00EF0802" w:rsidRDefault="00B36320" w:rsidP="00EF0802">
            <w:pPr>
              <w:spacing w:line="360" w:lineRule="auto"/>
              <w:rPr>
                <w:rFonts w:ascii="Times New Roman" w:hAnsi="Times New Roman" w:cs="Times New Roman"/>
              </w:rPr>
            </w:pPr>
          </w:p>
        </w:tc>
      </w:tr>
      <w:tr w:rsidR="00B36320" w:rsidRPr="00B36320" w14:paraId="7E9AD7FC"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707EFAD6"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8.2</w:t>
            </w:r>
          </w:p>
        </w:tc>
        <w:tc>
          <w:tcPr>
            <w:tcW w:w="3650" w:type="pct"/>
            <w:tcBorders>
              <w:top w:val="single" w:sz="4" w:space="0" w:color="auto"/>
              <w:left w:val="single" w:sz="4" w:space="0" w:color="auto"/>
              <w:bottom w:val="single" w:sz="4" w:space="0" w:color="auto"/>
              <w:right w:val="single" w:sz="4" w:space="0" w:color="auto"/>
            </w:tcBorders>
            <w:hideMark/>
          </w:tcPr>
          <w:p w14:paraId="5269C85F"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Awareness About Thyroid Dysfunction and Hypertension (Pre-Test)</w:t>
            </w:r>
          </w:p>
        </w:tc>
        <w:tc>
          <w:tcPr>
            <w:tcW w:w="915" w:type="pct"/>
            <w:tcBorders>
              <w:top w:val="single" w:sz="4" w:space="0" w:color="auto"/>
              <w:left w:val="single" w:sz="4" w:space="0" w:color="auto"/>
              <w:bottom w:val="single" w:sz="4" w:space="0" w:color="auto"/>
              <w:right w:val="single" w:sz="4" w:space="0" w:color="auto"/>
            </w:tcBorders>
            <w:hideMark/>
          </w:tcPr>
          <w:p w14:paraId="3F38BC41" w14:textId="77777777" w:rsidR="00B36320" w:rsidRPr="00EF0802" w:rsidRDefault="00B36320" w:rsidP="00EF0802">
            <w:pPr>
              <w:spacing w:line="360" w:lineRule="auto"/>
              <w:rPr>
                <w:rFonts w:ascii="Times New Roman" w:hAnsi="Times New Roman" w:cs="Times New Roman"/>
              </w:rPr>
            </w:pPr>
          </w:p>
        </w:tc>
      </w:tr>
      <w:tr w:rsidR="00B36320" w:rsidRPr="00B36320" w14:paraId="4EF15ED6"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155CDE9A"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8.3</w:t>
            </w:r>
          </w:p>
        </w:tc>
        <w:tc>
          <w:tcPr>
            <w:tcW w:w="3650" w:type="pct"/>
            <w:tcBorders>
              <w:top w:val="single" w:sz="4" w:space="0" w:color="auto"/>
              <w:left w:val="single" w:sz="4" w:space="0" w:color="auto"/>
              <w:bottom w:val="single" w:sz="4" w:space="0" w:color="auto"/>
              <w:right w:val="single" w:sz="4" w:space="0" w:color="auto"/>
            </w:tcBorders>
            <w:hideMark/>
          </w:tcPr>
          <w:p w14:paraId="26D47DC2"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Awareness About Thyroid Dysfunction and Hypertension (Post-Test)</w:t>
            </w:r>
          </w:p>
        </w:tc>
        <w:tc>
          <w:tcPr>
            <w:tcW w:w="915" w:type="pct"/>
            <w:tcBorders>
              <w:top w:val="single" w:sz="4" w:space="0" w:color="auto"/>
              <w:left w:val="single" w:sz="4" w:space="0" w:color="auto"/>
              <w:bottom w:val="single" w:sz="4" w:space="0" w:color="auto"/>
              <w:right w:val="single" w:sz="4" w:space="0" w:color="auto"/>
            </w:tcBorders>
            <w:hideMark/>
          </w:tcPr>
          <w:p w14:paraId="40E93DB7" w14:textId="77777777" w:rsidR="00B36320" w:rsidRPr="00EF0802" w:rsidRDefault="00B36320" w:rsidP="00EF0802">
            <w:pPr>
              <w:spacing w:line="360" w:lineRule="auto"/>
              <w:rPr>
                <w:rFonts w:ascii="Times New Roman" w:hAnsi="Times New Roman" w:cs="Times New Roman"/>
              </w:rPr>
            </w:pPr>
          </w:p>
        </w:tc>
      </w:tr>
      <w:tr w:rsidR="00B36320" w:rsidRPr="00B36320" w14:paraId="48411977"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1CD00AEA"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8.4</w:t>
            </w:r>
          </w:p>
        </w:tc>
        <w:tc>
          <w:tcPr>
            <w:tcW w:w="3650" w:type="pct"/>
            <w:tcBorders>
              <w:top w:val="single" w:sz="4" w:space="0" w:color="auto"/>
              <w:left w:val="single" w:sz="4" w:space="0" w:color="auto"/>
              <w:bottom w:val="single" w:sz="4" w:space="0" w:color="auto"/>
              <w:right w:val="single" w:sz="4" w:space="0" w:color="auto"/>
            </w:tcBorders>
            <w:hideMark/>
          </w:tcPr>
          <w:p w14:paraId="743F7E4F"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Lifestyle Practices — Pre &amp; Post Intervention</w:t>
            </w:r>
          </w:p>
        </w:tc>
        <w:tc>
          <w:tcPr>
            <w:tcW w:w="915" w:type="pct"/>
            <w:tcBorders>
              <w:top w:val="single" w:sz="4" w:space="0" w:color="auto"/>
              <w:left w:val="single" w:sz="4" w:space="0" w:color="auto"/>
              <w:bottom w:val="single" w:sz="4" w:space="0" w:color="auto"/>
              <w:right w:val="single" w:sz="4" w:space="0" w:color="auto"/>
            </w:tcBorders>
            <w:hideMark/>
          </w:tcPr>
          <w:p w14:paraId="42DD8B98" w14:textId="77777777" w:rsidR="00B36320" w:rsidRPr="00EF0802" w:rsidRDefault="00B36320" w:rsidP="00EF0802">
            <w:pPr>
              <w:spacing w:line="360" w:lineRule="auto"/>
              <w:rPr>
                <w:rFonts w:ascii="Times New Roman" w:hAnsi="Times New Roman" w:cs="Times New Roman"/>
              </w:rPr>
            </w:pPr>
          </w:p>
        </w:tc>
      </w:tr>
      <w:tr w:rsidR="00B36320" w:rsidRPr="00B36320" w14:paraId="7B7B7B78"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047ABC81"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8.5</w:t>
            </w:r>
          </w:p>
        </w:tc>
        <w:tc>
          <w:tcPr>
            <w:tcW w:w="3650" w:type="pct"/>
            <w:tcBorders>
              <w:top w:val="single" w:sz="4" w:space="0" w:color="auto"/>
              <w:left w:val="single" w:sz="4" w:space="0" w:color="auto"/>
              <w:bottom w:val="single" w:sz="4" w:space="0" w:color="auto"/>
              <w:right w:val="single" w:sz="4" w:space="0" w:color="auto"/>
            </w:tcBorders>
            <w:hideMark/>
          </w:tcPr>
          <w:p w14:paraId="739E6545"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Lifestyle Changes Post Intervention</w:t>
            </w:r>
          </w:p>
        </w:tc>
        <w:tc>
          <w:tcPr>
            <w:tcW w:w="915" w:type="pct"/>
            <w:tcBorders>
              <w:top w:val="single" w:sz="4" w:space="0" w:color="auto"/>
              <w:left w:val="single" w:sz="4" w:space="0" w:color="auto"/>
              <w:bottom w:val="single" w:sz="4" w:space="0" w:color="auto"/>
              <w:right w:val="single" w:sz="4" w:space="0" w:color="auto"/>
            </w:tcBorders>
            <w:hideMark/>
          </w:tcPr>
          <w:p w14:paraId="1EA0020D" w14:textId="77777777" w:rsidR="00B36320" w:rsidRPr="00EF0802" w:rsidRDefault="00B36320" w:rsidP="00EF0802">
            <w:pPr>
              <w:spacing w:line="360" w:lineRule="auto"/>
              <w:rPr>
                <w:rFonts w:ascii="Times New Roman" w:hAnsi="Times New Roman" w:cs="Times New Roman"/>
              </w:rPr>
            </w:pPr>
          </w:p>
        </w:tc>
      </w:tr>
      <w:tr w:rsidR="00B36320" w:rsidRPr="00B36320" w14:paraId="44E16B95"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4B3CA720"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8.6</w:t>
            </w:r>
          </w:p>
        </w:tc>
        <w:tc>
          <w:tcPr>
            <w:tcW w:w="3650" w:type="pct"/>
            <w:tcBorders>
              <w:top w:val="single" w:sz="4" w:space="0" w:color="auto"/>
              <w:left w:val="single" w:sz="4" w:space="0" w:color="auto"/>
              <w:bottom w:val="single" w:sz="4" w:space="0" w:color="auto"/>
              <w:right w:val="single" w:sz="4" w:space="0" w:color="auto"/>
            </w:tcBorders>
            <w:hideMark/>
          </w:tcPr>
          <w:p w14:paraId="70E44C44"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Clinical Outcomes Before and After Intervention</w:t>
            </w:r>
          </w:p>
        </w:tc>
        <w:tc>
          <w:tcPr>
            <w:tcW w:w="915" w:type="pct"/>
            <w:tcBorders>
              <w:top w:val="single" w:sz="4" w:space="0" w:color="auto"/>
              <w:left w:val="single" w:sz="4" w:space="0" w:color="auto"/>
              <w:bottom w:val="single" w:sz="4" w:space="0" w:color="auto"/>
              <w:right w:val="single" w:sz="4" w:space="0" w:color="auto"/>
            </w:tcBorders>
            <w:hideMark/>
          </w:tcPr>
          <w:p w14:paraId="014EBE26" w14:textId="77777777" w:rsidR="00B36320" w:rsidRPr="00EF0802" w:rsidRDefault="00B36320" w:rsidP="00EF0802">
            <w:pPr>
              <w:spacing w:line="360" w:lineRule="auto"/>
              <w:rPr>
                <w:rFonts w:ascii="Times New Roman" w:hAnsi="Times New Roman" w:cs="Times New Roman"/>
              </w:rPr>
            </w:pPr>
          </w:p>
        </w:tc>
      </w:tr>
      <w:tr w:rsidR="00B36320" w:rsidRPr="00B36320" w14:paraId="5E1F833A"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16E8FA51"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8.7</w:t>
            </w:r>
          </w:p>
        </w:tc>
        <w:tc>
          <w:tcPr>
            <w:tcW w:w="3650" w:type="pct"/>
            <w:tcBorders>
              <w:top w:val="single" w:sz="4" w:space="0" w:color="auto"/>
              <w:left w:val="single" w:sz="4" w:space="0" w:color="auto"/>
              <w:bottom w:val="single" w:sz="4" w:space="0" w:color="auto"/>
              <w:right w:val="single" w:sz="4" w:space="0" w:color="auto"/>
            </w:tcBorders>
            <w:hideMark/>
          </w:tcPr>
          <w:p w14:paraId="02D7A370"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Hypothesis Testing Results</w:t>
            </w:r>
          </w:p>
        </w:tc>
        <w:tc>
          <w:tcPr>
            <w:tcW w:w="915" w:type="pct"/>
            <w:tcBorders>
              <w:top w:val="single" w:sz="4" w:space="0" w:color="auto"/>
              <w:left w:val="single" w:sz="4" w:space="0" w:color="auto"/>
              <w:bottom w:val="single" w:sz="4" w:space="0" w:color="auto"/>
              <w:right w:val="single" w:sz="4" w:space="0" w:color="auto"/>
            </w:tcBorders>
            <w:hideMark/>
          </w:tcPr>
          <w:p w14:paraId="25A5A108" w14:textId="77777777" w:rsidR="00B36320" w:rsidRPr="00EF0802" w:rsidRDefault="00B36320" w:rsidP="00EF0802">
            <w:pPr>
              <w:spacing w:line="360" w:lineRule="auto"/>
              <w:rPr>
                <w:rFonts w:ascii="Times New Roman" w:hAnsi="Times New Roman" w:cs="Times New Roman"/>
              </w:rPr>
            </w:pPr>
          </w:p>
        </w:tc>
      </w:tr>
      <w:tr w:rsidR="00B36320" w:rsidRPr="00B36320" w14:paraId="5BBD79A6"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79FA384F"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8.8</w:t>
            </w:r>
          </w:p>
        </w:tc>
        <w:tc>
          <w:tcPr>
            <w:tcW w:w="3650" w:type="pct"/>
            <w:tcBorders>
              <w:top w:val="single" w:sz="4" w:space="0" w:color="auto"/>
              <w:left w:val="single" w:sz="4" w:space="0" w:color="auto"/>
              <w:bottom w:val="single" w:sz="4" w:space="0" w:color="auto"/>
              <w:right w:val="single" w:sz="4" w:space="0" w:color="auto"/>
            </w:tcBorders>
            <w:hideMark/>
          </w:tcPr>
          <w:p w14:paraId="0F4F32A7"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Satisfaction and Feedback from Participants</w:t>
            </w:r>
          </w:p>
        </w:tc>
        <w:tc>
          <w:tcPr>
            <w:tcW w:w="915" w:type="pct"/>
            <w:tcBorders>
              <w:top w:val="single" w:sz="4" w:space="0" w:color="auto"/>
              <w:left w:val="single" w:sz="4" w:space="0" w:color="auto"/>
              <w:bottom w:val="single" w:sz="4" w:space="0" w:color="auto"/>
              <w:right w:val="single" w:sz="4" w:space="0" w:color="auto"/>
            </w:tcBorders>
            <w:hideMark/>
          </w:tcPr>
          <w:p w14:paraId="6C56DF32" w14:textId="77777777" w:rsidR="00B36320" w:rsidRPr="00EF0802" w:rsidRDefault="00B36320" w:rsidP="00EF0802">
            <w:pPr>
              <w:spacing w:line="360" w:lineRule="auto"/>
              <w:rPr>
                <w:rFonts w:ascii="Times New Roman" w:hAnsi="Times New Roman" w:cs="Times New Roman"/>
              </w:rPr>
            </w:pPr>
          </w:p>
        </w:tc>
      </w:tr>
      <w:tr w:rsidR="00B36320" w:rsidRPr="00B36320" w14:paraId="4521176F"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0EF0B225"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8.9</w:t>
            </w:r>
          </w:p>
        </w:tc>
        <w:tc>
          <w:tcPr>
            <w:tcW w:w="3650" w:type="pct"/>
            <w:tcBorders>
              <w:top w:val="single" w:sz="4" w:space="0" w:color="auto"/>
              <w:left w:val="single" w:sz="4" w:space="0" w:color="auto"/>
              <w:bottom w:val="single" w:sz="4" w:space="0" w:color="auto"/>
              <w:right w:val="single" w:sz="4" w:space="0" w:color="auto"/>
            </w:tcBorders>
            <w:hideMark/>
          </w:tcPr>
          <w:p w14:paraId="42EEEAF1"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Summary of Clinical Impact</w:t>
            </w:r>
          </w:p>
        </w:tc>
        <w:tc>
          <w:tcPr>
            <w:tcW w:w="915" w:type="pct"/>
            <w:tcBorders>
              <w:top w:val="single" w:sz="4" w:space="0" w:color="auto"/>
              <w:left w:val="single" w:sz="4" w:space="0" w:color="auto"/>
              <w:bottom w:val="single" w:sz="4" w:space="0" w:color="auto"/>
              <w:right w:val="single" w:sz="4" w:space="0" w:color="auto"/>
            </w:tcBorders>
            <w:hideMark/>
          </w:tcPr>
          <w:p w14:paraId="62B7ED8D" w14:textId="77777777" w:rsidR="00B36320" w:rsidRPr="00EF0802" w:rsidRDefault="00B36320" w:rsidP="00EF0802">
            <w:pPr>
              <w:spacing w:line="360" w:lineRule="auto"/>
              <w:rPr>
                <w:rFonts w:ascii="Times New Roman" w:hAnsi="Times New Roman" w:cs="Times New Roman"/>
              </w:rPr>
            </w:pPr>
          </w:p>
        </w:tc>
      </w:tr>
      <w:tr w:rsidR="00B36320" w:rsidRPr="00B36320" w14:paraId="13ADFB5E"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218CD5AB"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9</w:t>
            </w:r>
          </w:p>
        </w:tc>
        <w:tc>
          <w:tcPr>
            <w:tcW w:w="3650" w:type="pct"/>
            <w:tcBorders>
              <w:top w:val="single" w:sz="4" w:space="0" w:color="auto"/>
              <w:left w:val="single" w:sz="4" w:space="0" w:color="auto"/>
              <w:bottom w:val="single" w:sz="4" w:space="0" w:color="auto"/>
              <w:right w:val="single" w:sz="4" w:space="0" w:color="auto"/>
            </w:tcBorders>
            <w:hideMark/>
          </w:tcPr>
          <w:p w14:paraId="32EDBA84"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b/>
                <w:bCs/>
              </w:rPr>
              <w:t>Chapter 5 — Summary, Conclusion, and Recommendations</w:t>
            </w:r>
          </w:p>
        </w:tc>
        <w:tc>
          <w:tcPr>
            <w:tcW w:w="915" w:type="pct"/>
            <w:tcBorders>
              <w:top w:val="single" w:sz="4" w:space="0" w:color="auto"/>
              <w:left w:val="single" w:sz="4" w:space="0" w:color="auto"/>
              <w:bottom w:val="single" w:sz="4" w:space="0" w:color="auto"/>
              <w:right w:val="single" w:sz="4" w:space="0" w:color="auto"/>
            </w:tcBorders>
            <w:hideMark/>
          </w:tcPr>
          <w:p w14:paraId="65193909" w14:textId="77777777" w:rsidR="00B36320" w:rsidRPr="00EF0802" w:rsidRDefault="00B36320" w:rsidP="00EF0802">
            <w:pPr>
              <w:spacing w:line="360" w:lineRule="auto"/>
              <w:rPr>
                <w:rFonts w:ascii="Times New Roman" w:hAnsi="Times New Roman" w:cs="Times New Roman"/>
              </w:rPr>
            </w:pPr>
          </w:p>
        </w:tc>
      </w:tr>
      <w:tr w:rsidR="00B36320" w:rsidRPr="00B36320" w14:paraId="02AA4765"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14910A9C"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9.1</w:t>
            </w:r>
          </w:p>
        </w:tc>
        <w:tc>
          <w:tcPr>
            <w:tcW w:w="3650" w:type="pct"/>
            <w:tcBorders>
              <w:top w:val="single" w:sz="4" w:space="0" w:color="auto"/>
              <w:left w:val="single" w:sz="4" w:space="0" w:color="auto"/>
              <w:bottom w:val="single" w:sz="4" w:space="0" w:color="auto"/>
              <w:right w:val="single" w:sz="4" w:space="0" w:color="auto"/>
            </w:tcBorders>
            <w:hideMark/>
          </w:tcPr>
          <w:p w14:paraId="1B50C4C3"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Summary of Major Findings</w:t>
            </w:r>
          </w:p>
        </w:tc>
        <w:tc>
          <w:tcPr>
            <w:tcW w:w="915" w:type="pct"/>
            <w:tcBorders>
              <w:top w:val="single" w:sz="4" w:space="0" w:color="auto"/>
              <w:left w:val="single" w:sz="4" w:space="0" w:color="auto"/>
              <w:bottom w:val="single" w:sz="4" w:space="0" w:color="auto"/>
              <w:right w:val="single" w:sz="4" w:space="0" w:color="auto"/>
            </w:tcBorders>
            <w:hideMark/>
          </w:tcPr>
          <w:p w14:paraId="04992843" w14:textId="77777777" w:rsidR="00B36320" w:rsidRPr="00EF0802" w:rsidRDefault="00B36320" w:rsidP="00EF0802">
            <w:pPr>
              <w:spacing w:line="360" w:lineRule="auto"/>
              <w:rPr>
                <w:rFonts w:ascii="Times New Roman" w:hAnsi="Times New Roman" w:cs="Times New Roman"/>
              </w:rPr>
            </w:pPr>
          </w:p>
        </w:tc>
      </w:tr>
      <w:tr w:rsidR="00B36320" w:rsidRPr="00B36320" w14:paraId="18B28860"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598191E1"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9.2</w:t>
            </w:r>
          </w:p>
        </w:tc>
        <w:tc>
          <w:tcPr>
            <w:tcW w:w="3650" w:type="pct"/>
            <w:tcBorders>
              <w:top w:val="single" w:sz="4" w:space="0" w:color="auto"/>
              <w:left w:val="single" w:sz="4" w:space="0" w:color="auto"/>
              <w:bottom w:val="single" w:sz="4" w:space="0" w:color="auto"/>
              <w:right w:val="single" w:sz="4" w:space="0" w:color="auto"/>
            </w:tcBorders>
            <w:hideMark/>
          </w:tcPr>
          <w:p w14:paraId="5AC65AAD"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Conclusions</w:t>
            </w:r>
          </w:p>
        </w:tc>
        <w:tc>
          <w:tcPr>
            <w:tcW w:w="915" w:type="pct"/>
            <w:tcBorders>
              <w:top w:val="single" w:sz="4" w:space="0" w:color="auto"/>
              <w:left w:val="single" w:sz="4" w:space="0" w:color="auto"/>
              <w:bottom w:val="single" w:sz="4" w:space="0" w:color="auto"/>
              <w:right w:val="single" w:sz="4" w:space="0" w:color="auto"/>
            </w:tcBorders>
            <w:hideMark/>
          </w:tcPr>
          <w:p w14:paraId="06918BF2" w14:textId="77777777" w:rsidR="00B36320" w:rsidRPr="00EF0802" w:rsidRDefault="00B36320" w:rsidP="00EF0802">
            <w:pPr>
              <w:spacing w:line="360" w:lineRule="auto"/>
              <w:rPr>
                <w:rFonts w:ascii="Times New Roman" w:hAnsi="Times New Roman" w:cs="Times New Roman"/>
              </w:rPr>
            </w:pPr>
          </w:p>
        </w:tc>
      </w:tr>
      <w:tr w:rsidR="00B36320" w:rsidRPr="00B36320" w14:paraId="2CF31AE6"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14268CF7"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9.3</w:t>
            </w:r>
          </w:p>
        </w:tc>
        <w:tc>
          <w:tcPr>
            <w:tcW w:w="3650" w:type="pct"/>
            <w:tcBorders>
              <w:top w:val="single" w:sz="4" w:space="0" w:color="auto"/>
              <w:left w:val="single" w:sz="4" w:space="0" w:color="auto"/>
              <w:bottom w:val="single" w:sz="4" w:space="0" w:color="auto"/>
              <w:right w:val="single" w:sz="4" w:space="0" w:color="auto"/>
            </w:tcBorders>
            <w:hideMark/>
          </w:tcPr>
          <w:p w14:paraId="25FA9B27"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Recommendations for Policy and Practice</w:t>
            </w:r>
          </w:p>
        </w:tc>
        <w:tc>
          <w:tcPr>
            <w:tcW w:w="915" w:type="pct"/>
            <w:tcBorders>
              <w:top w:val="single" w:sz="4" w:space="0" w:color="auto"/>
              <w:left w:val="single" w:sz="4" w:space="0" w:color="auto"/>
              <w:bottom w:val="single" w:sz="4" w:space="0" w:color="auto"/>
              <w:right w:val="single" w:sz="4" w:space="0" w:color="auto"/>
            </w:tcBorders>
            <w:hideMark/>
          </w:tcPr>
          <w:p w14:paraId="1A1EDC38" w14:textId="77777777" w:rsidR="00B36320" w:rsidRPr="00EF0802" w:rsidRDefault="00B36320" w:rsidP="00EF0802">
            <w:pPr>
              <w:spacing w:line="360" w:lineRule="auto"/>
              <w:rPr>
                <w:rFonts w:ascii="Times New Roman" w:hAnsi="Times New Roman" w:cs="Times New Roman"/>
              </w:rPr>
            </w:pPr>
          </w:p>
        </w:tc>
      </w:tr>
      <w:tr w:rsidR="00B36320" w:rsidRPr="00B36320" w14:paraId="260708CC"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055BB922"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9.4</w:t>
            </w:r>
          </w:p>
        </w:tc>
        <w:tc>
          <w:tcPr>
            <w:tcW w:w="3650" w:type="pct"/>
            <w:tcBorders>
              <w:top w:val="single" w:sz="4" w:space="0" w:color="auto"/>
              <w:left w:val="single" w:sz="4" w:space="0" w:color="auto"/>
              <w:bottom w:val="single" w:sz="4" w:space="0" w:color="auto"/>
              <w:right w:val="single" w:sz="4" w:space="0" w:color="auto"/>
            </w:tcBorders>
            <w:hideMark/>
          </w:tcPr>
          <w:p w14:paraId="2AD9FD15"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Scope for Future Research</w:t>
            </w:r>
          </w:p>
        </w:tc>
        <w:tc>
          <w:tcPr>
            <w:tcW w:w="915" w:type="pct"/>
            <w:tcBorders>
              <w:top w:val="single" w:sz="4" w:space="0" w:color="auto"/>
              <w:left w:val="single" w:sz="4" w:space="0" w:color="auto"/>
              <w:bottom w:val="single" w:sz="4" w:space="0" w:color="auto"/>
              <w:right w:val="single" w:sz="4" w:space="0" w:color="auto"/>
            </w:tcBorders>
            <w:hideMark/>
          </w:tcPr>
          <w:p w14:paraId="07CEDD28" w14:textId="77777777" w:rsidR="00B36320" w:rsidRPr="00EF0802" w:rsidRDefault="00B36320" w:rsidP="00EF0802">
            <w:pPr>
              <w:spacing w:line="360" w:lineRule="auto"/>
              <w:rPr>
                <w:rFonts w:ascii="Times New Roman" w:hAnsi="Times New Roman" w:cs="Times New Roman"/>
              </w:rPr>
            </w:pPr>
          </w:p>
        </w:tc>
      </w:tr>
      <w:tr w:rsidR="00B36320" w:rsidRPr="00B36320" w14:paraId="4FE2B52C"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76E93599"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10</w:t>
            </w:r>
          </w:p>
        </w:tc>
        <w:tc>
          <w:tcPr>
            <w:tcW w:w="3650" w:type="pct"/>
            <w:tcBorders>
              <w:top w:val="single" w:sz="4" w:space="0" w:color="auto"/>
              <w:left w:val="single" w:sz="4" w:space="0" w:color="auto"/>
              <w:bottom w:val="single" w:sz="4" w:space="0" w:color="auto"/>
              <w:right w:val="single" w:sz="4" w:space="0" w:color="auto"/>
            </w:tcBorders>
            <w:hideMark/>
          </w:tcPr>
          <w:p w14:paraId="6BBA3753"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b/>
                <w:bCs/>
              </w:rPr>
              <w:t>References</w:t>
            </w:r>
          </w:p>
        </w:tc>
        <w:tc>
          <w:tcPr>
            <w:tcW w:w="915" w:type="pct"/>
            <w:tcBorders>
              <w:top w:val="single" w:sz="4" w:space="0" w:color="auto"/>
              <w:left w:val="single" w:sz="4" w:space="0" w:color="auto"/>
              <w:bottom w:val="single" w:sz="4" w:space="0" w:color="auto"/>
              <w:right w:val="single" w:sz="4" w:space="0" w:color="auto"/>
            </w:tcBorders>
            <w:hideMark/>
          </w:tcPr>
          <w:p w14:paraId="61E95805" w14:textId="77777777" w:rsidR="00B36320" w:rsidRPr="00EF0802" w:rsidRDefault="00B36320" w:rsidP="00EF0802">
            <w:pPr>
              <w:spacing w:line="360" w:lineRule="auto"/>
              <w:rPr>
                <w:rFonts w:ascii="Times New Roman" w:hAnsi="Times New Roman" w:cs="Times New Roman"/>
              </w:rPr>
            </w:pPr>
          </w:p>
        </w:tc>
      </w:tr>
      <w:tr w:rsidR="00B36320" w:rsidRPr="00B36320" w14:paraId="0FB695E9" w14:textId="77777777" w:rsidTr="00452A1D">
        <w:tc>
          <w:tcPr>
            <w:tcW w:w="435" w:type="pct"/>
            <w:tcBorders>
              <w:top w:val="single" w:sz="4" w:space="0" w:color="auto"/>
              <w:left w:val="single" w:sz="4" w:space="0" w:color="auto"/>
              <w:bottom w:val="single" w:sz="4" w:space="0" w:color="auto"/>
              <w:right w:val="single" w:sz="4" w:space="0" w:color="auto"/>
            </w:tcBorders>
            <w:hideMark/>
          </w:tcPr>
          <w:p w14:paraId="474D2E67"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11</w:t>
            </w:r>
          </w:p>
        </w:tc>
        <w:tc>
          <w:tcPr>
            <w:tcW w:w="3650" w:type="pct"/>
            <w:tcBorders>
              <w:top w:val="single" w:sz="4" w:space="0" w:color="auto"/>
              <w:left w:val="single" w:sz="4" w:space="0" w:color="auto"/>
              <w:bottom w:val="single" w:sz="4" w:space="0" w:color="auto"/>
              <w:right w:val="single" w:sz="4" w:space="0" w:color="auto"/>
            </w:tcBorders>
            <w:hideMark/>
          </w:tcPr>
          <w:p w14:paraId="76FA01F4"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b/>
                <w:bCs/>
              </w:rPr>
              <w:t>Appendices</w:t>
            </w:r>
          </w:p>
        </w:tc>
        <w:tc>
          <w:tcPr>
            <w:tcW w:w="915" w:type="pct"/>
            <w:tcBorders>
              <w:top w:val="single" w:sz="4" w:space="0" w:color="auto"/>
              <w:left w:val="single" w:sz="4" w:space="0" w:color="auto"/>
              <w:bottom w:val="single" w:sz="4" w:space="0" w:color="auto"/>
              <w:right w:val="single" w:sz="4" w:space="0" w:color="auto"/>
            </w:tcBorders>
            <w:hideMark/>
          </w:tcPr>
          <w:p w14:paraId="7029D3FD" w14:textId="77777777" w:rsidR="00B36320" w:rsidRPr="00EF0802" w:rsidRDefault="00B36320" w:rsidP="00EF0802">
            <w:pPr>
              <w:spacing w:line="360" w:lineRule="auto"/>
              <w:rPr>
                <w:rFonts w:ascii="Times New Roman" w:hAnsi="Times New Roman" w:cs="Times New Roman"/>
              </w:rPr>
            </w:pPr>
          </w:p>
        </w:tc>
      </w:tr>
    </w:tbl>
    <w:p w14:paraId="6AA1CF01" w14:textId="77777777" w:rsidR="00B36320" w:rsidRDefault="00B36320" w:rsidP="00EF0802">
      <w:pPr>
        <w:spacing w:line="360" w:lineRule="auto"/>
        <w:jc w:val="center"/>
        <w:rPr>
          <w:rFonts w:ascii="Times New Roman" w:hAnsi="Times New Roman" w:cs="Times New Roman"/>
          <w:sz w:val="28"/>
          <w:szCs w:val="28"/>
        </w:rPr>
      </w:pPr>
    </w:p>
    <w:p w14:paraId="1C64882B" w14:textId="77777777" w:rsidR="00452A1D" w:rsidRDefault="00452A1D" w:rsidP="00EF0802">
      <w:pPr>
        <w:spacing w:line="360" w:lineRule="auto"/>
        <w:jc w:val="center"/>
        <w:rPr>
          <w:rFonts w:ascii="Times New Roman" w:hAnsi="Times New Roman" w:cs="Times New Roman"/>
          <w:sz w:val="28"/>
          <w:szCs w:val="28"/>
        </w:rPr>
      </w:pPr>
    </w:p>
    <w:p w14:paraId="4319326B" w14:textId="77777777" w:rsidR="00452A1D" w:rsidRPr="00B36320" w:rsidRDefault="00452A1D" w:rsidP="00EF0802">
      <w:pPr>
        <w:spacing w:line="360" w:lineRule="auto"/>
        <w:jc w:val="center"/>
        <w:rPr>
          <w:rFonts w:ascii="Times New Roman" w:hAnsi="Times New Roman" w:cs="Times New Roman"/>
          <w:sz w:val="28"/>
          <w:szCs w:val="28"/>
        </w:rPr>
      </w:pPr>
    </w:p>
    <w:p w14:paraId="5C8F3E84" w14:textId="77777777" w:rsidR="00B36320" w:rsidRPr="00B36320" w:rsidRDefault="00B36320" w:rsidP="00EF0802">
      <w:pPr>
        <w:spacing w:line="360" w:lineRule="auto"/>
        <w:rPr>
          <w:rFonts w:ascii="Times New Roman" w:hAnsi="Times New Roman" w:cs="Times New Roman"/>
          <w:b/>
          <w:bCs/>
          <w:sz w:val="28"/>
          <w:szCs w:val="28"/>
        </w:rPr>
      </w:pPr>
      <w:r w:rsidRPr="00B36320">
        <w:rPr>
          <w:rFonts w:ascii="Times New Roman" w:hAnsi="Times New Roman" w:cs="Times New Roman"/>
          <w:b/>
          <w:bCs/>
          <w:sz w:val="28"/>
          <w:szCs w:val="28"/>
        </w:rPr>
        <w:lastRenderedPageBreak/>
        <w:tab/>
      </w:r>
      <w:r w:rsidRPr="00B36320">
        <w:rPr>
          <w:rFonts w:ascii="Times New Roman" w:hAnsi="Times New Roman" w:cs="Times New Roman"/>
          <w:b/>
          <w:bCs/>
          <w:sz w:val="28"/>
          <w:szCs w:val="28"/>
        </w:rPr>
        <w:tab/>
      </w:r>
      <w:r w:rsidRPr="00B36320">
        <w:rPr>
          <w:rFonts w:ascii="Times New Roman" w:hAnsi="Times New Roman" w:cs="Times New Roman"/>
          <w:b/>
          <w:bCs/>
          <w:sz w:val="28"/>
          <w:szCs w:val="28"/>
        </w:rPr>
        <w:tab/>
      </w:r>
      <w:r w:rsidRPr="00B36320">
        <w:rPr>
          <w:rFonts w:ascii="Times New Roman" w:hAnsi="Times New Roman" w:cs="Times New Roman"/>
          <w:b/>
          <w:bCs/>
          <w:sz w:val="28"/>
          <w:szCs w:val="28"/>
        </w:rPr>
        <w:tab/>
      </w:r>
      <w:r w:rsidRPr="00B36320">
        <w:rPr>
          <w:rFonts w:ascii="Times New Roman" w:hAnsi="Times New Roman" w:cs="Times New Roman"/>
          <w:b/>
          <w:bCs/>
          <w:sz w:val="28"/>
          <w:szCs w:val="28"/>
        </w:rPr>
        <w:tab/>
        <w:t>LIST OF FIGURES</w:t>
      </w:r>
    </w:p>
    <w:tbl>
      <w:tblPr>
        <w:tblStyle w:val="TableGrid"/>
        <w:tblW w:w="5000" w:type="pct"/>
        <w:tblLook w:val="04A0" w:firstRow="1" w:lastRow="0" w:firstColumn="1" w:lastColumn="0" w:noHBand="0" w:noVBand="1"/>
      </w:tblPr>
      <w:tblGrid>
        <w:gridCol w:w="1334"/>
        <w:gridCol w:w="5742"/>
        <w:gridCol w:w="1220"/>
      </w:tblGrid>
      <w:tr w:rsidR="00B36320" w:rsidRPr="00B36320" w14:paraId="183610F2" w14:textId="77777777" w:rsidTr="00EF0802">
        <w:tc>
          <w:tcPr>
            <w:tcW w:w="804" w:type="pct"/>
            <w:tcBorders>
              <w:top w:val="single" w:sz="4" w:space="0" w:color="auto"/>
              <w:left w:val="single" w:sz="4" w:space="0" w:color="auto"/>
              <w:bottom w:val="single" w:sz="4" w:space="0" w:color="auto"/>
              <w:right w:val="single" w:sz="4" w:space="0" w:color="auto"/>
            </w:tcBorders>
            <w:hideMark/>
          </w:tcPr>
          <w:p w14:paraId="7E5E3008" w14:textId="77777777" w:rsidR="00B36320" w:rsidRPr="00EF0802" w:rsidRDefault="00B36320" w:rsidP="00EF0802">
            <w:pPr>
              <w:spacing w:line="360" w:lineRule="auto"/>
              <w:rPr>
                <w:rFonts w:ascii="Times New Roman" w:hAnsi="Times New Roman" w:cs="Times New Roman"/>
                <w:b/>
                <w:bCs/>
              </w:rPr>
            </w:pPr>
            <w:r w:rsidRPr="00EF0802">
              <w:rPr>
                <w:rFonts w:ascii="Times New Roman" w:hAnsi="Times New Roman" w:cs="Times New Roman"/>
                <w:b/>
                <w:bCs/>
              </w:rPr>
              <w:t>Figure No.</w:t>
            </w:r>
          </w:p>
        </w:tc>
        <w:tc>
          <w:tcPr>
            <w:tcW w:w="3461" w:type="pct"/>
            <w:tcBorders>
              <w:top w:val="single" w:sz="4" w:space="0" w:color="auto"/>
              <w:left w:val="single" w:sz="4" w:space="0" w:color="auto"/>
              <w:bottom w:val="single" w:sz="4" w:space="0" w:color="auto"/>
              <w:right w:val="single" w:sz="4" w:space="0" w:color="auto"/>
            </w:tcBorders>
            <w:hideMark/>
          </w:tcPr>
          <w:p w14:paraId="7E659A30" w14:textId="77777777" w:rsidR="00B36320" w:rsidRPr="00EF0802" w:rsidRDefault="00B36320" w:rsidP="00EF0802">
            <w:pPr>
              <w:spacing w:line="360" w:lineRule="auto"/>
              <w:rPr>
                <w:rFonts w:ascii="Times New Roman" w:hAnsi="Times New Roman" w:cs="Times New Roman"/>
                <w:b/>
                <w:bCs/>
              </w:rPr>
            </w:pPr>
            <w:r w:rsidRPr="00EF0802">
              <w:rPr>
                <w:rFonts w:ascii="Times New Roman" w:hAnsi="Times New Roman" w:cs="Times New Roman"/>
                <w:b/>
                <w:bCs/>
              </w:rPr>
              <w:t>Title</w:t>
            </w:r>
          </w:p>
        </w:tc>
        <w:tc>
          <w:tcPr>
            <w:tcW w:w="735" w:type="pct"/>
            <w:tcBorders>
              <w:top w:val="single" w:sz="4" w:space="0" w:color="auto"/>
              <w:left w:val="single" w:sz="4" w:space="0" w:color="auto"/>
              <w:bottom w:val="single" w:sz="4" w:space="0" w:color="auto"/>
              <w:right w:val="single" w:sz="4" w:space="0" w:color="auto"/>
            </w:tcBorders>
            <w:hideMark/>
          </w:tcPr>
          <w:p w14:paraId="1AD92A3C" w14:textId="77777777" w:rsidR="00B36320" w:rsidRPr="00EF0802" w:rsidRDefault="00B36320" w:rsidP="00EF0802">
            <w:pPr>
              <w:spacing w:line="360" w:lineRule="auto"/>
              <w:rPr>
                <w:rFonts w:ascii="Times New Roman" w:hAnsi="Times New Roman" w:cs="Times New Roman"/>
                <w:b/>
                <w:bCs/>
              </w:rPr>
            </w:pPr>
            <w:r w:rsidRPr="00EF0802">
              <w:rPr>
                <w:rFonts w:ascii="Times New Roman" w:hAnsi="Times New Roman" w:cs="Times New Roman"/>
                <w:b/>
                <w:bCs/>
              </w:rPr>
              <w:t>Page No.</w:t>
            </w:r>
          </w:p>
        </w:tc>
      </w:tr>
      <w:tr w:rsidR="00B36320" w:rsidRPr="00B36320" w14:paraId="75D11AD6" w14:textId="77777777" w:rsidTr="00EF0802">
        <w:tc>
          <w:tcPr>
            <w:tcW w:w="804" w:type="pct"/>
            <w:tcBorders>
              <w:top w:val="single" w:sz="4" w:space="0" w:color="auto"/>
              <w:left w:val="single" w:sz="4" w:space="0" w:color="auto"/>
              <w:bottom w:val="single" w:sz="4" w:space="0" w:color="auto"/>
              <w:right w:val="single" w:sz="4" w:space="0" w:color="auto"/>
            </w:tcBorders>
            <w:hideMark/>
          </w:tcPr>
          <w:p w14:paraId="6D34E2E3"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Figure 3.1</w:t>
            </w:r>
          </w:p>
        </w:tc>
        <w:tc>
          <w:tcPr>
            <w:tcW w:w="3461" w:type="pct"/>
            <w:tcBorders>
              <w:top w:val="single" w:sz="4" w:space="0" w:color="auto"/>
              <w:left w:val="single" w:sz="4" w:space="0" w:color="auto"/>
              <w:bottom w:val="single" w:sz="4" w:space="0" w:color="auto"/>
              <w:right w:val="single" w:sz="4" w:space="0" w:color="auto"/>
            </w:tcBorders>
            <w:hideMark/>
          </w:tcPr>
          <w:p w14:paraId="20F1098A"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Map of Study Area (</w:t>
            </w:r>
            <w:proofErr w:type="spellStart"/>
            <w:r w:rsidRPr="00EF0802">
              <w:rPr>
                <w:rFonts w:ascii="Times New Roman" w:hAnsi="Times New Roman" w:cs="Times New Roman"/>
              </w:rPr>
              <w:t>Bulandshahr</w:t>
            </w:r>
            <w:proofErr w:type="spellEnd"/>
            <w:r w:rsidRPr="00EF0802">
              <w:rPr>
                <w:rFonts w:ascii="Times New Roman" w:hAnsi="Times New Roman" w:cs="Times New Roman"/>
              </w:rPr>
              <w:t xml:space="preserve"> District / </w:t>
            </w:r>
            <w:proofErr w:type="spellStart"/>
            <w:r w:rsidRPr="00EF0802">
              <w:rPr>
                <w:rFonts w:ascii="Times New Roman" w:hAnsi="Times New Roman" w:cs="Times New Roman"/>
              </w:rPr>
              <w:t>Khurja</w:t>
            </w:r>
            <w:proofErr w:type="spellEnd"/>
            <w:r w:rsidRPr="00EF0802">
              <w:rPr>
                <w:rFonts w:ascii="Times New Roman" w:hAnsi="Times New Roman" w:cs="Times New Roman"/>
              </w:rPr>
              <w:t xml:space="preserve"> Block)</w:t>
            </w:r>
          </w:p>
        </w:tc>
        <w:tc>
          <w:tcPr>
            <w:tcW w:w="735" w:type="pct"/>
            <w:tcBorders>
              <w:top w:val="single" w:sz="4" w:space="0" w:color="auto"/>
              <w:left w:val="single" w:sz="4" w:space="0" w:color="auto"/>
              <w:bottom w:val="single" w:sz="4" w:space="0" w:color="auto"/>
              <w:right w:val="single" w:sz="4" w:space="0" w:color="auto"/>
            </w:tcBorders>
            <w:hideMark/>
          </w:tcPr>
          <w:p w14:paraId="5A07BC56" w14:textId="77777777" w:rsidR="00B36320" w:rsidRPr="00EF0802" w:rsidRDefault="00B36320" w:rsidP="00EF0802">
            <w:pPr>
              <w:spacing w:line="360" w:lineRule="auto"/>
              <w:rPr>
                <w:rFonts w:ascii="Times New Roman" w:hAnsi="Times New Roman" w:cs="Times New Roman"/>
              </w:rPr>
            </w:pPr>
          </w:p>
        </w:tc>
      </w:tr>
      <w:tr w:rsidR="00B36320" w:rsidRPr="00B36320" w14:paraId="20F4D822" w14:textId="77777777" w:rsidTr="00EF0802">
        <w:tc>
          <w:tcPr>
            <w:tcW w:w="804" w:type="pct"/>
            <w:tcBorders>
              <w:top w:val="single" w:sz="4" w:space="0" w:color="auto"/>
              <w:left w:val="single" w:sz="4" w:space="0" w:color="auto"/>
              <w:bottom w:val="single" w:sz="4" w:space="0" w:color="auto"/>
              <w:right w:val="single" w:sz="4" w:space="0" w:color="auto"/>
            </w:tcBorders>
            <w:hideMark/>
          </w:tcPr>
          <w:p w14:paraId="71FF7DA6"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Figure 3.2</w:t>
            </w:r>
          </w:p>
        </w:tc>
        <w:tc>
          <w:tcPr>
            <w:tcW w:w="3461" w:type="pct"/>
            <w:tcBorders>
              <w:top w:val="single" w:sz="4" w:space="0" w:color="auto"/>
              <w:left w:val="single" w:sz="4" w:space="0" w:color="auto"/>
              <w:bottom w:val="single" w:sz="4" w:space="0" w:color="auto"/>
              <w:right w:val="single" w:sz="4" w:space="0" w:color="auto"/>
            </w:tcBorders>
            <w:hideMark/>
          </w:tcPr>
          <w:p w14:paraId="71843786"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Sample Analysis Workflow Chart</w:t>
            </w:r>
          </w:p>
        </w:tc>
        <w:tc>
          <w:tcPr>
            <w:tcW w:w="735" w:type="pct"/>
            <w:tcBorders>
              <w:top w:val="single" w:sz="4" w:space="0" w:color="auto"/>
              <w:left w:val="single" w:sz="4" w:space="0" w:color="auto"/>
              <w:bottom w:val="single" w:sz="4" w:space="0" w:color="auto"/>
              <w:right w:val="single" w:sz="4" w:space="0" w:color="auto"/>
            </w:tcBorders>
            <w:hideMark/>
          </w:tcPr>
          <w:p w14:paraId="7852F102" w14:textId="77777777" w:rsidR="00B36320" w:rsidRPr="00EF0802" w:rsidRDefault="00B36320" w:rsidP="00EF0802">
            <w:pPr>
              <w:spacing w:line="360" w:lineRule="auto"/>
              <w:rPr>
                <w:rFonts w:ascii="Times New Roman" w:hAnsi="Times New Roman" w:cs="Times New Roman"/>
              </w:rPr>
            </w:pPr>
          </w:p>
        </w:tc>
      </w:tr>
      <w:tr w:rsidR="00071B38" w:rsidRPr="00B36320" w14:paraId="6D4BFA25" w14:textId="77777777" w:rsidTr="00EF0802">
        <w:tc>
          <w:tcPr>
            <w:tcW w:w="804" w:type="pct"/>
            <w:tcBorders>
              <w:top w:val="single" w:sz="4" w:space="0" w:color="auto"/>
              <w:left w:val="single" w:sz="4" w:space="0" w:color="auto"/>
              <w:bottom w:val="single" w:sz="4" w:space="0" w:color="auto"/>
              <w:right w:val="single" w:sz="4" w:space="0" w:color="auto"/>
            </w:tcBorders>
            <w:vAlign w:val="center"/>
          </w:tcPr>
          <w:p w14:paraId="7FE5BD0F" w14:textId="498D3D86"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Figure 4.1</w:t>
            </w:r>
          </w:p>
        </w:tc>
        <w:tc>
          <w:tcPr>
            <w:tcW w:w="3461" w:type="pct"/>
            <w:tcBorders>
              <w:top w:val="single" w:sz="4" w:space="0" w:color="auto"/>
              <w:left w:val="single" w:sz="4" w:space="0" w:color="auto"/>
              <w:bottom w:val="single" w:sz="4" w:space="0" w:color="auto"/>
              <w:right w:val="single" w:sz="4" w:space="0" w:color="auto"/>
            </w:tcBorders>
            <w:vAlign w:val="center"/>
          </w:tcPr>
          <w:p w14:paraId="2B92E668" w14:textId="4A7E08FB"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Age (in Years) Distribution of Respondents</w:t>
            </w:r>
          </w:p>
        </w:tc>
        <w:tc>
          <w:tcPr>
            <w:tcW w:w="735" w:type="pct"/>
            <w:tcBorders>
              <w:top w:val="single" w:sz="4" w:space="0" w:color="auto"/>
              <w:left w:val="single" w:sz="4" w:space="0" w:color="auto"/>
              <w:bottom w:val="single" w:sz="4" w:space="0" w:color="auto"/>
              <w:right w:val="single" w:sz="4" w:space="0" w:color="auto"/>
            </w:tcBorders>
            <w:vAlign w:val="center"/>
          </w:tcPr>
          <w:p w14:paraId="3D9DE44C" w14:textId="77777777" w:rsidR="00071B38" w:rsidRPr="00EF0802" w:rsidRDefault="00071B38" w:rsidP="00EF0802">
            <w:pPr>
              <w:spacing w:line="360" w:lineRule="auto"/>
              <w:rPr>
                <w:rFonts w:ascii="Times New Roman" w:hAnsi="Times New Roman" w:cs="Times New Roman"/>
              </w:rPr>
            </w:pPr>
          </w:p>
        </w:tc>
      </w:tr>
      <w:tr w:rsidR="00071B38" w:rsidRPr="00B36320" w14:paraId="28A70DE2" w14:textId="77777777" w:rsidTr="00EF0802">
        <w:tc>
          <w:tcPr>
            <w:tcW w:w="804" w:type="pct"/>
            <w:tcBorders>
              <w:top w:val="single" w:sz="4" w:space="0" w:color="auto"/>
              <w:left w:val="single" w:sz="4" w:space="0" w:color="auto"/>
              <w:bottom w:val="single" w:sz="4" w:space="0" w:color="auto"/>
              <w:right w:val="single" w:sz="4" w:space="0" w:color="auto"/>
            </w:tcBorders>
            <w:vAlign w:val="center"/>
          </w:tcPr>
          <w:p w14:paraId="2E8D6C72" w14:textId="602B7413"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Figure 4.2</w:t>
            </w:r>
          </w:p>
        </w:tc>
        <w:tc>
          <w:tcPr>
            <w:tcW w:w="3461" w:type="pct"/>
            <w:tcBorders>
              <w:top w:val="single" w:sz="4" w:space="0" w:color="auto"/>
              <w:left w:val="single" w:sz="4" w:space="0" w:color="auto"/>
              <w:bottom w:val="single" w:sz="4" w:space="0" w:color="auto"/>
              <w:right w:val="single" w:sz="4" w:space="0" w:color="auto"/>
            </w:tcBorders>
            <w:vAlign w:val="center"/>
          </w:tcPr>
          <w:p w14:paraId="028629E9" w14:textId="7E10F682"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Gestational Age Distribution of Respondents</w:t>
            </w:r>
          </w:p>
        </w:tc>
        <w:tc>
          <w:tcPr>
            <w:tcW w:w="735" w:type="pct"/>
            <w:tcBorders>
              <w:top w:val="single" w:sz="4" w:space="0" w:color="auto"/>
              <w:left w:val="single" w:sz="4" w:space="0" w:color="auto"/>
              <w:bottom w:val="single" w:sz="4" w:space="0" w:color="auto"/>
              <w:right w:val="single" w:sz="4" w:space="0" w:color="auto"/>
            </w:tcBorders>
            <w:vAlign w:val="center"/>
          </w:tcPr>
          <w:p w14:paraId="7002709C" w14:textId="77777777" w:rsidR="00071B38" w:rsidRPr="00EF0802" w:rsidRDefault="00071B38" w:rsidP="00EF0802">
            <w:pPr>
              <w:spacing w:line="360" w:lineRule="auto"/>
              <w:rPr>
                <w:rFonts w:ascii="Times New Roman" w:hAnsi="Times New Roman" w:cs="Times New Roman"/>
              </w:rPr>
            </w:pPr>
          </w:p>
        </w:tc>
      </w:tr>
      <w:tr w:rsidR="00071B38" w:rsidRPr="00B36320" w14:paraId="13062815" w14:textId="77777777" w:rsidTr="00EF0802">
        <w:tc>
          <w:tcPr>
            <w:tcW w:w="804" w:type="pct"/>
            <w:tcBorders>
              <w:top w:val="single" w:sz="4" w:space="0" w:color="auto"/>
              <w:left w:val="single" w:sz="4" w:space="0" w:color="auto"/>
              <w:bottom w:val="single" w:sz="4" w:space="0" w:color="auto"/>
              <w:right w:val="single" w:sz="4" w:space="0" w:color="auto"/>
            </w:tcBorders>
            <w:vAlign w:val="center"/>
          </w:tcPr>
          <w:p w14:paraId="096D1AFF" w14:textId="6BCDD1DC"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Figure 4.3</w:t>
            </w:r>
          </w:p>
        </w:tc>
        <w:tc>
          <w:tcPr>
            <w:tcW w:w="3461" w:type="pct"/>
            <w:tcBorders>
              <w:top w:val="single" w:sz="4" w:space="0" w:color="auto"/>
              <w:left w:val="single" w:sz="4" w:space="0" w:color="auto"/>
              <w:bottom w:val="single" w:sz="4" w:space="0" w:color="auto"/>
              <w:right w:val="single" w:sz="4" w:space="0" w:color="auto"/>
            </w:tcBorders>
            <w:vAlign w:val="center"/>
          </w:tcPr>
          <w:p w14:paraId="39B15705" w14:textId="51F8CFD8"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Education Level Distribution of Respondents</w:t>
            </w:r>
          </w:p>
        </w:tc>
        <w:tc>
          <w:tcPr>
            <w:tcW w:w="735" w:type="pct"/>
            <w:tcBorders>
              <w:top w:val="single" w:sz="4" w:space="0" w:color="auto"/>
              <w:left w:val="single" w:sz="4" w:space="0" w:color="auto"/>
              <w:bottom w:val="single" w:sz="4" w:space="0" w:color="auto"/>
              <w:right w:val="single" w:sz="4" w:space="0" w:color="auto"/>
            </w:tcBorders>
            <w:vAlign w:val="center"/>
          </w:tcPr>
          <w:p w14:paraId="63641F00" w14:textId="77777777" w:rsidR="00071B38" w:rsidRPr="00EF0802" w:rsidRDefault="00071B38" w:rsidP="00EF0802">
            <w:pPr>
              <w:spacing w:line="360" w:lineRule="auto"/>
              <w:rPr>
                <w:rFonts w:ascii="Times New Roman" w:hAnsi="Times New Roman" w:cs="Times New Roman"/>
              </w:rPr>
            </w:pPr>
          </w:p>
        </w:tc>
      </w:tr>
      <w:tr w:rsidR="00071B38" w:rsidRPr="00B36320" w14:paraId="249B89F3" w14:textId="77777777" w:rsidTr="00EF0802">
        <w:tc>
          <w:tcPr>
            <w:tcW w:w="804" w:type="pct"/>
            <w:tcBorders>
              <w:top w:val="single" w:sz="4" w:space="0" w:color="auto"/>
              <w:left w:val="single" w:sz="4" w:space="0" w:color="auto"/>
              <w:bottom w:val="single" w:sz="4" w:space="0" w:color="auto"/>
              <w:right w:val="single" w:sz="4" w:space="0" w:color="auto"/>
            </w:tcBorders>
            <w:vAlign w:val="center"/>
          </w:tcPr>
          <w:p w14:paraId="3AAA930C" w14:textId="514A7319"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Figure 4.4</w:t>
            </w:r>
          </w:p>
        </w:tc>
        <w:tc>
          <w:tcPr>
            <w:tcW w:w="3461" w:type="pct"/>
            <w:tcBorders>
              <w:top w:val="single" w:sz="4" w:space="0" w:color="auto"/>
              <w:left w:val="single" w:sz="4" w:space="0" w:color="auto"/>
              <w:bottom w:val="single" w:sz="4" w:space="0" w:color="auto"/>
              <w:right w:val="single" w:sz="4" w:space="0" w:color="auto"/>
            </w:tcBorders>
            <w:vAlign w:val="center"/>
          </w:tcPr>
          <w:p w14:paraId="3CD809C1" w14:textId="302E79EC"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Occupation Distribution of Respondents</w:t>
            </w:r>
          </w:p>
        </w:tc>
        <w:tc>
          <w:tcPr>
            <w:tcW w:w="735" w:type="pct"/>
            <w:tcBorders>
              <w:top w:val="single" w:sz="4" w:space="0" w:color="auto"/>
              <w:left w:val="single" w:sz="4" w:space="0" w:color="auto"/>
              <w:bottom w:val="single" w:sz="4" w:space="0" w:color="auto"/>
              <w:right w:val="single" w:sz="4" w:space="0" w:color="auto"/>
            </w:tcBorders>
            <w:vAlign w:val="center"/>
          </w:tcPr>
          <w:p w14:paraId="46FAF526" w14:textId="77777777" w:rsidR="00071B38" w:rsidRPr="00EF0802" w:rsidRDefault="00071B38" w:rsidP="00EF0802">
            <w:pPr>
              <w:spacing w:line="360" w:lineRule="auto"/>
              <w:rPr>
                <w:rFonts w:ascii="Times New Roman" w:hAnsi="Times New Roman" w:cs="Times New Roman"/>
              </w:rPr>
            </w:pPr>
          </w:p>
        </w:tc>
      </w:tr>
      <w:tr w:rsidR="00071B38" w:rsidRPr="00B36320" w14:paraId="37E300D2" w14:textId="77777777" w:rsidTr="00EF0802">
        <w:tc>
          <w:tcPr>
            <w:tcW w:w="804" w:type="pct"/>
            <w:tcBorders>
              <w:top w:val="single" w:sz="4" w:space="0" w:color="auto"/>
              <w:left w:val="single" w:sz="4" w:space="0" w:color="auto"/>
              <w:bottom w:val="single" w:sz="4" w:space="0" w:color="auto"/>
              <w:right w:val="single" w:sz="4" w:space="0" w:color="auto"/>
            </w:tcBorders>
            <w:vAlign w:val="center"/>
          </w:tcPr>
          <w:p w14:paraId="0B3AB96A" w14:textId="02082589"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Figure 4.5</w:t>
            </w:r>
          </w:p>
        </w:tc>
        <w:tc>
          <w:tcPr>
            <w:tcW w:w="3461" w:type="pct"/>
            <w:tcBorders>
              <w:top w:val="single" w:sz="4" w:space="0" w:color="auto"/>
              <w:left w:val="single" w:sz="4" w:space="0" w:color="auto"/>
              <w:bottom w:val="single" w:sz="4" w:space="0" w:color="auto"/>
              <w:right w:val="single" w:sz="4" w:space="0" w:color="auto"/>
            </w:tcBorders>
            <w:vAlign w:val="center"/>
          </w:tcPr>
          <w:p w14:paraId="66E7DCBD" w14:textId="0D94A13C"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Monthly Family Income Distribution of Respondents</w:t>
            </w:r>
          </w:p>
        </w:tc>
        <w:tc>
          <w:tcPr>
            <w:tcW w:w="735" w:type="pct"/>
            <w:tcBorders>
              <w:top w:val="single" w:sz="4" w:space="0" w:color="auto"/>
              <w:left w:val="single" w:sz="4" w:space="0" w:color="auto"/>
              <w:bottom w:val="single" w:sz="4" w:space="0" w:color="auto"/>
              <w:right w:val="single" w:sz="4" w:space="0" w:color="auto"/>
            </w:tcBorders>
            <w:vAlign w:val="center"/>
          </w:tcPr>
          <w:p w14:paraId="680C3891" w14:textId="77777777" w:rsidR="00071B38" w:rsidRPr="00EF0802" w:rsidRDefault="00071B38" w:rsidP="00EF0802">
            <w:pPr>
              <w:spacing w:line="360" w:lineRule="auto"/>
              <w:rPr>
                <w:rFonts w:ascii="Times New Roman" w:hAnsi="Times New Roman" w:cs="Times New Roman"/>
              </w:rPr>
            </w:pPr>
          </w:p>
        </w:tc>
      </w:tr>
      <w:tr w:rsidR="00071B38" w:rsidRPr="00B36320" w14:paraId="2FD5BEC2" w14:textId="77777777" w:rsidTr="00EF0802">
        <w:tc>
          <w:tcPr>
            <w:tcW w:w="804" w:type="pct"/>
            <w:tcBorders>
              <w:top w:val="single" w:sz="4" w:space="0" w:color="auto"/>
              <w:left w:val="single" w:sz="4" w:space="0" w:color="auto"/>
              <w:bottom w:val="single" w:sz="4" w:space="0" w:color="auto"/>
              <w:right w:val="single" w:sz="4" w:space="0" w:color="auto"/>
            </w:tcBorders>
            <w:vAlign w:val="center"/>
          </w:tcPr>
          <w:p w14:paraId="63EB7733" w14:textId="19FA3193"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Figure 4.6</w:t>
            </w:r>
          </w:p>
        </w:tc>
        <w:tc>
          <w:tcPr>
            <w:tcW w:w="3461" w:type="pct"/>
            <w:tcBorders>
              <w:top w:val="single" w:sz="4" w:space="0" w:color="auto"/>
              <w:left w:val="single" w:sz="4" w:space="0" w:color="auto"/>
              <w:bottom w:val="single" w:sz="4" w:space="0" w:color="auto"/>
              <w:right w:val="single" w:sz="4" w:space="0" w:color="auto"/>
            </w:tcBorders>
            <w:vAlign w:val="center"/>
          </w:tcPr>
          <w:p w14:paraId="5B48D40A" w14:textId="2E4C966A"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Residence Distribution of Respondents</w:t>
            </w:r>
          </w:p>
        </w:tc>
        <w:tc>
          <w:tcPr>
            <w:tcW w:w="735" w:type="pct"/>
            <w:tcBorders>
              <w:top w:val="single" w:sz="4" w:space="0" w:color="auto"/>
              <w:left w:val="single" w:sz="4" w:space="0" w:color="auto"/>
              <w:bottom w:val="single" w:sz="4" w:space="0" w:color="auto"/>
              <w:right w:val="single" w:sz="4" w:space="0" w:color="auto"/>
            </w:tcBorders>
            <w:vAlign w:val="center"/>
          </w:tcPr>
          <w:p w14:paraId="13FB6EC9" w14:textId="77777777" w:rsidR="00071B38" w:rsidRPr="00EF0802" w:rsidRDefault="00071B38" w:rsidP="00EF0802">
            <w:pPr>
              <w:spacing w:line="360" w:lineRule="auto"/>
              <w:rPr>
                <w:rFonts w:ascii="Times New Roman" w:hAnsi="Times New Roman" w:cs="Times New Roman"/>
              </w:rPr>
            </w:pPr>
          </w:p>
        </w:tc>
      </w:tr>
      <w:tr w:rsidR="00071B38" w:rsidRPr="00B36320" w14:paraId="08D141CB" w14:textId="77777777" w:rsidTr="00EF0802">
        <w:tc>
          <w:tcPr>
            <w:tcW w:w="804" w:type="pct"/>
            <w:tcBorders>
              <w:top w:val="single" w:sz="4" w:space="0" w:color="auto"/>
              <w:left w:val="single" w:sz="4" w:space="0" w:color="auto"/>
              <w:bottom w:val="single" w:sz="4" w:space="0" w:color="auto"/>
              <w:right w:val="single" w:sz="4" w:space="0" w:color="auto"/>
            </w:tcBorders>
            <w:vAlign w:val="center"/>
          </w:tcPr>
          <w:p w14:paraId="2EFBD61E" w14:textId="4B333B52"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Figure 4.7</w:t>
            </w:r>
          </w:p>
        </w:tc>
        <w:tc>
          <w:tcPr>
            <w:tcW w:w="3461" w:type="pct"/>
            <w:tcBorders>
              <w:top w:val="single" w:sz="4" w:space="0" w:color="auto"/>
              <w:left w:val="single" w:sz="4" w:space="0" w:color="auto"/>
              <w:bottom w:val="single" w:sz="4" w:space="0" w:color="auto"/>
              <w:right w:val="single" w:sz="4" w:space="0" w:color="auto"/>
            </w:tcBorders>
            <w:vAlign w:val="center"/>
          </w:tcPr>
          <w:p w14:paraId="0E520283" w14:textId="07779854"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Family Type Distribution of Respondents</w:t>
            </w:r>
          </w:p>
        </w:tc>
        <w:tc>
          <w:tcPr>
            <w:tcW w:w="735" w:type="pct"/>
            <w:tcBorders>
              <w:top w:val="single" w:sz="4" w:space="0" w:color="auto"/>
              <w:left w:val="single" w:sz="4" w:space="0" w:color="auto"/>
              <w:bottom w:val="single" w:sz="4" w:space="0" w:color="auto"/>
              <w:right w:val="single" w:sz="4" w:space="0" w:color="auto"/>
            </w:tcBorders>
            <w:vAlign w:val="center"/>
          </w:tcPr>
          <w:p w14:paraId="7B37053F" w14:textId="77777777" w:rsidR="00071B38" w:rsidRPr="00EF0802" w:rsidRDefault="00071B38" w:rsidP="00EF0802">
            <w:pPr>
              <w:spacing w:line="360" w:lineRule="auto"/>
              <w:rPr>
                <w:rFonts w:ascii="Times New Roman" w:hAnsi="Times New Roman" w:cs="Times New Roman"/>
              </w:rPr>
            </w:pPr>
          </w:p>
        </w:tc>
      </w:tr>
      <w:tr w:rsidR="00071B38" w:rsidRPr="00B36320" w14:paraId="321C2C0A" w14:textId="77777777" w:rsidTr="00EF0802">
        <w:tc>
          <w:tcPr>
            <w:tcW w:w="804" w:type="pct"/>
            <w:tcBorders>
              <w:top w:val="single" w:sz="4" w:space="0" w:color="auto"/>
              <w:left w:val="single" w:sz="4" w:space="0" w:color="auto"/>
              <w:bottom w:val="single" w:sz="4" w:space="0" w:color="auto"/>
              <w:right w:val="single" w:sz="4" w:space="0" w:color="auto"/>
            </w:tcBorders>
            <w:vAlign w:val="center"/>
          </w:tcPr>
          <w:p w14:paraId="2EBCE9EC" w14:textId="121B7256"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Figure 4.8</w:t>
            </w:r>
          </w:p>
        </w:tc>
        <w:tc>
          <w:tcPr>
            <w:tcW w:w="3461" w:type="pct"/>
            <w:tcBorders>
              <w:top w:val="single" w:sz="4" w:space="0" w:color="auto"/>
              <w:left w:val="single" w:sz="4" w:space="0" w:color="auto"/>
              <w:bottom w:val="single" w:sz="4" w:space="0" w:color="auto"/>
              <w:right w:val="single" w:sz="4" w:space="0" w:color="auto"/>
            </w:tcBorders>
            <w:vAlign w:val="center"/>
          </w:tcPr>
          <w:p w14:paraId="2066D695" w14:textId="41FDF9F9"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Parity Distribution of Respondents</w:t>
            </w:r>
          </w:p>
        </w:tc>
        <w:tc>
          <w:tcPr>
            <w:tcW w:w="735" w:type="pct"/>
            <w:tcBorders>
              <w:top w:val="single" w:sz="4" w:space="0" w:color="auto"/>
              <w:left w:val="single" w:sz="4" w:space="0" w:color="auto"/>
              <w:bottom w:val="single" w:sz="4" w:space="0" w:color="auto"/>
              <w:right w:val="single" w:sz="4" w:space="0" w:color="auto"/>
            </w:tcBorders>
            <w:vAlign w:val="center"/>
          </w:tcPr>
          <w:p w14:paraId="2442CF6C" w14:textId="77777777" w:rsidR="00071B38" w:rsidRPr="00EF0802" w:rsidRDefault="00071B38" w:rsidP="00EF0802">
            <w:pPr>
              <w:spacing w:line="360" w:lineRule="auto"/>
              <w:rPr>
                <w:rFonts w:ascii="Times New Roman" w:hAnsi="Times New Roman" w:cs="Times New Roman"/>
              </w:rPr>
            </w:pPr>
          </w:p>
        </w:tc>
      </w:tr>
      <w:tr w:rsidR="00071B38" w:rsidRPr="00B36320" w14:paraId="6682ED0F" w14:textId="77777777" w:rsidTr="00EF0802">
        <w:tc>
          <w:tcPr>
            <w:tcW w:w="804" w:type="pct"/>
            <w:tcBorders>
              <w:top w:val="single" w:sz="4" w:space="0" w:color="auto"/>
              <w:left w:val="single" w:sz="4" w:space="0" w:color="auto"/>
              <w:bottom w:val="single" w:sz="4" w:space="0" w:color="auto"/>
              <w:right w:val="single" w:sz="4" w:space="0" w:color="auto"/>
            </w:tcBorders>
            <w:vAlign w:val="center"/>
          </w:tcPr>
          <w:p w14:paraId="620FED10" w14:textId="476BB028"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Figure 4.9</w:t>
            </w:r>
          </w:p>
        </w:tc>
        <w:tc>
          <w:tcPr>
            <w:tcW w:w="3461" w:type="pct"/>
            <w:tcBorders>
              <w:top w:val="single" w:sz="4" w:space="0" w:color="auto"/>
              <w:left w:val="single" w:sz="4" w:space="0" w:color="auto"/>
              <w:bottom w:val="single" w:sz="4" w:space="0" w:color="auto"/>
              <w:right w:val="single" w:sz="4" w:space="0" w:color="auto"/>
            </w:tcBorders>
            <w:vAlign w:val="center"/>
          </w:tcPr>
          <w:p w14:paraId="18067C3F" w14:textId="0951BB30"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Family History of Thyroid Distribution of Respondents</w:t>
            </w:r>
          </w:p>
        </w:tc>
        <w:tc>
          <w:tcPr>
            <w:tcW w:w="735" w:type="pct"/>
            <w:tcBorders>
              <w:top w:val="single" w:sz="4" w:space="0" w:color="auto"/>
              <w:left w:val="single" w:sz="4" w:space="0" w:color="auto"/>
              <w:bottom w:val="single" w:sz="4" w:space="0" w:color="auto"/>
              <w:right w:val="single" w:sz="4" w:space="0" w:color="auto"/>
            </w:tcBorders>
            <w:vAlign w:val="center"/>
          </w:tcPr>
          <w:p w14:paraId="4BD932E9" w14:textId="77777777" w:rsidR="00071B38" w:rsidRPr="00EF0802" w:rsidRDefault="00071B38" w:rsidP="00EF0802">
            <w:pPr>
              <w:spacing w:line="360" w:lineRule="auto"/>
              <w:rPr>
                <w:rFonts w:ascii="Times New Roman" w:hAnsi="Times New Roman" w:cs="Times New Roman"/>
              </w:rPr>
            </w:pPr>
          </w:p>
        </w:tc>
      </w:tr>
      <w:tr w:rsidR="00071B38" w:rsidRPr="00B36320" w14:paraId="677BE293" w14:textId="77777777" w:rsidTr="00EF0802">
        <w:tc>
          <w:tcPr>
            <w:tcW w:w="804" w:type="pct"/>
            <w:tcBorders>
              <w:top w:val="single" w:sz="4" w:space="0" w:color="auto"/>
              <w:left w:val="single" w:sz="4" w:space="0" w:color="auto"/>
              <w:bottom w:val="single" w:sz="4" w:space="0" w:color="auto"/>
              <w:right w:val="single" w:sz="4" w:space="0" w:color="auto"/>
            </w:tcBorders>
            <w:vAlign w:val="center"/>
          </w:tcPr>
          <w:p w14:paraId="283BB90D" w14:textId="1F86CCF2"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Figure 4.10</w:t>
            </w:r>
          </w:p>
        </w:tc>
        <w:tc>
          <w:tcPr>
            <w:tcW w:w="3461" w:type="pct"/>
            <w:tcBorders>
              <w:top w:val="single" w:sz="4" w:space="0" w:color="auto"/>
              <w:left w:val="single" w:sz="4" w:space="0" w:color="auto"/>
              <w:bottom w:val="single" w:sz="4" w:space="0" w:color="auto"/>
              <w:right w:val="single" w:sz="4" w:space="0" w:color="auto"/>
            </w:tcBorders>
            <w:vAlign w:val="center"/>
          </w:tcPr>
          <w:p w14:paraId="16370071" w14:textId="117135B6"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Family History of Hypertension Distribution of Respondents</w:t>
            </w:r>
          </w:p>
        </w:tc>
        <w:tc>
          <w:tcPr>
            <w:tcW w:w="735" w:type="pct"/>
            <w:tcBorders>
              <w:top w:val="single" w:sz="4" w:space="0" w:color="auto"/>
              <w:left w:val="single" w:sz="4" w:space="0" w:color="auto"/>
              <w:bottom w:val="single" w:sz="4" w:space="0" w:color="auto"/>
              <w:right w:val="single" w:sz="4" w:space="0" w:color="auto"/>
            </w:tcBorders>
            <w:vAlign w:val="center"/>
          </w:tcPr>
          <w:p w14:paraId="5718A4EC" w14:textId="77777777" w:rsidR="00071B38" w:rsidRPr="00EF0802" w:rsidRDefault="00071B38" w:rsidP="00EF0802">
            <w:pPr>
              <w:spacing w:line="360" w:lineRule="auto"/>
              <w:rPr>
                <w:rFonts w:ascii="Times New Roman" w:hAnsi="Times New Roman" w:cs="Times New Roman"/>
              </w:rPr>
            </w:pPr>
          </w:p>
        </w:tc>
      </w:tr>
      <w:tr w:rsidR="00071B38" w:rsidRPr="00B36320" w14:paraId="6255EF2F" w14:textId="77777777" w:rsidTr="00EF0802">
        <w:tc>
          <w:tcPr>
            <w:tcW w:w="804" w:type="pct"/>
            <w:tcBorders>
              <w:top w:val="single" w:sz="4" w:space="0" w:color="auto"/>
              <w:left w:val="single" w:sz="4" w:space="0" w:color="auto"/>
              <w:bottom w:val="single" w:sz="4" w:space="0" w:color="auto"/>
              <w:right w:val="single" w:sz="4" w:space="0" w:color="auto"/>
            </w:tcBorders>
            <w:vAlign w:val="center"/>
          </w:tcPr>
          <w:p w14:paraId="49C4C23A" w14:textId="3F2639C5"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Figure 4.11</w:t>
            </w:r>
          </w:p>
        </w:tc>
        <w:tc>
          <w:tcPr>
            <w:tcW w:w="3461" w:type="pct"/>
            <w:tcBorders>
              <w:top w:val="single" w:sz="4" w:space="0" w:color="auto"/>
              <w:left w:val="single" w:sz="4" w:space="0" w:color="auto"/>
              <w:bottom w:val="single" w:sz="4" w:space="0" w:color="auto"/>
              <w:right w:val="single" w:sz="4" w:space="0" w:color="auto"/>
            </w:tcBorders>
            <w:vAlign w:val="center"/>
          </w:tcPr>
          <w:p w14:paraId="1C5BF853" w14:textId="38830C50" w:rsidR="00071B38" w:rsidRPr="00EF0802" w:rsidRDefault="00071B38" w:rsidP="00EF0802">
            <w:pPr>
              <w:spacing w:line="360" w:lineRule="auto"/>
              <w:rPr>
                <w:rFonts w:ascii="Times New Roman" w:hAnsi="Times New Roman" w:cs="Times New Roman"/>
              </w:rPr>
            </w:pPr>
            <w:r w:rsidRPr="00EF0802">
              <w:rPr>
                <w:rFonts w:ascii="Times New Roman" w:hAnsi="Times New Roman" w:cs="Times New Roman"/>
              </w:rPr>
              <w:t>Knowledge Score Distribution</w:t>
            </w:r>
          </w:p>
        </w:tc>
        <w:tc>
          <w:tcPr>
            <w:tcW w:w="735" w:type="pct"/>
            <w:tcBorders>
              <w:top w:val="single" w:sz="4" w:space="0" w:color="auto"/>
              <w:left w:val="single" w:sz="4" w:space="0" w:color="auto"/>
              <w:bottom w:val="single" w:sz="4" w:space="0" w:color="auto"/>
              <w:right w:val="single" w:sz="4" w:space="0" w:color="auto"/>
            </w:tcBorders>
            <w:vAlign w:val="center"/>
          </w:tcPr>
          <w:p w14:paraId="0F52460C" w14:textId="77777777" w:rsidR="00071B38" w:rsidRPr="00EF0802" w:rsidRDefault="00071B38" w:rsidP="00EF0802">
            <w:pPr>
              <w:spacing w:line="360" w:lineRule="auto"/>
              <w:rPr>
                <w:rFonts w:ascii="Times New Roman" w:hAnsi="Times New Roman" w:cs="Times New Roman"/>
              </w:rPr>
            </w:pPr>
          </w:p>
        </w:tc>
      </w:tr>
    </w:tbl>
    <w:p w14:paraId="6C14544F" w14:textId="77777777" w:rsidR="00B36320" w:rsidRPr="00B36320" w:rsidRDefault="00B36320" w:rsidP="00EF0802">
      <w:pPr>
        <w:spacing w:line="360" w:lineRule="auto"/>
        <w:jc w:val="center"/>
        <w:rPr>
          <w:rFonts w:ascii="Times New Roman" w:hAnsi="Times New Roman" w:cs="Times New Roman"/>
          <w:b/>
          <w:bCs/>
          <w:sz w:val="28"/>
          <w:szCs w:val="28"/>
        </w:rPr>
      </w:pPr>
    </w:p>
    <w:p w14:paraId="6A9D5EE0" w14:textId="77777777" w:rsidR="00EF0802" w:rsidRDefault="00EF0802" w:rsidP="00EF0802">
      <w:pPr>
        <w:spacing w:line="360" w:lineRule="auto"/>
        <w:jc w:val="center"/>
        <w:rPr>
          <w:rFonts w:ascii="Times New Roman" w:hAnsi="Times New Roman" w:cs="Times New Roman"/>
          <w:b/>
          <w:bCs/>
          <w:sz w:val="28"/>
          <w:szCs w:val="28"/>
        </w:rPr>
      </w:pPr>
    </w:p>
    <w:p w14:paraId="67E7D8B3" w14:textId="77777777" w:rsidR="00EF0802" w:rsidRDefault="00EF0802" w:rsidP="00EF0802">
      <w:pPr>
        <w:spacing w:line="360" w:lineRule="auto"/>
        <w:jc w:val="center"/>
        <w:rPr>
          <w:rFonts w:ascii="Times New Roman" w:hAnsi="Times New Roman" w:cs="Times New Roman"/>
          <w:b/>
          <w:bCs/>
          <w:sz w:val="28"/>
          <w:szCs w:val="28"/>
        </w:rPr>
      </w:pPr>
    </w:p>
    <w:p w14:paraId="4458220B" w14:textId="77777777" w:rsidR="00EF0802" w:rsidRDefault="00EF0802" w:rsidP="00EF0802">
      <w:pPr>
        <w:spacing w:line="360" w:lineRule="auto"/>
        <w:jc w:val="center"/>
        <w:rPr>
          <w:rFonts w:ascii="Times New Roman" w:hAnsi="Times New Roman" w:cs="Times New Roman"/>
          <w:b/>
          <w:bCs/>
          <w:sz w:val="28"/>
          <w:szCs w:val="28"/>
        </w:rPr>
      </w:pPr>
    </w:p>
    <w:p w14:paraId="2F3E70EA" w14:textId="77777777" w:rsidR="00EF0802" w:rsidRDefault="00EF0802" w:rsidP="00EF0802">
      <w:pPr>
        <w:spacing w:line="360" w:lineRule="auto"/>
        <w:jc w:val="center"/>
        <w:rPr>
          <w:rFonts w:ascii="Times New Roman" w:hAnsi="Times New Roman" w:cs="Times New Roman"/>
          <w:b/>
          <w:bCs/>
          <w:sz w:val="28"/>
          <w:szCs w:val="28"/>
        </w:rPr>
      </w:pPr>
    </w:p>
    <w:p w14:paraId="57A2D88A" w14:textId="77777777" w:rsidR="00EF0802" w:rsidRDefault="00EF0802" w:rsidP="00EF0802">
      <w:pPr>
        <w:spacing w:line="360" w:lineRule="auto"/>
        <w:jc w:val="center"/>
        <w:rPr>
          <w:rFonts w:ascii="Times New Roman" w:hAnsi="Times New Roman" w:cs="Times New Roman"/>
          <w:b/>
          <w:bCs/>
          <w:sz w:val="28"/>
          <w:szCs w:val="28"/>
        </w:rPr>
      </w:pPr>
    </w:p>
    <w:p w14:paraId="2283F0B3" w14:textId="77777777" w:rsidR="00EF0802" w:rsidRDefault="00EF0802" w:rsidP="00EF0802">
      <w:pPr>
        <w:spacing w:line="360" w:lineRule="auto"/>
        <w:jc w:val="center"/>
        <w:rPr>
          <w:rFonts w:ascii="Times New Roman" w:hAnsi="Times New Roman" w:cs="Times New Roman"/>
          <w:b/>
          <w:bCs/>
          <w:sz w:val="28"/>
          <w:szCs w:val="28"/>
        </w:rPr>
      </w:pPr>
    </w:p>
    <w:p w14:paraId="683E4380" w14:textId="77777777" w:rsidR="00EF0802" w:rsidRDefault="00EF0802" w:rsidP="00EF0802">
      <w:pPr>
        <w:spacing w:line="360" w:lineRule="auto"/>
        <w:jc w:val="center"/>
        <w:rPr>
          <w:rFonts w:ascii="Times New Roman" w:hAnsi="Times New Roman" w:cs="Times New Roman"/>
          <w:b/>
          <w:bCs/>
          <w:sz w:val="28"/>
          <w:szCs w:val="28"/>
        </w:rPr>
      </w:pPr>
    </w:p>
    <w:p w14:paraId="050415BF" w14:textId="77777777" w:rsidR="00EF0802" w:rsidRDefault="00EF0802" w:rsidP="00EF0802">
      <w:pPr>
        <w:spacing w:line="360" w:lineRule="auto"/>
        <w:jc w:val="center"/>
        <w:rPr>
          <w:rFonts w:ascii="Times New Roman" w:hAnsi="Times New Roman" w:cs="Times New Roman"/>
          <w:b/>
          <w:bCs/>
          <w:sz w:val="28"/>
          <w:szCs w:val="28"/>
        </w:rPr>
      </w:pPr>
    </w:p>
    <w:p w14:paraId="6BB4DB78" w14:textId="77777777" w:rsidR="00EF0802" w:rsidRDefault="00EF0802" w:rsidP="00EF0802">
      <w:pPr>
        <w:spacing w:line="360" w:lineRule="auto"/>
        <w:jc w:val="center"/>
        <w:rPr>
          <w:rFonts w:ascii="Times New Roman" w:hAnsi="Times New Roman" w:cs="Times New Roman"/>
          <w:b/>
          <w:bCs/>
          <w:sz w:val="28"/>
          <w:szCs w:val="28"/>
        </w:rPr>
      </w:pPr>
    </w:p>
    <w:p w14:paraId="62F3513C" w14:textId="3C5388D3" w:rsidR="00B36320" w:rsidRPr="00B36320" w:rsidRDefault="00B36320" w:rsidP="00EF0802">
      <w:pPr>
        <w:spacing w:line="360" w:lineRule="auto"/>
        <w:jc w:val="center"/>
        <w:rPr>
          <w:rFonts w:ascii="Times New Roman" w:hAnsi="Times New Roman" w:cs="Times New Roman"/>
          <w:b/>
          <w:bCs/>
          <w:sz w:val="28"/>
          <w:szCs w:val="28"/>
        </w:rPr>
      </w:pPr>
      <w:r w:rsidRPr="00B36320">
        <w:rPr>
          <w:rFonts w:ascii="Times New Roman" w:hAnsi="Times New Roman" w:cs="Times New Roman"/>
          <w:b/>
          <w:bCs/>
          <w:sz w:val="28"/>
          <w:szCs w:val="28"/>
        </w:rPr>
        <w:lastRenderedPageBreak/>
        <w:t>LIST OF TABLES</w:t>
      </w:r>
    </w:p>
    <w:tbl>
      <w:tblPr>
        <w:tblStyle w:val="TableGrid"/>
        <w:tblW w:w="5000" w:type="pct"/>
        <w:tblLook w:val="04A0" w:firstRow="1" w:lastRow="0" w:firstColumn="1" w:lastColumn="0" w:noHBand="0" w:noVBand="1"/>
      </w:tblPr>
      <w:tblGrid>
        <w:gridCol w:w="1237"/>
        <w:gridCol w:w="5932"/>
        <w:gridCol w:w="1127"/>
      </w:tblGrid>
      <w:tr w:rsidR="00B36320" w:rsidRPr="00B36320" w14:paraId="7A80902A" w14:textId="77777777" w:rsidTr="00EF0802">
        <w:tc>
          <w:tcPr>
            <w:tcW w:w="746" w:type="pct"/>
            <w:tcBorders>
              <w:top w:val="single" w:sz="4" w:space="0" w:color="auto"/>
              <w:left w:val="single" w:sz="4" w:space="0" w:color="auto"/>
              <w:bottom w:val="single" w:sz="4" w:space="0" w:color="auto"/>
              <w:right w:val="single" w:sz="4" w:space="0" w:color="auto"/>
            </w:tcBorders>
            <w:hideMark/>
          </w:tcPr>
          <w:p w14:paraId="2B80526D" w14:textId="77777777" w:rsidR="00B36320" w:rsidRPr="00EF0802" w:rsidRDefault="00B36320" w:rsidP="00EF0802">
            <w:pPr>
              <w:spacing w:line="360" w:lineRule="auto"/>
              <w:rPr>
                <w:rFonts w:ascii="Times New Roman" w:hAnsi="Times New Roman" w:cs="Times New Roman"/>
                <w:b/>
                <w:bCs/>
              </w:rPr>
            </w:pPr>
            <w:r w:rsidRPr="00EF0802">
              <w:rPr>
                <w:rFonts w:ascii="Times New Roman" w:hAnsi="Times New Roman" w:cs="Times New Roman"/>
                <w:b/>
                <w:bCs/>
              </w:rPr>
              <w:t>Table No.</w:t>
            </w:r>
          </w:p>
        </w:tc>
        <w:tc>
          <w:tcPr>
            <w:tcW w:w="3574" w:type="pct"/>
            <w:tcBorders>
              <w:top w:val="single" w:sz="4" w:space="0" w:color="auto"/>
              <w:left w:val="single" w:sz="4" w:space="0" w:color="auto"/>
              <w:bottom w:val="single" w:sz="4" w:space="0" w:color="auto"/>
              <w:right w:val="single" w:sz="4" w:space="0" w:color="auto"/>
            </w:tcBorders>
            <w:hideMark/>
          </w:tcPr>
          <w:p w14:paraId="74E6DB16" w14:textId="77777777" w:rsidR="00B36320" w:rsidRPr="00EF0802" w:rsidRDefault="00B36320" w:rsidP="00EF0802">
            <w:pPr>
              <w:spacing w:line="360" w:lineRule="auto"/>
              <w:rPr>
                <w:rFonts w:ascii="Times New Roman" w:hAnsi="Times New Roman" w:cs="Times New Roman"/>
                <w:b/>
                <w:bCs/>
              </w:rPr>
            </w:pPr>
            <w:r w:rsidRPr="00EF0802">
              <w:rPr>
                <w:rFonts w:ascii="Times New Roman" w:hAnsi="Times New Roman" w:cs="Times New Roman"/>
                <w:b/>
                <w:bCs/>
              </w:rPr>
              <w:t>Title</w:t>
            </w:r>
          </w:p>
        </w:tc>
        <w:tc>
          <w:tcPr>
            <w:tcW w:w="679" w:type="pct"/>
            <w:tcBorders>
              <w:top w:val="single" w:sz="4" w:space="0" w:color="auto"/>
              <w:left w:val="single" w:sz="4" w:space="0" w:color="auto"/>
              <w:bottom w:val="single" w:sz="4" w:space="0" w:color="auto"/>
              <w:right w:val="single" w:sz="4" w:space="0" w:color="auto"/>
            </w:tcBorders>
            <w:hideMark/>
          </w:tcPr>
          <w:p w14:paraId="576FE3BC" w14:textId="77777777" w:rsidR="00B36320" w:rsidRPr="00EF0802" w:rsidRDefault="00B36320" w:rsidP="00EF0802">
            <w:pPr>
              <w:spacing w:line="360" w:lineRule="auto"/>
              <w:rPr>
                <w:rFonts w:ascii="Times New Roman" w:hAnsi="Times New Roman" w:cs="Times New Roman"/>
                <w:b/>
                <w:bCs/>
              </w:rPr>
            </w:pPr>
            <w:r w:rsidRPr="00EF0802">
              <w:rPr>
                <w:rFonts w:ascii="Times New Roman" w:hAnsi="Times New Roman" w:cs="Times New Roman"/>
                <w:b/>
                <w:bCs/>
              </w:rPr>
              <w:t>Page No.</w:t>
            </w:r>
          </w:p>
        </w:tc>
      </w:tr>
      <w:tr w:rsidR="00B36320" w:rsidRPr="00B36320" w14:paraId="67093CFF" w14:textId="77777777" w:rsidTr="00EF0802">
        <w:tc>
          <w:tcPr>
            <w:tcW w:w="746" w:type="pct"/>
            <w:tcBorders>
              <w:top w:val="single" w:sz="4" w:space="0" w:color="auto"/>
              <w:left w:val="single" w:sz="4" w:space="0" w:color="auto"/>
              <w:bottom w:val="single" w:sz="4" w:space="0" w:color="auto"/>
              <w:right w:val="single" w:sz="4" w:space="0" w:color="auto"/>
            </w:tcBorders>
            <w:hideMark/>
          </w:tcPr>
          <w:p w14:paraId="3127988A"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Table 3.1</w:t>
            </w:r>
          </w:p>
        </w:tc>
        <w:tc>
          <w:tcPr>
            <w:tcW w:w="3574" w:type="pct"/>
            <w:tcBorders>
              <w:top w:val="single" w:sz="4" w:space="0" w:color="auto"/>
              <w:left w:val="single" w:sz="4" w:space="0" w:color="auto"/>
              <w:bottom w:val="single" w:sz="4" w:space="0" w:color="auto"/>
              <w:right w:val="single" w:sz="4" w:space="0" w:color="auto"/>
            </w:tcBorders>
            <w:hideMark/>
          </w:tcPr>
          <w:p w14:paraId="5713B495"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Inclusion and Exclusion Criteria</w:t>
            </w:r>
          </w:p>
        </w:tc>
        <w:tc>
          <w:tcPr>
            <w:tcW w:w="679" w:type="pct"/>
            <w:tcBorders>
              <w:top w:val="single" w:sz="4" w:space="0" w:color="auto"/>
              <w:left w:val="single" w:sz="4" w:space="0" w:color="auto"/>
              <w:bottom w:val="single" w:sz="4" w:space="0" w:color="auto"/>
              <w:right w:val="single" w:sz="4" w:space="0" w:color="auto"/>
            </w:tcBorders>
            <w:hideMark/>
          </w:tcPr>
          <w:p w14:paraId="2A0398CA" w14:textId="77777777" w:rsidR="00B36320" w:rsidRPr="00EF0802" w:rsidRDefault="00B36320" w:rsidP="00EF0802">
            <w:pPr>
              <w:spacing w:line="360" w:lineRule="auto"/>
              <w:rPr>
                <w:rFonts w:ascii="Times New Roman" w:hAnsi="Times New Roman" w:cs="Times New Roman"/>
              </w:rPr>
            </w:pPr>
          </w:p>
        </w:tc>
      </w:tr>
      <w:tr w:rsidR="00B36320" w:rsidRPr="00B36320" w14:paraId="4CC60016" w14:textId="77777777" w:rsidTr="00EF0802">
        <w:tc>
          <w:tcPr>
            <w:tcW w:w="746" w:type="pct"/>
            <w:tcBorders>
              <w:top w:val="single" w:sz="4" w:space="0" w:color="auto"/>
              <w:left w:val="single" w:sz="4" w:space="0" w:color="auto"/>
              <w:bottom w:val="single" w:sz="4" w:space="0" w:color="auto"/>
              <w:right w:val="single" w:sz="4" w:space="0" w:color="auto"/>
            </w:tcBorders>
            <w:hideMark/>
          </w:tcPr>
          <w:p w14:paraId="6875E4A4"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Table 3.2</w:t>
            </w:r>
          </w:p>
        </w:tc>
        <w:tc>
          <w:tcPr>
            <w:tcW w:w="3574" w:type="pct"/>
            <w:tcBorders>
              <w:top w:val="single" w:sz="4" w:space="0" w:color="auto"/>
              <w:left w:val="single" w:sz="4" w:space="0" w:color="auto"/>
              <w:bottom w:val="single" w:sz="4" w:space="0" w:color="auto"/>
              <w:right w:val="single" w:sz="4" w:space="0" w:color="auto"/>
            </w:tcBorders>
            <w:hideMark/>
          </w:tcPr>
          <w:p w14:paraId="0DD157E6" w14:textId="086C1558" w:rsidR="00B36320" w:rsidRPr="00EF0802" w:rsidRDefault="00804F87" w:rsidP="00EF0802">
            <w:pPr>
              <w:spacing w:line="360" w:lineRule="auto"/>
              <w:rPr>
                <w:rFonts w:ascii="Times New Roman" w:hAnsi="Times New Roman" w:cs="Times New Roman"/>
                <w:b/>
                <w:bCs/>
              </w:rPr>
            </w:pPr>
            <w:r w:rsidRPr="00EF0802">
              <w:rPr>
                <w:rStyle w:val="Strong"/>
                <w:rFonts w:ascii="Times New Roman" w:hAnsi="Times New Roman" w:cs="Times New Roman"/>
                <w:b w:val="0"/>
                <w:bCs w:val="0"/>
              </w:rPr>
              <w:t>Data Collection Instruments and Validation Metrics</w:t>
            </w:r>
          </w:p>
        </w:tc>
        <w:tc>
          <w:tcPr>
            <w:tcW w:w="679" w:type="pct"/>
            <w:tcBorders>
              <w:top w:val="single" w:sz="4" w:space="0" w:color="auto"/>
              <w:left w:val="single" w:sz="4" w:space="0" w:color="auto"/>
              <w:bottom w:val="single" w:sz="4" w:space="0" w:color="auto"/>
              <w:right w:val="single" w:sz="4" w:space="0" w:color="auto"/>
            </w:tcBorders>
            <w:hideMark/>
          </w:tcPr>
          <w:p w14:paraId="3325D0BF" w14:textId="77777777" w:rsidR="00B36320" w:rsidRPr="00EF0802" w:rsidRDefault="00B36320" w:rsidP="00EF0802">
            <w:pPr>
              <w:spacing w:line="360" w:lineRule="auto"/>
              <w:rPr>
                <w:rFonts w:ascii="Times New Roman" w:hAnsi="Times New Roman" w:cs="Times New Roman"/>
              </w:rPr>
            </w:pPr>
          </w:p>
        </w:tc>
      </w:tr>
      <w:tr w:rsidR="00B36320" w:rsidRPr="00B36320" w14:paraId="07518A09" w14:textId="77777777" w:rsidTr="00EF0802">
        <w:tc>
          <w:tcPr>
            <w:tcW w:w="746" w:type="pct"/>
            <w:tcBorders>
              <w:top w:val="single" w:sz="4" w:space="0" w:color="auto"/>
              <w:left w:val="single" w:sz="4" w:space="0" w:color="auto"/>
              <w:bottom w:val="single" w:sz="4" w:space="0" w:color="auto"/>
              <w:right w:val="single" w:sz="4" w:space="0" w:color="auto"/>
            </w:tcBorders>
            <w:hideMark/>
          </w:tcPr>
          <w:p w14:paraId="62FE1785"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Table 3.3</w:t>
            </w:r>
          </w:p>
        </w:tc>
        <w:tc>
          <w:tcPr>
            <w:tcW w:w="3574" w:type="pct"/>
            <w:tcBorders>
              <w:top w:val="single" w:sz="4" w:space="0" w:color="auto"/>
              <w:left w:val="single" w:sz="4" w:space="0" w:color="auto"/>
              <w:bottom w:val="single" w:sz="4" w:space="0" w:color="auto"/>
              <w:right w:val="single" w:sz="4" w:space="0" w:color="auto"/>
            </w:tcBorders>
            <w:hideMark/>
          </w:tcPr>
          <w:p w14:paraId="48D926C0"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Hypotheses and Corresponding Statistical Tests Used</w:t>
            </w:r>
          </w:p>
        </w:tc>
        <w:tc>
          <w:tcPr>
            <w:tcW w:w="679" w:type="pct"/>
            <w:tcBorders>
              <w:top w:val="single" w:sz="4" w:space="0" w:color="auto"/>
              <w:left w:val="single" w:sz="4" w:space="0" w:color="auto"/>
              <w:bottom w:val="single" w:sz="4" w:space="0" w:color="auto"/>
              <w:right w:val="single" w:sz="4" w:space="0" w:color="auto"/>
            </w:tcBorders>
            <w:hideMark/>
          </w:tcPr>
          <w:p w14:paraId="4DB080FF" w14:textId="77777777" w:rsidR="00B36320" w:rsidRPr="00EF0802" w:rsidRDefault="00B36320" w:rsidP="00EF0802">
            <w:pPr>
              <w:spacing w:line="360" w:lineRule="auto"/>
              <w:rPr>
                <w:rFonts w:ascii="Times New Roman" w:hAnsi="Times New Roman" w:cs="Times New Roman"/>
              </w:rPr>
            </w:pPr>
          </w:p>
        </w:tc>
      </w:tr>
      <w:tr w:rsidR="00B36320" w:rsidRPr="00B36320" w14:paraId="6D43FEB7" w14:textId="77777777" w:rsidTr="00EF0802">
        <w:tc>
          <w:tcPr>
            <w:tcW w:w="746" w:type="pct"/>
            <w:tcBorders>
              <w:top w:val="single" w:sz="4" w:space="0" w:color="auto"/>
              <w:left w:val="single" w:sz="4" w:space="0" w:color="auto"/>
              <w:bottom w:val="single" w:sz="4" w:space="0" w:color="auto"/>
              <w:right w:val="single" w:sz="4" w:space="0" w:color="auto"/>
            </w:tcBorders>
            <w:hideMark/>
          </w:tcPr>
          <w:p w14:paraId="5E29351D" w14:textId="77777777" w:rsidR="00B36320" w:rsidRPr="00EF0802" w:rsidRDefault="00B36320" w:rsidP="00EF0802">
            <w:pPr>
              <w:spacing w:line="360" w:lineRule="auto"/>
              <w:rPr>
                <w:rFonts w:ascii="Times New Roman" w:hAnsi="Times New Roman" w:cs="Times New Roman"/>
              </w:rPr>
            </w:pPr>
            <w:r w:rsidRPr="00EF0802">
              <w:rPr>
                <w:rFonts w:ascii="Times New Roman" w:hAnsi="Times New Roman" w:cs="Times New Roman"/>
              </w:rPr>
              <w:t>Table 4.1</w:t>
            </w:r>
          </w:p>
        </w:tc>
        <w:tc>
          <w:tcPr>
            <w:tcW w:w="3574" w:type="pct"/>
            <w:tcBorders>
              <w:top w:val="single" w:sz="4" w:space="0" w:color="auto"/>
              <w:left w:val="single" w:sz="4" w:space="0" w:color="auto"/>
              <w:bottom w:val="single" w:sz="4" w:space="0" w:color="auto"/>
              <w:right w:val="single" w:sz="4" w:space="0" w:color="auto"/>
            </w:tcBorders>
            <w:hideMark/>
          </w:tcPr>
          <w:p w14:paraId="6DE77C10" w14:textId="0C9C23E6" w:rsidR="00B36320"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Demographic Profile of Respondents</w:t>
            </w:r>
          </w:p>
        </w:tc>
        <w:tc>
          <w:tcPr>
            <w:tcW w:w="679" w:type="pct"/>
            <w:tcBorders>
              <w:top w:val="single" w:sz="4" w:space="0" w:color="auto"/>
              <w:left w:val="single" w:sz="4" w:space="0" w:color="auto"/>
              <w:bottom w:val="single" w:sz="4" w:space="0" w:color="auto"/>
              <w:right w:val="single" w:sz="4" w:space="0" w:color="auto"/>
            </w:tcBorders>
            <w:hideMark/>
          </w:tcPr>
          <w:p w14:paraId="648F6C8B" w14:textId="77777777" w:rsidR="00B36320" w:rsidRPr="00EF0802" w:rsidRDefault="00B36320" w:rsidP="00EF0802">
            <w:pPr>
              <w:spacing w:line="360" w:lineRule="auto"/>
              <w:rPr>
                <w:rFonts w:ascii="Times New Roman" w:hAnsi="Times New Roman" w:cs="Times New Roman"/>
              </w:rPr>
            </w:pPr>
          </w:p>
        </w:tc>
      </w:tr>
      <w:tr w:rsidR="00F51157" w:rsidRPr="00B36320" w14:paraId="3B81EC83"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750C8551" w14:textId="2156940B"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Table 4.2</w:t>
            </w:r>
          </w:p>
        </w:tc>
        <w:tc>
          <w:tcPr>
            <w:tcW w:w="3574" w:type="pct"/>
            <w:tcBorders>
              <w:top w:val="single" w:sz="4" w:space="0" w:color="auto"/>
              <w:left w:val="single" w:sz="4" w:space="0" w:color="auto"/>
              <w:bottom w:val="single" w:sz="4" w:space="0" w:color="auto"/>
              <w:right w:val="single" w:sz="4" w:space="0" w:color="auto"/>
            </w:tcBorders>
            <w:vAlign w:val="center"/>
            <w:hideMark/>
          </w:tcPr>
          <w:p w14:paraId="7C63772C" w14:textId="183ED4CD"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Distribution of Participants Based on Pre-Test Awareness</w:t>
            </w:r>
          </w:p>
        </w:tc>
        <w:tc>
          <w:tcPr>
            <w:tcW w:w="679" w:type="pct"/>
            <w:tcBorders>
              <w:top w:val="single" w:sz="4" w:space="0" w:color="auto"/>
              <w:left w:val="single" w:sz="4" w:space="0" w:color="auto"/>
              <w:bottom w:val="single" w:sz="4" w:space="0" w:color="auto"/>
              <w:right w:val="single" w:sz="4" w:space="0" w:color="auto"/>
            </w:tcBorders>
            <w:hideMark/>
          </w:tcPr>
          <w:p w14:paraId="0EDFD1D7" w14:textId="77777777" w:rsidR="00F51157" w:rsidRPr="00EF0802" w:rsidRDefault="00F51157" w:rsidP="00EF0802">
            <w:pPr>
              <w:spacing w:line="360" w:lineRule="auto"/>
              <w:rPr>
                <w:rFonts w:ascii="Times New Roman" w:hAnsi="Times New Roman" w:cs="Times New Roman"/>
              </w:rPr>
            </w:pPr>
          </w:p>
        </w:tc>
      </w:tr>
      <w:tr w:rsidR="00F51157" w:rsidRPr="00B36320" w14:paraId="2BB9F27E"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025B3B67" w14:textId="0321D56B"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Table 4.3</w:t>
            </w:r>
          </w:p>
        </w:tc>
        <w:tc>
          <w:tcPr>
            <w:tcW w:w="3574" w:type="pct"/>
            <w:tcBorders>
              <w:top w:val="single" w:sz="4" w:space="0" w:color="auto"/>
              <w:left w:val="single" w:sz="4" w:space="0" w:color="auto"/>
              <w:bottom w:val="single" w:sz="4" w:space="0" w:color="auto"/>
              <w:right w:val="single" w:sz="4" w:space="0" w:color="auto"/>
            </w:tcBorders>
            <w:vAlign w:val="center"/>
            <w:hideMark/>
          </w:tcPr>
          <w:p w14:paraId="0102A1C8" w14:textId="15549937"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Distribution of Participants Based on Post-Test Awareness</w:t>
            </w:r>
          </w:p>
        </w:tc>
        <w:tc>
          <w:tcPr>
            <w:tcW w:w="679" w:type="pct"/>
            <w:tcBorders>
              <w:top w:val="single" w:sz="4" w:space="0" w:color="auto"/>
              <w:left w:val="single" w:sz="4" w:space="0" w:color="auto"/>
              <w:bottom w:val="single" w:sz="4" w:space="0" w:color="auto"/>
              <w:right w:val="single" w:sz="4" w:space="0" w:color="auto"/>
            </w:tcBorders>
            <w:hideMark/>
          </w:tcPr>
          <w:p w14:paraId="5D053472" w14:textId="77777777" w:rsidR="00F51157" w:rsidRPr="00EF0802" w:rsidRDefault="00F51157" w:rsidP="00EF0802">
            <w:pPr>
              <w:spacing w:line="360" w:lineRule="auto"/>
              <w:rPr>
                <w:rFonts w:ascii="Times New Roman" w:hAnsi="Times New Roman" w:cs="Times New Roman"/>
              </w:rPr>
            </w:pPr>
          </w:p>
        </w:tc>
      </w:tr>
      <w:tr w:rsidR="00F51157" w:rsidRPr="00B36320" w14:paraId="2203731E"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1798A6E4" w14:textId="67DB73F1"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Table 4.4</w:t>
            </w:r>
          </w:p>
        </w:tc>
        <w:tc>
          <w:tcPr>
            <w:tcW w:w="3574" w:type="pct"/>
            <w:tcBorders>
              <w:top w:val="single" w:sz="4" w:space="0" w:color="auto"/>
              <w:left w:val="single" w:sz="4" w:space="0" w:color="auto"/>
              <w:bottom w:val="single" w:sz="4" w:space="0" w:color="auto"/>
              <w:right w:val="single" w:sz="4" w:space="0" w:color="auto"/>
            </w:tcBorders>
            <w:vAlign w:val="center"/>
            <w:hideMark/>
          </w:tcPr>
          <w:p w14:paraId="56472782" w14:textId="2127C170"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Knowledge Score Distribution (N = 200)</w:t>
            </w:r>
          </w:p>
        </w:tc>
        <w:tc>
          <w:tcPr>
            <w:tcW w:w="679" w:type="pct"/>
            <w:tcBorders>
              <w:top w:val="single" w:sz="4" w:space="0" w:color="auto"/>
              <w:left w:val="single" w:sz="4" w:space="0" w:color="auto"/>
              <w:bottom w:val="single" w:sz="4" w:space="0" w:color="auto"/>
              <w:right w:val="single" w:sz="4" w:space="0" w:color="auto"/>
            </w:tcBorders>
            <w:hideMark/>
          </w:tcPr>
          <w:p w14:paraId="02C3864A" w14:textId="77777777" w:rsidR="00F51157" w:rsidRPr="00EF0802" w:rsidRDefault="00F51157" w:rsidP="00EF0802">
            <w:pPr>
              <w:spacing w:line="360" w:lineRule="auto"/>
              <w:rPr>
                <w:rFonts w:ascii="Times New Roman" w:hAnsi="Times New Roman" w:cs="Times New Roman"/>
              </w:rPr>
            </w:pPr>
          </w:p>
        </w:tc>
      </w:tr>
      <w:tr w:rsidR="00F51157" w:rsidRPr="00B36320" w14:paraId="12926E28"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7963FC25" w14:textId="35D092D6"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Table 4.5</w:t>
            </w:r>
          </w:p>
        </w:tc>
        <w:tc>
          <w:tcPr>
            <w:tcW w:w="3574" w:type="pct"/>
            <w:tcBorders>
              <w:top w:val="single" w:sz="4" w:space="0" w:color="auto"/>
              <w:left w:val="single" w:sz="4" w:space="0" w:color="auto"/>
              <w:bottom w:val="single" w:sz="4" w:space="0" w:color="auto"/>
              <w:right w:val="single" w:sz="4" w:space="0" w:color="auto"/>
            </w:tcBorders>
            <w:vAlign w:val="center"/>
            <w:hideMark/>
          </w:tcPr>
          <w:p w14:paraId="0BCD1BC5" w14:textId="4E64D800"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Descriptive Statistics for Pre-Test and Post-Test Awareness Scores</w:t>
            </w:r>
          </w:p>
        </w:tc>
        <w:tc>
          <w:tcPr>
            <w:tcW w:w="679" w:type="pct"/>
            <w:tcBorders>
              <w:top w:val="single" w:sz="4" w:space="0" w:color="auto"/>
              <w:left w:val="single" w:sz="4" w:space="0" w:color="auto"/>
              <w:bottom w:val="single" w:sz="4" w:space="0" w:color="auto"/>
              <w:right w:val="single" w:sz="4" w:space="0" w:color="auto"/>
            </w:tcBorders>
            <w:hideMark/>
          </w:tcPr>
          <w:p w14:paraId="56AEFFA6" w14:textId="77777777" w:rsidR="00F51157" w:rsidRPr="00EF0802" w:rsidRDefault="00F51157" w:rsidP="00EF0802">
            <w:pPr>
              <w:spacing w:line="360" w:lineRule="auto"/>
              <w:rPr>
                <w:rFonts w:ascii="Times New Roman" w:hAnsi="Times New Roman" w:cs="Times New Roman"/>
              </w:rPr>
            </w:pPr>
          </w:p>
        </w:tc>
      </w:tr>
      <w:tr w:rsidR="00F51157" w:rsidRPr="00B36320" w14:paraId="3D0B35BE"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1698A8C2" w14:textId="0148C48C"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Table 4.6</w:t>
            </w:r>
          </w:p>
        </w:tc>
        <w:tc>
          <w:tcPr>
            <w:tcW w:w="3574" w:type="pct"/>
            <w:tcBorders>
              <w:top w:val="single" w:sz="4" w:space="0" w:color="auto"/>
              <w:left w:val="single" w:sz="4" w:space="0" w:color="auto"/>
              <w:bottom w:val="single" w:sz="4" w:space="0" w:color="auto"/>
              <w:right w:val="single" w:sz="4" w:space="0" w:color="auto"/>
            </w:tcBorders>
            <w:vAlign w:val="center"/>
            <w:hideMark/>
          </w:tcPr>
          <w:p w14:paraId="798EE51A" w14:textId="6C16F963"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Correlation Between Pre-Test and Post-Test Awareness Scores</w:t>
            </w:r>
          </w:p>
        </w:tc>
        <w:tc>
          <w:tcPr>
            <w:tcW w:w="679" w:type="pct"/>
            <w:tcBorders>
              <w:top w:val="single" w:sz="4" w:space="0" w:color="auto"/>
              <w:left w:val="single" w:sz="4" w:space="0" w:color="auto"/>
              <w:bottom w:val="single" w:sz="4" w:space="0" w:color="auto"/>
              <w:right w:val="single" w:sz="4" w:space="0" w:color="auto"/>
            </w:tcBorders>
            <w:hideMark/>
          </w:tcPr>
          <w:p w14:paraId="79F81359" w14:textId="77777777" w:rsidR="00F51157" w:rsidRPr="00EF0802" w:rsidRDefault="00F51157" w:rsidP="00EF0802">
            <w:pPr>
              <w:spacing w:line="360" w:lineRule="auto"/>
              <w:rPr>
                <w:rFonts w:ascii="Times New Roman" w:hAnsi="Times New Roman" w:cs="Times New Roman"/>
              </w:rPr>
            </w:pPr>
          </w:p>
        </w:tc>
      </w:tr>
      <w:tr w:rsidR="00F51157" w:rsidRPr="00B36320" w14:paraId="1BDE3C1E"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72198FF7" w14:textId="30C14325"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Table 4.7</w:t>
            </w:r>
          </w:p>
        </w:tc>
        <w:tc>
          <w:tcPr>
            <w:tcW w:w="3574" w:type="pct"/>
            <w:tcBorders>
              <w:top w:val="single" w:sz="4" w:space="0" w:color="auto"/>
              <w:left w:val="single" w:sz="4" w:space="0" w:color="auto"/>
              <w:bottom w:val="single" w:sz="4" w:space="0" w:color="auto"/>
              <w:right w:val="single" w:sz="4" w:space="0" w:color="auto"/>
            </w:tcBorders>
            <w:vAlign w:val="center"/>
            <w:hideMark/>
          </w:tcPr>
          <w:p w14:paraId="59B4DDAE" w14:textId="1DE7D41E"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Paired Samples T-Test Results for Pre-Test and Post-Test Awareness Scores</w:t>
            </w:r>
          </w:p>
        </w:tc>
        <w:tc>
          <w:tcPr>
            <w:tcW w:w="679" w:type="pct"/>
            <w:tcBorders>
              <w:top w:val="single" w:sz="4" w:space="0" w:color="auto"/>
              <w:left w:val="single" w:sz="4" w:space="0" w:color="auto"/>
              <w:bottom w:val="single" w:sz="4" w:space="0" w:color="auto"/>
              <w:right w:val="single" w:sz="4" w:space="0" w:color="auto"/>
            </w:tcBorders>
            <w:hideMark/>
          </w:tcPr>
          <w:p w14:paraId="0AA94C3B" w14:textId="77777777" w:rsidR="00F51157" w:rsidRPr="00EF0802" w:rsidRDefault="00F51157" w:rsidP="00EF0802">
            <w:pPr>
              <w:spacing w:line="360" w:lineRule="auto"/>
              <w:rPr>
                <w:rFonts w:ascii="Times New Roman" w:hAnsi="Times New Roman" w:cs="Times New Roman"/>
              </w:rPr>
            </w:pPr>
          </w:p>
        </w:tc>
      </w:tr>
      <w:tr w:rsidR="00F51157" w:rsidRPr="00B36320" w14:paraId="3FC7E759"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37B505B8" w14:textId="4D6C713F"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Table 4.8</w:t>
            </w:r>
          </w:p>
        </w:tc>
        <w:tc>
          <w:tcPr>
            <w:tcW w:w="3574" w:type="pct"/>
            <w:tcBorders>
              <w:top w:val="single" w:sz="4" w:space="0" w:color="auto"/>
              <w:left w:val="single" w:sz="4" w:space="0" w:color="auto"/>
              <w:bottom w:val="single" w:sz="4" w:space="0" w:color="auto"/>
              <w:right w:val="single" w:sz="4" w:space="0" w:color="auto"/>
            </w:tcBorders>
            <w:vAlign w:val="center"/>
            <w:hideMark/>
          </w:tcPr>
          <w:p w14:paraId="36A92DE0" w14:textId="684B3DB3"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Cross-tabulation of Education vs. Knowledge Score</w:t>
            </w:r>
          </w:p>
        </w:tc>
        <w:tc>
          <w:tcPr>
            <w:tcW w:w="679" w:type="pct"/>
            <w:tcBorders>
              <w:top w:val="single" w:sz="4" w:space="0" w:color="auto"/>
              <w:left w:val="single" w:sz="4" w:space="0" w:color="auto"/>
              <w:bottom w:val="single" w:sz="4" w:space="0" w:color="auto"/>
              <w:right w:val="single" w:sz="4" w:space="0" w:color="auto"/>
            </w:tcBorders>
            <w:hideMark/>
          </w:tcPr>
          <w:p w14:paraId="1351AF89" w14:textId="77777777" w:rsidR="00F51157" w:rsidRPr="00EF0802" w:rsidRDefault="00F51157" w:rsidP="00EF0802">
            <w:pPr>
              <w:spacing w:line="360" w:lineRule="auto"/>
              <w:rPr>
                <w:rFonts w:ascii="Times New Roman" w:hAnsi="Times New Roman" w:cs="Times New Roman"/>
              </w:rPr>
            </w:pPr>
          </w:p>
        </w:tc>
      </w:tr>
      <w:tr w:rsidR="00F51157" w:rsidRPr="00B36320" w14:paraId="1248DDC0"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73030D3B" w14:textId="510CF6DC"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Table 4.9</w:t>
            </w:r>
          </w:p>
        </w:tc>
        <w:tc>
          <w:tcPr>
            <w:tcW w:w="3574" w:type="pct"/>
            <w:tcBorders>
              <w:top w:val="single" w:sz="4" w:space="0" w:color="auto"/>
              <w:left w:val="single" w:sz="4" w:space="0" w:color="auto"/>
              <w:bottom w:val="single" w:sz="4" w:space="0" w:color="auto"/>
              <w:right w:val="single" w:sz="4" w:space="0" w:color="auto"/>
            </w:tcBorders>
            <w:vAlign w:val="center"/>
            <w:hideMark/>
          </w:tcPr>
          <w:p w14:paraId="571F90B6" w14:textId="06C57BD6"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Associations Between Demographic Variables and Knowledge Levels</w:t>
            </w:r>
          </w:p>
        </w:tc>
        <w:tc>
          <w:tcPr>
            <w:tcW w:w="679" w:type="pct"/>
            <w:tcBorders>
              <w:top w:val="single" w:sz="4" w:space="0" w:color="auto"/>
              <w:left w:val="single" w:sz="4" w:space="0" w:color="auto"/>
              <w:bottom w:val="single" w:sz="4" w:space="0" w:color="auto"/>
              <w:right w:val="single" w:sz="4" w:space="0" w:color="auto"/>
            </w:tcBorders>
            <w:hideMark/>
          </w:tcPr>
          <w:p w14:paraId="70FF6EC1" w14:textId="77777777" w:rsidR="00F51157" w:rsidRPr="00EF0802" w:rsidRDefault="00F51157" w:rsidP="00EF0802">
            <w:pPr>
              <w:spacing w:line="360" w:lineRule="auto"/>
              <w:rPr>
                <w:rFonts w:ascii="Times New Roman" w:hAnsi="Times New Roman" w:cs="Times New Roman"/>
              </w:rPr>
            </w:pPr>
          </w:p>
        </w:tc>
      </w:tr>
      <w:tr w:rsidR="00F51157" w:rsidRPr="00B36320" w14:paraId="5DC8F8B9"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106FB724" w14:textId="7F1D74E9"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Table 4.10</w:t>
            </w:r>
          </w:p>
        </w:tc>
        <w:tc>
          <w:tcPr>
            <w:tcW w:w="3574" w:type="pct"/>
            <w:tcBorders>
              <w:top w:val="single" w:sz="4" w:space="0" w:color="auto"/>
              <w:left w:val="single" w:sz="4" w:space="0" w:color="auto"/>
              <w:bottom w:val="single" w:sz="4" w:space="0" w:color="auto"/>
              <w:right w:val="single" w:sz="4" w:space="0" w:color="auto"/>
            </w:tcBorders>
            <w:vAlign w:val="center"/>
            <w:hideMark/>
          </w:tcPr>
          <w:p w14:paraId="28D18FE2" w14:textId="32FE1698"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Lifestyle Practices of Pregnant Women – Pre and Post Intervention (N = 200)</w:t>
            </w:r>
          </w:p>
        </w:tc>
        <w:tc>
          <w:tcPr>
            <w:tcW w:w="679" w:type="pct"/>
            <w:tcBorders>
              <w:top w:val="single" w:sz="4" w:space="0" w:color="auto"/>
              <w:left w:val="single" w:sz="4" w:space="0" w:color="auto"/>
              <w:bottom w:val="single" w:sz="4" w:space="0" w:color="auto"/>
              <w:right w:val="single" w:sz="4" w:space="0" w:color="auto"/>
            </w:tcBorders>
            <w:hideMark/>
          </w:tcPr>
          <w:p w14:paraId="0A89A699" w14:textId="77777777" w:rsidR="00F51157" w:rsidRPr="00EF0802" w:rsidRDefault="00F51157" w:rsidP="00EF0802">
            <w:pPr>
              <w:spacing w:line="360" w:lineRule="auto"/>
              <w:rPr>
                <w:rFonts w:ascii="Times New Roman" w:hAnsi="Times New Roman" w:cs="Times New Roman"/>
              </w:rPr>
            </w:pPr>
          </w:p>
        </w:tc>
      </w:tr>
      <w:tr w:rsidR="00F51157" w:rsidRPr="00B36320" w14:paraId="31FB208A"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01FAB371" w14:textId="4A1CBA33"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Table 4.11</w:t>
            </w:r>
          </w:p>
        </w:tc>
        <w:tc>
          <w:tcPr>
            <w:tcW w:w="3574" w:type="pct"/>
            <w:tcBorders>
              <w:top w:val="single" w:sz="4" w:space="0" w:color="auto"/>
              <w:left w:val="single" w:sz="4" w:space="0" w:color="auto"/>
              <w:bottom w:val="single" w:sz="4" w:space="0" w:color="auto"/>
              <w:right w:val="single" w:sz="4" w:space="0" w:color="auto"/>
            </w:tcBorders>
            <w:vAlign w:val="center"/>
            <w:hideMark/>
          </w:tcPr>
          <w:p w14:paraId="09C2AE8D" w14:textId="2857555D"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Wilcoxon Signed-Rank Test on Ordinal Lifestyle Practices</w:t>
            </w:r>
          </w:p>
        </w:tc>
        <w:tc>
          <w:tcPr>
            <w:tcW w:w="679" w:type="pct"/>
            <w:tcBorders>
              <w:top w:val="single" w:sz="4" w:space="0" w:color="auto"/>
              <w:left w:val="single" w:sz="4" w:space="0" w:color="auto"/>
              <w:bottom w:val="single" w:sz="4" w:space="0" w:color="auto"/>
              <w:right w:val="single" w:sz="4" w:space="0" w:color="auto"/>
            </w:tcBorders>
            <w:hideMark/>
          </w:tcPr>
          <w:p w14:paraId="0CAF090E" w14:textId="77777777" w:rsidR="00F51157" w:rsidRPr="00EF0802" w:rsidRDefault="00F51157" w:rsidP="00EF0802">
            <w:pPr>
              <w:spacing w:line="360" w:lineRule="auto"/>
              <w:rPr>
                <w:rFonts w:ascii="Times New Roman" w:hAnsi="Times New Roman" w:cs="Times New Roman"/>
              </w:rPr>
            </w:pPr>
          </w:p>
        </w:tc>
      </w:tr>
      <w:tr w:rsidR="00F51157" w:rsidRPr="00B36320" w14:paraId="46FB8973"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0A1C1D24" w14:textId="7EBAF149"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Table 4.12</w:t>
            </w:r>
          </w:p>
        </w:tc>
        <w:tc>
          <w:tcPr>
            <w:tcW w:w="3574" w:type="pct"/>
            <w:tcBorders>
              <w:top w:val="single" w:sz="4" w:space="0" w:color="auto"/>
              <w:left w:val="single" w:sz="4" w:space="0" w:color="auto"/>
              <w:bottom w:val="single" w:sz="4" w:space="0" w:color="auto"/>
              <w:right w:val="single" w:sz="4" w:space="0" w:color="auto"/>
            </w:tcBorders>
            <w:vAlign w:val="center"/>
            <w:hideMark/>
          </w:tcPr>
          <w:p w14:paraId="739693D7" w14:textId="538B1B66"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McNemar’s Test on Binary Lifestyle Practices</w:t>
            </w:r>
          </w:p>
        </w:tc>
        <w:tc>
          <w:tcPr>
            <w:tcW w:w="679" w:type="pct"/>
            <w:tcBorders>
              <w:top w:val="single" w:sz="4" w:space="0" w:color="auto"/>
              <w:left w:val="single" w:sz="4" w:space="0" w:color="auto"/>
              <w:bottom w:val="single" w:sz="4" w:space="0" w:color="auto"/>
              <w:right w:val="single" w:sz="4" w:space="0" w:color="auto"/>
            </w:tcBorders>
            <w:hideMark/>
          </w:tcPr>
          <w:p w14:paraId="72B28DEC" w14:textId="77777777" w:rsidR="00F51157" w:rsidRPr="00EF0802" w:rsidRDefault="00F51157" w:rsidP="00EF0802">
            <w:pPr>
              <w:spacing w:line="360" w:lineRule="auto"/>
              <w:rPr>
                <w:rFonts w:ascii="Times New Roman" w:hAnsi="Times New Roman" w:cs="Times New Roman"/>
              </w:rPr>
            </w:pPr>
          </w:p>
        </w:tc>
      </w:tr>
      <w:tr w:rsidR="00F51157" w:rsidRPr="00B36320" w14:paraId="7DA9FA6A"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3AD4DE37" w14:textId="14553071"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Table 4.13</w:t>
            </w:r>
          </w:p>
        </w:tc>
        <w:tc>
          <w:tcPr>
            <w:tcW w:w="3574" w:type="pct"/>
            <w:tcBorders>
              <w:top w:val="single" w:sz="4" w:space="0" w:color="auto"/>
              <w:left w:val="single" w:sz="4" w:space="0" w:color="auto"/>
              <w:bottom w:val="single" w:sz="4" w:space="0" w:color="auto"/>
              <w:right w:val="single" w:sz="4" w:space="0" w:color="auto"/>
            </w:tcBorders>
            <w:vAlign w:val="center"/>
            <w:hideMark/>
          </w:tcPr>
          <w:p w14:paraId="135DAADE" w14:textId="0599FE59"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Lifestyle Changes Post-Intervention – Frequency and Percentage</w:t>
            </w:r>
          </w:p>
        </w:tc>
        <w:tc>
          <w:tcPr>
            <w:tcW w:w="679" w:type="pct"/>
            <w:tcBorders>
              <w:top w:val="single" w:sz="4" w:space="0" w:color="auto"/>
              <w:left w:val="single" w:sz="4" w:space="0" w:color="auto"/>
              <w:bottom w:val="single" w:sz="4" w:space="0" w:color="auto"/>
              <w:right w:val="single" w:sz="4" w:space="0" w:color="auto"/>
            </w:tcBorders>
            <w:hideMark/>
          </w:tcPr>
          <w:p w14:paraId="0B70B3AF" w14:textId="77777777" w:rsidR="00F51157" w:rsidRPr="00EF0802" w:rsidRDefault="00F51157" w:rsidP="00EF0802">
            <w:pPr>
              <w:spacing w:line="360" w:lineRule="auto"/>
              <w:rPr>
                <w:rFonts w:ascii="Times New Roman" w:hAnsi="Times New Roman" w:cs="Times New Roman"/>
              </w:rPr>
            </w:pPr>
          </w:p>
        </w:tc>
      </w:tr>
      <w:tr w:rsidR="00F51157" w:rsidRPr="00B36320" w14:paraId="7B169482"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7CF8BD66" w14:textId="6B459445"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Table 4.14</w:t>
            </w:r>
          </w:p>
        </w:tc>
        <w:tc>
          <w:tcPr>
            <w:tcW w:w="3574" w:type="pct"/>
            <w:tcBorders>
              <w:top w:val="single" w:sz="4" w:space="0" w:color="auto"/>
              <w:left w:val="single" w:sz="4" w:space="0" w:color="auto"/>
              <w:bottom w:val="single" w:sz="4" w:space="0" w:color="auto"/>
              <w:right w:val="single" w:sz="4" w:space="0" w:color="auto"/>
            </w:tcBorders>
            <w:vAlign w:val="center"/>
            <w:hideMark/>
          </w:tcPr>
          <w:p w14:paraId="6D86ECDC" w14:textId="6DABB473"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Pre/Post Comparison of Clinical Parameters (Mean ± SD)</w:t>
            </w:r>
          </w:p>
        </w:tc>
        <w:tc>
          <w:tcPr>
            <w:tcW w:w="679" w:type="pct"/>
            <w:tcBorders>
              <w:top w:val="single" w:sz="4" w:space="0" w:color="auto"/>
              <w:left w:val="single" w:sz="4" w:space="0" w:color="auto"/>
              <w:bottom w:val="single" w:sz="4" w:space="0" w:color="auto"/>
              <w:right w:val="single" w:sz="4" w:space="0" w:color="auto"/>
            </w:tcBorders>
            <w:hideMark/>
          </w:tcPr>
          <w:p w14:paraId="6C39A908" w14:textId="77777777" w:rsidR="00F51157" w:rsidRPr="00EF0802" w:rsidRDefault="00F51157" w:rsidP="00EF0802">
            <w:pPr>
              <w:spacing w:line="360" w:lineRule="auto"/>
              <w:rPr>
                <w:rFonts w:ascii="Times New Roman" w:hAnsi="Times New Roman" w:cs="Times New Roman"/>
              </w:rPr>
            </w:pPr>
          </w:p>
        </w:tc>
      </w:tr>
      <w:tr w:rsidR="00F51157" w:rsidRPr="00B36320" w14:paraId="19E419F1"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2C4C4221" w14:textId="1A0F3B1D"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Table 4.15</w:t>
            </w:r>
          </w:p>
        </w:tc>
        <w:tc>
          <w:tcPr>
            <w:tcW w:w="3574" w:type="pct"/>
            <w:tcBorders>
              <w:top w:val="single" w:sz="4" w:space="0" w:color="auto"/>
              <w:left w:val="single" w:sz="4" w:space="0" w:color="auto"/>
              <w:bottom w:val="single" w:sz="4" w:space="0" w:color="auto"/>
              <w:right w:val="single" w:sz="4" w:space="0" w:color="auto"/>
            </w:tcBorders>
            <w:vAlign w:val="center"/>
            <w:hideMark/>
          </w:tcPr>
          <w:p w14:paraId="0491AC0E" w14:textId="330662B1"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Urine Protein Status (Pre &amp; Post)</w:t>
            </w:r>
          </w:p>
        </w:tc>
        <w:tc>
          <w:tcPr>
            <w:tcW w:w="679" w:type="pct"/>
            <w:tcBorders>
              <w:top w:val="single" w:sz="4" w:space="0" w:color="auto"/>
              <w:left w:val="single" w:sz="4" w:space="0" w:color="auto"/>
              <w:bottom w:val="single" w:sz="4" w:space="0" w:color="auto"/>
              <w:right w:val="single" w:sz="4" w:space="0" w:color="auto"/>
            </w:tcBorders>
            <w:hideMark/>
          </w:tcPr>
          <w:p w14:paraId="6382542C" w14:textId="77777777" w:rsidR="00F51157" w:rsidRPr="00EF0802" w:rsidRDefault="00F51157" w:rsidP="00EF0802">
            <w:pPr>
              <w:spacing w:line="360" w:lineRule="auto"/>
              <w:rPr>
                <w:rFonts w:ascii="Times New Roman" w:hAnsi="Times New Roman" w:cs="Times New Roman"/>
              </w:rPr>
            </w:pPr>
          </w:p>
        </w:tc>
      </w:tr>
      <w:tr w:rsidR="00F51157" w:rsidRPr="00B36320" w14:paraId="620D64D0"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5EC3F2FD" w14:textId="33E3556D"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Table 4.16</w:t>
            </w:r>
          </w:p>
        </w:tc>
        <w:tc>
          <w:tcPr>
            <w:tcW w:w="3574" w:type="pct"/>
            <w:tcBorders>
              <w:top w:val="single" w:sz="4" w:space="0" w:color="auto"/>
              <w:left w:val="single" w:sz="4" w:space="0" w:color="auto"/>
              <w:bottom w:val="single" w:sz="4" w:space="0" w:color="auto"/>
              <w:right w:val="single" w:sz="4" w:space="0" w:color="auto"/>
            </w:tcBorders>
            <w:vAlign w:val="center"/>
            <w:hideMark/>
          </w:tcPr>
          <w:p w14:paraId="1E4DB5D8" w14:textId="45278A6F"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On Thyroid/BP Medication (Pre &amp; Post)</w:t>
            </w:r>
          </w:p>
        </w:tc>
        <w:tc>
          <w:tcPr>
            <w:tcW w:w="679" w:type="pct"/>
            <w:tcBorders>
              <w:top w:val="single" w:sz="4" w:space="0" w:color="auto"/>
              <w:left w:val="single" w:sz="4" w:space="0" w:color="auto"/>
              <w:bottom w:val="single" w:sz="4" w:space="0" w:color="auto"/>
              <w:right w:val="single" w:sz="4" w:space="0" w:color="auto"/>
            </w:tcBorders>
            <w:hideMark/>
          </w:tcPr>
          <w:p w14:paraId="2645E275" w14:textId="77777777" w:rsidR="00F51157" w:rsidRPr="00EF0802" w:rsidRDefault="00F51157" w:rsidP="00EF0802">
            <w:pPr>
              <w:spacing w:line="360" w:lineRule="auto"/>
              <w:rPr>
                <w:rFonts w:ascii="Times New Roman" w:hAnsi="Times New Roman" w:cs="Times New Roman"/>
              </w:rPr>
            </w:pPr>
          </w:p>
        </w:tc>
      </w:tr>
      <w:tr w:rsidR="00F51157" w:rsidRPr="00B36320" w14:paraId="701610AD"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36E17640" w14:textId="45FC5B80"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Table 4.17</w:t>
            </w:r>
          </w:p>
        </w:tc>
        <w:tc>
          <w:tcPr>
            <w:tcW w:w="3574" w:type="pct"/>
            <w:tcBorders>
              <w:top w:val="single" w:sz="4" w:space="0" w:color="auto"/>
              <w:left w:val="single" w:sz="4" w:space="0" w:color="auto"/>
              <w:bottom w:val="single" w:sz="4" w:space="0" w:color="auto"/>
              <w:right w:val="single" w:sz="4" w:space="0" w:color="auto"/>
            </w:tcBorders>
            <w:vAlign w:val="center"/>
            <w:hideMark/>
          </w:tcPr>
          <w:p w14:paraId="0282444E" w14:textId="60899BE5"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Any Change in Medication Dose Advised (Post-Test Only)</w:t>
            </w:r>
          </w:p>
        </w:tc>
        <w:tc>
          <w:tcPr>
            <w:tcW w:w="679" w:type="pct"/>
            <w:tcBorders>
              <w:top w:val="single" w:sz="4" w:space="0" w:color="auto"/>
              <w:left w:val="single" w:sz="4" w:space="0" w:color="auto"/>
              <w:bottom w:val="single" w:sz="4" w:space="0" w:color="auto"/>
              <w:right w:val="single" w:sz="4" w:space="0" w:color="auto"/>
            </w:tcBorders>
            <w:hideMark/>
          </w:tcPr>
          <w:p w14:paraId="5A8309A6" w14:textId="77777777" w:rsidR="00F51157" w:rsidRPr="00EF0802" w:rsidRDefault="00F51157" w:rsidP="00EF0802">
            <w:pPr>
              <w:spacing w:line="360" w:lineRule="auto"/>
              <w:rPr>
                <w:rFonts w:ascii="Times New Roman" w:hAnsi="Times New Roman" w:cs="Times New Roman"/>
              </w:rPr>
            </w:pPr>
          </w:p>
        </w:tc>
      </w:tr>
      <w:tr w:rsidR="00F51157" w:rsidRPr="00B36320" w14:paraId="5CE0F38A"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198AB8DB" w14:textId="047F5169"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Table 4.18</w:t>
            </w:r>
          </w:p>
        </w:tc>
        <w:tc>
          <w:tcPr>
            <w:tcW w:w="3574" w:type="pct"/>
            <w:tcBorders>
              <w:top w:val="single" w:sz="4" w:space="0" w:color="auto"/>
              <w:left w:val="single" w:sz="4" w:space="0" w:color="auto"/>
              <w:bottom w:val="single" w:sz="4" w:space="0" w:color="auto"/>
              <w:right w:val="single" w:sz="4" w:space="0" w:color="auto"/>
            </w:tcBorders>
            <w:vAlign w:val="center"/>
            <w:hideMark/>
          </w:tcPr>
          <w:p w14:paraId="79E274B5" w14:textId="20F065DF"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Paired t-Test Results (Continuous Clinical Parameters)</w:t>
            </w:r>
          </w:p>
        </w:tc>
        <w:tc>
          <w:tcPr>
            <w:tcW w:w="679" w:type="pct"/>
            <w:tcBorders>
              <w:top w:val="single" w:sz="4" w:space="0" w:color="auto"/>
              <w:left w:val="single" w:sz="4" w:space="0" w:color="auto"/>
              <w:bottom w:val="single" w:sz="4" w:space="0" w:color="auto"/>
              <w:right w:val="single" w:sz="4" w:space="0" w:color="auto"/>
            </w:tcBorders>
            <w:hideMark/>
          </w:tcPr>
          <w:p w14:paraId="7FA44B12" w14:textId="77777777" w:rsidR="00F51157" w:rsidRPr="00EF0802" w:rsidRDefault="00F51157" w:rsidP="00EF0802">
            <w:pPr>
              <w:spacing w:line="360" w:lineRule="auto"/>
              <w:rPr>
                <w:rFonts w:ascii="Times New Roman" w:hAnsi="Times New Roman" w:cs="Times New Roman"/>
              </w:rPr>
            </w:pPr>
          </w:p>
        </w:tc>
      </w:tr>
      <w:tr w:rsidR="00F51157" w:rsidRPr="00B36320" w14:paraId="7E5D9DDF"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3CEBD4AB" w14:textId="056B42AC"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Table 4.19</w:t>
            </w:r>
          </w:p>
        </w:tc>
        <w:tc>
          <w:tcPr>
            <w:tcW w:w="3574" w:type="pct"/>
            <w:tcBorders>
              <w:top w:val="single" w:sz="4" w:space="0" w:color="auto"/>
              <w:left w:val="single" w:sz="4" w:space="0" w:color="auto"/>
              <w:bottom w:val="single" w:sz="4" w:space="0" w:color="auto"/>
              <w:right w:val="single" w:sz="4" w:space="0" w:color="auto"/>
            </w:tcBorders>
            <w:vAlign w:val="center"/>
            <w:hideMark/>
          </w:tcPr>
          <w:p w14:paraId="3E4A6E4D" w14:textId="5DDBACFC"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McNemar’s Test Results (Binary Clinical Parameters)</w:t>
            </w:r>
          </w:p>
        </w:tc>
        <w:tc>
          <w:tcPr>
            <w:tcW w:w="679" w:type="pct"/>
            <w:tcBorders>
              <w:top w:val="single" w:sz="4" w:space="0" w:color="auto"/>
              <w:left w:val="single" w:sz="4" w:space="0" w:color="auto"/>
              <w:bottom w:val="single" w:sz="4" w:space="0" w:color="auto"/>
              <w:right w:val="single" w:sz="4" w:space="0" w:color="auto"/>
            </w:tcBorders>
            <w:hideMark/>
          </w:tcPr>
          <w:p w14:paraId="48765311" w14:textId="77777777" w:rsidR="00F51157" w:rsidRPr="00EF0802" w:rsidRDefault="00F51157" w:rsidP="00EF0802">
            <w:pPr>
              <w:spacing w:line="360" w:lineRule="auto"/>
              <w:rPr>
                <w:rFonts w:ascii="Times New Roman" w:hAnsi="Times New Roman" w:cs="Times New Roman"/>
              </w:rPr>
            </w:pPr>
          </w:p>
        </w:tc>
      </w:tr>
      <w:tr w:rsidR="00F51157" w:rsidRPr="00B36320" w14:paraId="3294BEE1"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687E6706" w14:textId="35F49D99"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Table 4.20</w:t>
            </w:r>
          </w:p>
        </w:tc>
        <w:tc>
          <w:tcPr>
            <w:tcW w:w="3574" w:type="pct"/>
            <w:tcBorders>
              <w:top w:val="single" w:sz="4" w:space="0" w:color="auto"/>
              <w:left w:val="single" w:sz="4" w:space="0" w:color="auto"/>
              <w:bottom w:val="single" w:sz="4" w:space="0" w:color="auto"/>
              <w:right w:val="single" w:sz="4" w:space="0" w:color="auto"/>
            </w:tcBorders>
            <w:vAlign w:val="center"/>
            <w:hideMark/>
          </w:tcPr>
          <w:p w14:paraId="54434A7D" w14:textId="5FCF4332"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Wilcoxon Signed-Rank Test (Ordinal Measures)</w:t>
            </w:r>
          </w:p>
        </w:tc>
        <w:tc>
          <w:tcPr>
            <w:tcW w:w="679" w:type="pct"/>
            <w:tcBorders>
              <w:top w:val="single" w:sz="4" w:space="0" w:color="auto"/>
              <w:left w:val="single" w:sz="4" w:space="0" w:color="auto"/>
              <w:bottom w:val="single" w:sz="4" w:space="0" w:color="auto"/>
              <w:right w:val="single" w:sz="4" w:space="0" w:color="auto"/>
            </w:tcBorders>
            <w:hideMark/>
          </w:tcPr>
          <w:p w14:paraId="348D7A2C" w14:textId="77777777" w:rsidR="00F51157" w:rsidRPr="00EF0802" w:rsidRDefault="00F51157" w:rsidP="00EF0802">
            <w:pPr>
              <w:spacing w:line="360" w:lineRule="auto"/>
              <w:rPr>
                <w:rFonts w:ascii="Times New Roman" w:hAnsi="Times New Roman" w:cs="Times New Roman"/>
              </w:rPr>
            </w:pPr>
          </w:p>
        </w:tc>
      </w:tr>
      <w:tr w:rsidR="00F51157" w:rsidRPr="00B36320" w14:paraId="3CFA8C9B"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0F6B8FDD" w14:textId="3528E334"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Table 4.21</w:t>
            </w:r>
          </w:p>
        </w:tc>
        <w:tc>
          <w:tcPr>
            <w:tcW w:w="3574" w:type="pct"/>
            <w:tcBorders>
              <w:top w:val="single" w:sz="4" w:space="0" w:color="auto"/>
              <w:left w:val="single" w:sz="4" w:space="0" w:color="auto"/>
              <w:bottom w:val="single" w:sz="4" w:space="0" w:color="auto"/>
              <w:right w:val="single" w:sz="4" w:space="0" w:color="auto"/>
            </w:tcBorders>
            <w:vAlign w:val="center"/>
            <w:hideMark/>
          </w:tcPr>
          <w:p w14:paraId="2C7AC7C2" w14:textId="4B21ED12"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Medical Outcomes and Monitoring – Post-Test Only</w:t>
            </w:r>
          </w:p>
        </w:tc>
        <w:tc>
          <w:tcPr>
            <w:tcW w:w="679" w:type="pct"/>
            <w:tcBorders>
              <w:top w:val="single" w:sz="4" w:space="0" w:color="auto"/>
              <w:left w:val="single" w:sz="4" w:space="0" w:color="auto"/>
              <w:bottom w:val="single" w:sz="4" w:space="0" w:color="auto"/>
              <w:right w:val="single" w:sz="4" w:space="0" w:color="auto"/>
            </w:tcBorders>
            <w:hideMark/>
          </w:tcPr>
          <w:p w14:paraId="7D4E3956" w14:textId="77777777" w:rsidR="00F51157" w:rsidRPr="00EF0802" w:rsidRDefault="00F51157" w:rsidP="00EF0802">
            <w:pPr>
              <w:spacing w:line="360" w:lineRule="auto"/>
              <w:rPr>
                <w:rFonts w:ascii="Times New Roman" w:hAnsi="Times New Roman" w:cs="Times New Roman"/>
              </w:rPr>
            </w:pPr>
          </w:p>
        </w:tc>
      </w:tr>
      <w:tr w:rsidR="00F51157" w:rsidRPr="00B36320" w14:paraId="1F8805AC" w14:textId="77777777" w:rsidTr="00EF0802">
        <w:tc>
          <w:tcPr>
            <w:tcW w:w="746" w:type="pct"/>
            <w:tcBorders>
              <w:top w:val="single" w:sz="4" w:space="0" w:color="auto"/>
              <w:left w:val="single" w:sz="4" w:space="0" w:color="auto"/>
              <w:bottom w:val="single" w:sz="4" w:space="0" w:color="auto"/>
              <w:right w:val="single" w:sz="4" w:space="0" w:color="auto"/>
            </w:tcBorders>
            <w:vAlign w:val="center"/>
            <w:hideMark/>
          </w:tcPr>
          <w:p w14:paraId="72F0F397" w14:textId="1D36341E"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lastRenderedPageBreak/>
              <w:t>Table 4.22</w:t>
            </w:r>
          </w:p>
        </w:tc>
        <w:tc>
          <w:tcPr>
            <w:tcW w:w="3574" w:type="pct"/>
            <w:tcBorders>
              <w:top w:val="single" w:sz="4" w:space="0" w:color="auto"/>
              <w:left w:val="single" w:sz="4" w:space="0" w:color="auto"/>
              <w:bottom w:val="single" w:sz="4" w:space="0" w:color="auto"/>
              <w:right w:val="single" w:sz="4" w:space="0" w:color="auto"/>
            </w:tcBorders>
            <w:vAlign w:val="center"/>
            <w:hideMark/>
          </w:tcPr>
          <w:p w14:paraId="20BDED88" w14:textId="3F06A38C" w:rsidR="00F51157" w:rsidRPr="00EF0802" w:rsidRDefault="00F51157" w:rsidP="00EF0802">
            <w:pPr>
              <w:spacing w:line="360" w:lineRule="auto"/>
              <w:rPr>
                <w:rFonts w:ascii="Times New Roman" w:hAnsi="Times New Roman" w:cs="Times New Roman"/>
              </w:rPr>
            </w:pPr>
            <w:r w:rsidRPr="00EF0802">
              <w:rPr>
                <w:rFonts w:ascii="Times New Roman" w:hAnsi="Times New Roman" w:cs="Times New Roman"/>
              </w:rPr>
              <w:t>Satisfaction and Feedback – Post-Test (N = 200)</w:t>
            </w:r>
          </w:p>
        </w:tc>
        <w:tc>
          <w:tcPr>
            <w:tcW w:w="679" w:type="pct"/>
            <w:tcBorders>
              <w:top w:val="single" w:sz="4" w:space="0" w:color="auto"/>
              <w:left w:val="single" w:sz="4" w:space="0" w:color="auto"/>
              <w:bottom w:val="single" w:sz="4" w:space="0" w:color="auto"/>
              <w:right w:val="single" w:sz="4" w:space="0" w:color="auto"/>
            </w:tcBorders>
            <w:hideMark/>
          </w:tcPr>
          <w:p w14:paraId="314E2FAE" w14:textId="77777777" w:rsidR="00F51157" w:rsidRPr="00EF0802" w:rsidRDefault="00F51157" w:rsidP="00EF0802">
            <w:pPr>
              <w:spacing w:line="360" w:lineRule="auto"/>
              <w:rPr>
                <w:rFonts w:ascii="Times New Roman" w:hAnsi="Times New Roman" w:cs="Times New Roman"/>
              </w:rPr>
            </w:pPr>
          </w:p>
        </w:tc>
      </w:tr>
    </w:tbl>
    <w:p w14:paraId="7C47FEAB" w14:textId="77777777" w:rsidR="00B36320" w:rsidRDefault="00B36320" w:rsidP="00EF0802">
      <w:pPr>
        <w:spacing w:line="360" w:lineRule="auto"/>
        <w:jc w:val="center"/>
        <w:rPr>
          <w:rFonts w:ascii="Times New Roman" w:hAnsi="Times New Roman" w:cs="Times New Roman"/>
          <w:sz w:val="28"/>
          <w:szCs w:val="28"/>
        </w:rPr>
      </w:pPr>
    </w:p>
    <w:p w14:paraId="696E5F78" w14:textId="77777777" w:rsidR="00452A1D" w:rsidRDefault="00452A1D" w:rsidP="00EF0802">
      <w:pPr>
        <w:spacing w:line="360" w:lineRule="auto"/>
        <w:jc w:val="center"/>
        <w:rPr>
          <w:rFonts w:ascii="Times New Roman" w:hAnsi="Times New Roman" w:cs="Times New Roman"/>
          <w:sz w:val="28"/>
          <w:szCs w:val="28"/>
        </w:rPr>
      </w:pPr>
    </w:p>
    <w:p w14:paraId="2FABB5A0" w14:textId="77777777" w:rsidR="00452A1D" w:rsidRDefault="00452A1D" w:rsidP="00EF0802">
      <w:pPr>
        <w:spacing w:line="360" w:lineRule="auto"/>
        <w:jc w:val="center"/>
        <w:rPr>
          <w:rFonts w:ascii="Times New Roman" w:hAnsi="Times New Roman" w:cs="Times New Roman"/>
          <w:sz w:val="28"/>
          <w:szCs w:val="28"/>
        </w:rPr>
      </w:pPr>
    </w:p>
    <w:p w14:paraId="28E9E0D9" w14:textId="77777777" w:rsidR="00452A1D" w:rsidRDefault="00452A1D" w:rsidP="00EF0802">
      <w:pPr>
        <w:spacing w:line="360" w:lineRule="auto"/>
        <w:jc w:val="center"/>
        <w:rPr>
          <w:rFonts w:ascii="Times New Roman" w:hAnsi="Times New Roman" w:cs="Times New Roman"/>
          <w:sz w:val="28"/>
          <w:szCs w:val="28"/>
        </w:rPr>
      </w:pPr>
    </w:p>
    <w:p w14:paraId="1F298E95" w14:textId="77777777" w:rsidR="00452A1D" w:rsidRDefault="00452A1D" w:rsidP="00EF0802">
      <w:pPr>
        <w:spacing w:line="360" w:lineRule="auto"/>
        <w:jc w:val="center"/>
        <w:rPr>
          <w:rFonts w:ascii="Times New Roman" w:hAnsi="Times New Roman" w:cs="Times New Roman"/>
          <w:sz w:val="28"/>
          <w:szCs w:val="28"/>
        </w:rPr>
      </w:pPr>
    </w:p>
    <w:p w14:paraId="44FE8B35" w14:textId="77777777" w:rsidR="00452A1D" w:rsidRDefault="00452A1D" w:rsidP="00EF0802">
      <w:pPr>
        <w:spacing w:line="360" w:lineRule="auto"/>
        <w:jc w:val="center"/>
        <w:rPr>
          <w:rFonts w:ascii="Times New Roman" w:hAnsi="Times New Roman" w:cs="Times New Roman"/>
          <w:sz w:val="28"/>
          <w:szCs w:val="28"/>
        </w:rPr>
      </w:pPr>
    </w:p>
    <w:p w14:paraId="56E6991F" w14:textId="77777777" w:rsidR="00452A1D" w:rsidRDefault="00452A1D" w:rsidP="00EF0802">
      <w:pPr>
        <w:spacing w:line="360" w:lineRule="auto"/>
        <w:jc w:val="center"/>
        <w:rPr>
          <w:rFonts w:ascii="Times New Roman" w:hAnsi="Times New Roman" w:cs="Times New Roman"/>
          <w:sz w:val="28"/>
          <w:szCs w:val="28"/>
        </w:rPr>
      </w:pPr>
    </w:p>
    <w:p w14:paraId="2A31FC27" w14:textId="77777777" w:rsidR="00452A1D" w:rsidRDefault="00452A1D" w:rsidP="00EF0802">
      <w:pPr>
        <w:spacing w:line="360" w:lineRule="auto"/>
        <w:jc w:val="center"/>
        <w:rPr>
          <w:rFonts w:ascii="Times New Roman" w:hAnsi="Times New Roman" w:cs="Times New Roman"/>
          <w:sz w:val="28"/>
          <w:szCs w:val="28"/>
        </w:rPr>
      </w:pPr>
    </w:p>
    <w:p w14:paraId="42AE6E7C" w14:textId="77777777" w:rsidR="00452A1D" w:rsidRDefault="00452A1D" w:rsidP="00EF0802">
      <w:pPr>
        <w:spacing w:line="360" w:lineRule="auto"/>
        <w:jc w:val="center"/>
        <w:rPr>
          <w:rFonts w:ascii="Times New Roman" w:hAnsi="Times New Roman" w:cs="Times New Roman"/>
          <w:sz w:val="28"/>
          <w:szCs w:val="28"/>
        </w:rPr>
      </w:pPr>
    </w:p>
    <w:p w14:paraId="563491D3" w14:textId="77777777" w:rsidR="00452A1D" w:rsidRDefault="00452A1D" w:rsidP="00EF0802">
      <w:pPr>
        <w:spacing w:line="360" w:lineRule="auto"/>
        <w:jc w:val="center"/>
        <w:rPr>
          <w:rFonts w:ascii="Times New Roman" w:hAnsi="Times New Roman" w:cs="Times New Roman"/>
          <w:sz w:val="28"/>
          <w:szCs w:val="28"/>
        </w:rPr>
      </w:pPr>
    </w:p>
    <w:p w14:paraId="40397227" w14:textId="77777777" w:rsidR="00452A1D" w:rsidRDefault="00452A1D" w:rsidP="00EF0802">
      <w:pPr>
        <w:spacing w:line="360" w:lineRule="auto"/>
        <w:jc w:val="center"/>
        <w:rPr>
          <w:rFonts w:ascii="Times New Roman" w:hAnsi="Times New Roman" w:cs="Times New Roman"/>
          <w:sz w:val="28"/>
          <w:szCs w:val="28"/>
        </w:rPr>
      </w:pPr>
    </w:p>
    <w:p w14:paraId="1DB03192" w14:textId="77777777" w:rsidR="00452A1D" w:rsidRDefault="00452A1D" w:rsidP="00EF0802">
      <w:pPr>
        <w:spacing w:line="360" w:lineRule="auto"/>
        <w:jc w:val="center"/>
        <w:rPr>
          <w:rFonts w:ascii="Times New Roman" w:hAnsi="Times New Roman" w:cs="Times New Roman"/>
          <w:sz w:val="28"/>
          <w:szCs w:val="28"/>
        </w:rPr>
      </w:pPr>
    </w:p>
    <w:p w14:paraId="0D483E51" w14:textId="77777777" w:rsidR="00452A1D" w:rsidRDefault="00452A1D" w:rsidP="00EF0802">
      <w:pPr>
        <w:spacing w:line="360" w:lineRule="auto"/>
        <w:jc w:val="center"/>
        <w:rPr>
          <w:rFonts w:ascii="Times New Roman" w:hAnsi="Times New Roman" w:cs="Times New Roman"/>
          <w:sz w:val="28"/>
          <w:szCs w:val="28"/>
        </w:rPr>
      </w:pPr>
    </w:p>
    <w:p w14:paraId="2747294D" w14:textId="77777777" w:rsidR="00452A1D" w:rsidRDefault="00452A1D" w:rsidP="00EF0802">
      <w:pPr>
        <w:spacing w:line="360" w:lineRule="auto"/>
        <w:jc w:val="center"/>
        <w:rPr>
          <w:rFonts w:ascii="Times New Roman" w:hAnsi="Times New Roman" w:cs="Times New Roman"/>
          <w:sz w:val="28"/>
          <w:szCs w:val="28"/>
        </w:rPr>
      </w:pPr>
    </w:p>
    <w:p w14:paraId="05464E9F" w14:textId="77777777" w:rsidR="00452A1D" w:rsidRDefault="00452A1D" w:rsidP="00EF0802">
      <w:pPr>
        <w:spacing w:line="360" w:lineRule="auto"/>
        <w:jc w:val="center"/>
        <w:rPr>
          <w:rFonts w:ascii="Times New Roman" w:hAnsi="Times New Roman" w:cs="Times New Roman"/>
          <w:sz w:val="28"/>
          <w:szCs w:val="28"/>
        </w:rPr>
      </w:pPr>
    </w:p>
    <w:p w14:paraId="234AA685" w14:textId="77777777" w:rsidR="00452A1D" w:rsidRDefault="00452A1D" w:rsidP="00EF0802">
      <w:pPr>
        <w:spacing w:line="360" w:lineRule="auto"/>
        <w:jc w:val="center"/>
        <w:rPr>
          <w:rFonts w:ascii="Times New Roman" w:hAnsi="Times New Roman" w:cs="Times New Roman"/>
          <w:sz w:val="28"/>
          <w:szCs w:val="28"/>
        </w:rPr>
      </w:pPr>
    </w:p>
    <w:p w14:paraId="7EAADBA6" w14:textId="77777777" w:rsidR="00452A1D" w:rsidRDefault="00452A1D" w:rsidP="00EF0802">
      <w:pPr>
        <w:spacing w:line="360" w:lineRule="auto"/>
        <w:jc w:val="center"/>
        <w:rPr>
          <w:rFonts w:ascii="Times New Roman" w:hAnsi="Times New Roman" w:cs="Times New Roman"/>
          <w:sz w:val="28"/>
          <w:szCs w:val="28"/>
        </w:rPr>
      </w:pPr>
    </w:p>
    <w:p w14:paraId="2EBC9163" w14:textId="77777777" w:rsidR="00452A1D" w:rsidRDefault="00452A1D" w:rsidP="00EF0802">
      <w:pPr>
        <w:spacing w:line="360" w:lineRule="auto"/>
        <w:jc w:val="center"/>
        <w:rPr>
          <w:rFonts w:ascii="Times New Roman" w:hAnsi="Times New Roman" w:cs="Times New Roman"/>
          <w:sz w:val="28"/>
          <w:szCs w:val="28"/>
        </w:rPr>
      </w:pPr>
    </w:p>
    <w:p w14:paraId="2641142D" w14:textId="77777777" w:rsidR="00452A1D" w:rsidRDefault="00452A1D" w:rsidP="00EF0802">
      <w:pPr>
        <w:spacing w:line="360" w:lineRule="auto"/>
        <w:jc w:val="center"/>
        <w:rPr>
          <w:rFonts w:ascii="Times New Roman" w:hAnsi="Times New Roman" w:cs="Times New Roman"/>
          <w:sz w:val="28"/>
          <w:szCs w:val="28"/>
        </w:rPr>
      </w:pPr>
    </w:p>
    <w:p w14:paraId="71612863" w14:textId="77777777" w:rsidR="00406EE8" w:rsidRDefault="00406EE8" w:rsidP="00EF0802">
      <w:pPr>
        <w:spacing w:line="360" w:lineRule="auto"/>
        <w:jc w:val="center"/>
        <w:rPr>
          <w:rFonts w:ascii="Times New Roman" w:hAnsi="Times New Roman" w:cs="Times New Roman"/>
          <w:sz w:val="28"/>
          <w:szCs w:val="28"/>
        </w:rPr>
      </w:pPr>
    </w:p>
    <w:p w14:paraId="2E73CCF2" w14:textId="77777777" w:rsidR="00406EE8" w:rsidRDefault="00406EE8" w:rsidP="00EF0802">
      <w:pPr>
        <w:spacing w:line="360" w:lineRule="auto"/>
        <w:jc w:val="center"/>
        <w:rPr>
          <w:rFonts w:ascii="Times New Roman" w:hAnsi="Times New Roman" w:cs="Times New Roman"/>
          <w:sz w:val="28"/>
          <w:szCs w:val="28"/>
        </w:rPr>
      </w:pPr>
    </w:p>
    <w:p w14:paraId="6D6F79F8" w14:textId="5A364AE9" w:rsidR="00406EE8" w:rsidRPr="00406EE8" w:rsidRDefault="00406EE8" w:rsidP="00EF0802">
      <w:pPr>
        <w:spacing w:line="360" w:lineRule="auto"/>
        <w:jc w:val="center"/>
        <w:rPr>
          <w:rFonts w:ascii="Times New Roman" w:hAnsi="Times New Roman" w:cs="Times New Roman"/>
          <w:b/>
          <w:bCs/>
          <w:sz w:val="28"/>
          <w:szCs w:val="28"/>
        </w:rPr>
      </w:pPr>
      <w:r w:rsidRPr="00406EE8">
        <w:rPr>
          <w:rFonts w:ascii="Times New Roman" w:hAnsi="Times New Roman" w:cs="Times New Roman"/>
          <w:b/>
          <w:bCs/>
          <w:sz w:val="28"/>
          <w:szCs w:val="28"/>
        </w:rPr>
        <w:lastRenderedPageBreak/>
        <w:t>Abstract</w:t>
      </w:r>
    </w:p>
    <w:p w14:paraId="322FF8F4" w14:textId="77777777" w:rsidR="00406EE8" w:rsidRPr="00406EE8" w:rsidRDefault="00406EE8" w:rsidP="00406EE8">
      <w:pPr>
        <w:spacing w:line="360" w:lineRule="auto"/>
        <w:jc w:val="both"/>
        <w:rPr>
          <w:rFonts w:ascii="Times New Roman" w:hAnsi="Times New Roman" w:cs="Times New Roman"/>
        </w:rPr>
      </w:pPr>
      <w:r w:rsidRPr="00406EE8">
        <w:rPr>
          <w:rFonts w:ascii="Times New Roman" w:hAnsi="Times New Roman" w:cs="Times New Roman"/>
        </w:rPr>
        <w:t xml:space="preserve">Pregnancy represents a physiologically transformative phase in a woman’s life, marked by complex hormonal, metabolic, and cardiovascular adaptations that are essential for </w:t>
      </w:r>
      <w:proofErr w:type="spellStart"/>
      <w:r w:rsidRPr="00406EE8">
        <w:rPr>
          <w:rFonts w:ascii="Times New Roman" w:hAnsi="Times New Roman" w:cs="Times New Roman"/>
        </w:rPr>
        <w:t>fetal</w:t>
      </w:r>
      <w:proofErr w:type="spellEnd"/>
      <w:r w:rsidRPr="00406EE8">
        <w:rPr>
          <w:rFonts w:ascii="Times New Roman" w:hAnsi="Times New Roman" w:cs="Times New Roman"/>
        </w:rPr>
        <w:t xml:space="preserve"> development but simultaneously heighten the mother’s vulnerability to several health complications. Among these, thyroid dysfunction and hypertensive disorders of pregnancy (HDP) are of particular concern due to their significant impact on maternal and </w:t>
      </w:r>
      <w:proofErr w:type="spellStart"/>
      <w:r w:rsidRPr="00406EE8">
        <w:rPr>
          <w:rFonts w:ascii="Times New Roman" w:hAnsi="Times New Roman" w:cs="Times New Roman"/>
        </w:rPr>
        <w:t>fetal</w:t>
      </w:r>
      <w:proofErr w:type="spellEnd"/>
      <w:r w:rsidRPr="00406EE8">
        <w:rPr>
          <w:rFonts w:ascii="Times New Roman" w:hAnsi="Times New Roman" w:cs="Times New Roman"/>
        </w:rPr>
        <w:t xml:space="preserve"> outcomes. Globally, thyroid disorders—encompassing hypothyroidism and hyperthyroidism—affect approximately 5–15% of pregnancies, with prevalence largely dependent on regional iodine sufficiency and healthcare access. These disorders, if undetected or poorly managed, can result in miscarriage, preterm birth, low birth weight, neurodevelopmental deficits, and increased perinatal mortality. Hypertensive disorders, which include chronic hypertension, gestational hypertension, preeclampsia, and eclampsia, are present in nearly 10% of pregnancies worldwide and are a leading cause of maternal mortality, particularly in low- and middle-income countries (LMICs). The co-occurrence of these </w:t>
      </w:r>
      <w:proofErr w:type="gramStart"/>
      <w:r w:rsidRPr="00406EE8">
        <w:rPr>
          <w:rFonts w:ascii="Times New Roman" w:hAnsi="Times New Roman" w:cs="Times New Roman"/>
        </w:rPr>
        <w:t>conditions</w:t>
      </w:r>
      <w:proofErr w:type="gramEnd"/>
      <w:r w:rsidRPr="00406EE8">
        <w:rPr>
          <w:rFonts w:ascii="Times New Roman" w:hAnsi="Times New Roman" w:cs="Times New Roman"/>
        </w:rPr>
        <w:t xml:space="preserve"> further compounds risks, as subclinical hypothyroidism has been associated with increased preeclampsia risk, while hyperthyroidism may precipitate vascular and metabolic changes contributing to gestational hypertension.</w:t>
      </w:r>
    </w:p>
    <w:p w14:paraId="756E75E4" w14:textId="77777777" w:rsidR="00406EE8" w:rsidRPr="00406EE8" w:rsidRDefault="00406EE8" w:rsidP="00406EE8">
      <w:pPr>
        <w:spacing w:line="360" w:lineRule="auto"/>
        <w:jc w:val="both"/>
        <w:rPr>
          <w:rFonts w:ascii="Times New Roman" w:hAnsi="Times New Roman" w:cs="Times New Roman"/>
        </w:rPr>
      </w:pPr>
      <w:r w:rsidRPr="00406EE8">
        <w:rPr>
          <w:rFonts w:ascii="Times New Roman" w:hAnsi="Times New Roman" w:cs="Times New Roman"/>
        </w:rPr>
        <w:t xml:space="preserve">Despite advances in clinical management, the integration of preventive, lifestyle-based strategies into antenatal care remains insufficient in many settings, including India. Lifestyle modification—defined as purposeful changes in diet, physical activity, stress regulation, and sleep hygiene—has emerged as a cost-effective, sustainable approach to managing non-communicable diseases, including pregnancy-related complications. Empirical evidence underscores that interventions such as regular moderate exercise, balanced nutrition, and stress reduction can significantly lower the incidence and severity of hypertension and improve thyroid function. However, awareness of these preventive measures among pregnant women remains suboptimal, particularly in rural and underserved communities, where socio-cultural barriers, limited health literacy, and inadequate antenatal </w:t>
      </w:r>
      <w:proofErr w:type="spellStart"/>
      <w:r w:rsidRPr="00406EE8">
        <w:rPr>
          <w:rFonts w:ascii="Times New Roman" w:hAnsi="Times New Roman" w:cs="Times New Roman"/>
        </w:rPr>
        <w:t>counseling</w:t>
      </w:r>
      <w:proofErr w:type="spellEnd"/>
      <w:r w:rsidRPr="00406EE8">
        <w:rPr>
          <w:rFonts w:ascii="Times New Roman" w:hAnsi="Times New Roman" w:cs="Times New Roman"/>
        </w:rPr>
        <w:t xml:space="preserve"> hinder adoption. This gap necessitates targeted interventions that educate and empower women to take an active role in managing their health.</w:t>
      </w:r>
    </w:p>
    <w:p w14:paraId="29AD9015" w14:textId="77777777" w:rsidR="00406EE8" w:rsidRPr="00406EE8" w:rsidRDefault="00406EE8" w:rsidP="00406EE8">
      <w:pPr>
        <w:spacing w:line="360" w:lineRule="auto"/>
        <w:jc w:val="both"/>
        <w:rPr>
          <w:rFonts w:ascii="Times New Roman" w:hAnsi="Times New Roman" w:cs="Times New Roman"/>
        </w:rPr>
      </w:pPr>
      <w:r w:rsidRPr="00406EE8">
        <w:rPr>
          <w:rFonts w:ascii="Times New Roman" w:hAnsi="Times New Roman" w:cs="Times New Roman"/>
        </w:rPr>
        <w:lastRenderedPageBreak/>
        <w:t xml:space="preserve">The present study, conducted in selected urban and semi-urban healthcare facilities in India, was designed to evaluate the impact of structured lifestyle modification interventions on the prevention and management of thyroid dysfunction and hypertension among pregnant women. Adopting a quasi-experimental pre-test and post-test design, the research involved participants aged 18–45 years who were registered for antenatal care, across all trimesters, and at risk of or diagnosed with thyroid dysfunction and/or hypertension. Women with significant comorbidities such as diabetes, renal disease, or cardiovascular disorders were excluded to ensure that outcomes could be attributed primarily to the intervention. The intervention group received structured educational sessions covering dietary guidelines, exercise demonstrations, and stress management techniques, while the control group received routine antenatal care without additional </w:t>
      </w:r>
      <w:proofErr w:type="spellStart"/>
      <w:r w:rsidRPr="00406EE8">
        <w:rPr>
          <w:rFonts w:ascii="Times New Roman" w:hAnsi="Times New Roman" w:cs="Times New Roman"/>
        </w:rPr>
        <w:t>counseling</w:t>
      </w:r>
      <w:proofErr w:type="spellEnd"/>
      <w:r w:rsidRPr="00406EE8">
        <w:rPr>
          <w:rFonts w:ascii="Times New Roman" w:hAnsi="Times New Roman" w:cs="Times New Roman"/>
        </w:rPr>
        <w:t>. Baseline and post-intervention assessments included measurements of awareness, lifestyle practices, blood pressure, and biochemical markers (TSH, T3, T4), as well as feedback from participants.</w:t>
      </w:r>
    </w:p>
    <w:p w14:paraId="027D50F8" w14:textId="77777777" w:rsidR="00406EE8" w:rsidRPr="00406EE8" w:rsidRDefault="00406EE8" w:rsidP="00406EE8">
      <w:pPr>
        <w:spacing w:line="360" w:lineRule="auto"/>
        <w:jc w:val="both"/>
        <w:rPr>
          <w:rFonts w:ascii="Times New Roman" w:hAnsi="Times New Roman" w:cs="Times New Roman"/>
        </w:rPr>
      </w:pPr>
      <w:r w:rsidRPr="00406EE8">
        <w:rPr>
          <w:rFonts w:ascii="Times New Roman" w:hAnsi="Times New Roman" w:cs="Times New Roman"/>
        </w:rPr>
        <w:t xml:space="preserve">The educational module was designed to address the specific cultural and socio-economic contexts of the participants. Dietary recommendations emphasized balanced, nutrient-rich foods including fruits, vegetables, whole grains, and iodine-rich sources, while minimizing excess salt and processed food consumption. Physical activity guidance included safe, pregnancy-appropriate exercises such as walking and prenatal yoga, with emphasis on regularity and moderation. Stress management strategies focused on breathing exercises, relaxation techniques, and sleep hygiene. To ensure retention and application of knowledge, participants received repeated reinforcement through follow-up visits, printed materials, and one-on-one </w:t>
      </w:r>
      <w:proofErr w:type="spellStart"/>
      <w:r w:rsidRPr="00406EE8">
        <w:rPr>
          <w:rFonts w:ascii="Times New Roman" w:hAnsi="Times New Roman" w:cs="Times New Roman"/>
        </w:rPr>
        <w:t>counseling</w:t>
      </w:r>
      <w:proofErr w:type="spellEnd"/>
      <w:r w:rsidRPr="00406EE8">
        <w:rPr>
          <w:rFonts w:ascii="Times New Roman" w:hAnsi="Times New Roman" w:cs="Times New Roman"/>
        </w:rPr>
        <w:t xml:space="preserve"> during antenatal check-ups. The study also incorporated mechanisms to monitor adherence, including self-reported logs and periodic verification during visits.</w:t>
      </w:r>
    </w:p>
    <w:p w14:paraId="1C97FDAE" w14:textId="77777777" w:rsidR="00406EE8" w:rsidRPr="00406EE8" w:rsidRDefault="00406EE8" w:rsidP="00406EE8">
      <w:pPr>
        <w:spacing w:line="360" w:lineRule="auto"/>
        <w:jc w:val="both"/>
        <w:rPr>
          <w:rFonts w:ascii="Times New Roman" w:hAnsi="Times New Roman" w:cs="Times New Roman"/>
        </w:rPr>
      </w:pPr>
      <w:r w:rsidRPr="00406EE8">
        <w:rPr>
          <w:rFonts w:ascii="Times New Roman" w:hAnsi="Times New Roman" w:cs="Times New Roman"/>
        </w:rPr>
        <w:t xml:space="preserve">Data analysis employed descriptive and inferential statistics, including paired t-tests, McNemar’s test, Wilcoxon signed-rank test, and correlation analyses to examine the relationship between awareness levels, demographic variables, and clinical outcomes. Pre-intervention findings revealed that a substantial proportion of participants lacked adequate knowledge regarding the symptoms, risks, and preventive measures for thyroid dysfunction and hypertension. Awareness scores were particularly low among women with lower educational attainment, lower socio-economic status, and those residing in extended family structures with limited decision-making autonomy. </w:t>
      </w:r>
      <w:r w:rsidRPr="00406EE8">
        <w:rPr>
          <w:rFonts w:ascii="Times New Roman" w:hAnsi="Times New Roman" w:cs="Times New Roman"/>
        </w:rPr>
        <w:lastRenderedPageBreak/>
        <w:t xml:space="preserve">Lifestyle practices prior to intervention were often suboptimal, characterized by sedentary </w:t>
      </w:r>
      <w:proofErr w:type="spellStart"/>
      <w:r w:rsidRPr="00406EE8">
        <w:rPr>
          <w:rFonts w:ascii="Times New Roman" w:hAnsi="Times New Roman" w:cs="Times New Roman"/>
        </w:rPr>
        <w:t>behavior</w:t>
      </w:r>
      <w:proofErr w:type="spellEnd"/>
      <w:r w:rsidRPr="00406EE8">
        <w:rPr>
          <w:rFonts w:ascii="Times New Roman" w:hAnsi="Times New Roman" w:cs="Times New Roman"/>
        </w:rPr>
        <w:t>, irregular meal patterns, low intake of micronutrient-rich foods, and inadequate rest.</w:t>
      </w:r>
    </w:p>
    <w:p w14:paraId="0DEBCFE9" w14:textId="77777777" w:rsidR="00406EE8" w:rsidRPr="00406EE8" w:rsidRDefault="00406EE8" w:rsidP="00406EE8">
      <w:pPr>
        <w:spacing w:line="360" w:lineRule="auto"/>
        <w:jc w:val="both"/>
        <w:rPr>
          <w:rFonts w:ascii="Times New Roman" w:hAnsi="Times New Roman" w:cs="Times New Roman"/>
        </w:rPr>
      </w:pPr>
      <w:r w:rsidRPr="00406EE8">
        <w:rPr>
          <w:rFonts w:ascii="Times New Roman" w:hAnsi="Times New Roman" w:cs="Times New Roman"/>
        </w:rPr>
        <w:t xml:space="preserve">Post-intervention results demonstrated a statistically significant improvement in awareness scores across all demographic groups, with the greatest gains observed among women with previously low baseline knowledge. Adoption of recommended lifestyle practices increased markedly, with more participants reporting regular physical activity, adherence to balanced diets, and use of stress management techniques. Clinically, the intervention group exhibited notable improvements in blood pressure control, with reductions in both systolic and diastolic values, and more stable thyroid hormone profiles, as evidenced by normalization of TSH levels in a subset of participants. There was also a decrease in the proportion of women requiring initiation or dosage escalation of antihypertensive or thyroid medication. These findings support the hypothesis that lifestyle education can have a measurable impact not only on knowledge and self-reported </w:t>
      </w:r>
      <w:proofErr w:type="spellStart"/>
      <w:r w:rsidRPr="00406EE8">
        <w:rPr>
          <w:rFonts w:ascii="Times New Roman" w:hAnsi="Times New Roman" w:cs="Times New Roman"/>
        </w:rPr>
        <w:t>behaviors</w:t>
      </w:r>
      <w:proofErr w:type="spellEnd"/>
      <w:r w:rsidRPr="00406EE8">
        <w:rPr>
          <w:rFonts w:ascii="Times New Roman" w:hAnsi="Times New Roman" w:cs="Times New Roman"/>
        </w:rPr>
        <w:t xml:space="preserve"> but also on physiological health indicators.</w:t>
      </w:r>
    </w:p>
    <w:p w14:paraId="2A93E401" w14:textId="77777777" w:rsidR="00406EE8" w:rsidRPr="00406EE8" w:rsidRDefault="00406EE8" w:rsidP="00406EE8">
      <w:pPr>
        <w:spacing w:line="360" w:lineRule="auto"/>
        <w:jc w:val="both"/>
        <w:rPr>
          <w:rFonts w:ascii="Times New Roman" w:hAnsi="Times New Roman" w:cs="Times New Roman"/>
        </w:rPr>
      </w:pPr>
      <w:r w:rsidRPr="00406EE8">
        <w:rPr>
          <w:rFonts w:ascii="Times New Roman" w:hAnsi="Times New Roman" w:cs="Times New Roman"/>
        </w:rPr>
        <w:t xml:space="preserve">Participant feedback indicated high levels of satisfaction with the intervention, with many women expressing increased confidence in managing their health during pregnancy and reporting a greater sense of empowerment in making dietary and activity-related decisions. The cultural tailoring of the program, use of simple language, visual aids, and inclusion of family members in </w:t>
      </w:r>
      <w:proofErr w:type="spellStart"/>
      <w:r w:rsidRPr="00406EE8">
        <w:rPr>
          <w:rFonts w:ascii="Times New Roman" w:hAnsi="Times New Roman" w:cs="Times New Roman"/>
        </w:rPr>
        <w:t>counseling</w:t>
      </w:r>
      <w:proofErr w:type="spellEnd"/>
      <w:r w:rsidRPr="00406EE8">
        <w:rPr>
          <w:rFonts w:ascii="Times New Roman" w:hAnsi="Times New Roman" w:cs="Times New Roman"/>
        </w:rPr>
        <w:t xml:space="preserve"> sessions were cited as factors that enhanced understanding and acceptance. The study also identified certain barriers to full adherence, including time constraints due to household responsibilities, limited access to fresh produce in some areas, and persistent cultural beliefs that discouraged physical activity during pregnancy.</w:t>
      </w:r>
    </w:p>
    <w:p w14:paraId="069EC359" w14:textId="77777777" w:rsidR="00406EE8" w:rsidRPr="00406EE8" w:rsidRDefault="00406EE8" w:rsidP="00406EE8">
      <w:pPr>
        <w:spacing w:line="360" w:lineRule="auto"/>
        <w:jc w:val="both"/>
        <w:rPr>
          <w:rFonts w:ascii="Times New Roman" w:hAnsi="Times New Roman" w:cs="Times New Roman"/>
        </w:rPr>
      </w:pPr>
      <w:r w:rsidRPr="00406EE8">
        <w:rPr>
          <w:rFonts w:ascii="Times New Roman" w:hAnsi="Times New Roman" w:cs="Times New Roman"/>
        </w:rPr>
        <w:t xml:space="preserve">This research carries important implications for clinical practice, public health policy, and future research. Clinically, it underscores the value of incorporating structured lifestyle education into routine antenatal care as a complement to medical management, potentially reducing the need for pharmacological intervention in some cases. Public health-wise, it aligns with national initiatives such as POSHAN Abhiyaan and Janani Suraksha Yojana, offering a scalable model for integrating </w:t>
      </w:r>
      <w:proofErr w:type="spellStart"/>
      <w:r w:rsidRPr="00406EE8">
        <w:rPr>
          <w:rFonts w:ascii="Times New Roman" w:hAnsi="Times New Roman" w:cs="Times New Roman"/>
        </w:rPr>
        <w:t>behavior</w:t>
      </w:r>
      <w:proofErr w:type="spellEnd"/>
      <w:r w:rsidRPr="00406EE8">
        <w:rPr>
          <w:rFonts w:ascii="Times New Roman" w:hAnsi="Times New Roman" w:cs="Times New Roman"/>
        </w:rPr>
        <w:t xml:space="preserve"> change communication into maternal health programs. For policymakers, the findings suggest that low-cost, culturally sensitive interventions can yield substantial health benefits and </w:t>
      </w:r>
      <w:r w:rsidRPr="00406EE8">
        <w:rPr>
          <w:rFonts w:ascii="Times New Roman" w:hAnsi="Times New Roman" w:cs="Times New Roman"/>
        </w:rPr>
        <w:lastRenderedPageBreak/>
        <w:t>should be prioritized in resource allocation and program design. From a research perspective, the study highlights the need for long-term follow-up to assess postpartum outcomes, adherence sustainability, and intergenerational health effects.</w:t>
      </w:r>
    </w:p>
    <w:p w14:paraId="13B8DDAA" w14:textId="77777777" w:rsidR="00406EE8" w:rsidRDefault="00406EE8" w:rsidP="00406EE8">
      <w:pPr>
        <w:spacing w:line="360" w:lineRule="auto"/>
        <w:jc w:val="both"/>
        <w:rPr>
          <w:rFonts w:ascii="Times New Roman" w:hAnsi="Times New Roman" w:cs="Times New Roman"/>
        </w:rPr>
      </w:pPr>
      <w:r w:rsidRPr="00406EE8">
        <w:rPr>
          <w:rFonts w:ascii="Times New Roman" w:hAnsi="Times New Roman" w:cs="Times New Roman"/>
        </w:rPr>
        <w:t xml:space="preserve">In conclusion, thyroid dysfunction and hypertensive disorders during pregnancy present a significant public health challenge, with potential consequences extending beyond the perinatal period. This study demonstrates that lifestyle modification interventions—when tailored to the socio-cultural context and delivered through structured, accessible educational modules—can significantly enhance awareness, promote healthy </w:t>
      </w:r>
      <w:proofErr w:type="spellStart"/>
      <w:r w:rsidRPr="00406EE8">
        <w:rPr>
          <w:rFonts w:ascii="Times New Roman" w:hAnsi="Times New Roman" w:cs="Times New Roman"/>
        </w:rPr>
        <w:t>behaviors</w:t>
      </w:r>
      <w:proofErr w:type="spellEnd"/>
      <w:r w:rsidRPr="00406EE8">
        <w:rPr>
          <w:rFonts w:ascii="Times New Roman" w:hAnsi="Times New Roman" w:cs="Times New Roman"/>
        </w:rPr>
        <w:t xml:space="preserve">, and improve clinical outcomes among pregnant women. The evidence generated provides a strong case for scaling up such interventions as part of integrated antenatal care strategies in India and similar settings. By bridging the gap between clinical evidence and community-level practice, this approach offers a practical, cost-effective pathway to reducing preventable maternal and </w:t>
      </w:r>
      <w:proofErr w:type="spellStart"/>
      <w:r w:rsidRPr="00406EE8">
        <w:rPr>
          <w:rFonts w:ascii="Times New Roman" w:hAnsi="Times New Roman" w:cs="Times New Roman"/>
        </w:rPr>
        <w:t>fetal</w:t>
      </w:r>
      <w:proofErr w:type="spellEnd"/>
      <w:r w:rsidRPr="00406EE8">
        <w:rPr>
          <w:rFonts w:ascii="Times New Roman" w:hAnsi="Times New Roman" w:cs="Times New Roman"/>
        </w:rPr>
        <w:t xml:space="preserve"> complications, thereby contributing to the broader goals of maternal health improvement and sustainable development.</w:t>
      </w:r>
    </w:p>
    <w:p w14:paraId="690FF135" w14:textId="3673565D" w:rsidR="00406EE8" w:rsidRDefault="00406EE8" w:rsidP="00406EE8">
      <w:pPr>
        <w:spacing w:line="360" w:lineRule="auto"/>
        <w:jc w:val="both"/>
        <w:rPr>
          <w:rFonts w:ascii="Times New Roman" w:hAnsi="Times New Roman" w:cs="Times New Roman"/>
        </w:rPr>
      </w:pPr>
      <w:r w:rsidRPr="00406EE8">
        <w:rPr>
          <w:rFonts w:ascii="Times New Roman" w:hAnsi="Times New Roman" w:cs="Times New Roman"/>
          <w:b/>
          <w:bCs/>
        </w:rPr>
        <w:t>Keywords:</w:t>
      </w:r>
      <w:r>
        <w:rPr>
          <w:rFonts w:ascii="Times New Roman" w:hAnsi="Times New Roman" w:cs="Times New Roman"/>
        </w:rPr>
        <w:t xml:space="preserve"> </w:t>
      </w:r>
      <w:r w:rsidRPr="00406EE8">
        <w:rPr>
          <w:rFonts w:ascii="Times New Roman" w:hAnsi="Times New Roman" w:cs="Times New Roman"/>
        </w:rPr>
        <w:t xml:space="preserve">Lifestyle Modification; Thyroid Dysfunction; Hypertensive Disorders of Pregnancy; Maternal Health </w:t>
      </w:r>
      <w:proofErr w:type="spellStart"/>
      <w:r w:rsidRPr="00406EE8">
        <w:rPr>
          <w:rFonts w:ascii="Times New Roman" w:hAnsi="Times New Roman" w:cs="Times New Roman"/>
        </w:rPr>
        <w:t>Educationl</w:t>
      </w:r>
      <w:proofErr w:type="spellEnd"/>
      <w:r w:rsidRPr="00406EE8">
        <w:rPr>
          <w:rFonts w:ascii="Times New Roman" w:hAnsi="Times New Roman" w:cs="Times New Roman"/>
        </w:rPr>
        <w:t xml:space="preserve"> Antenatal Care</w:t>
      </w:r>
      <w:r>
        <w:rPr>
          <w:rFonts w:ascii="Times New Roman" w:hAnsi="Times New Roman" w:cs="Times New Roman"/>
        </w:rPr>
        <w:t>.</w:t>
      </w:r>
    </w:p>
    <w:p w14:paraId="7EE4D53E" w14:textId="77777777" w:rsidR="00406EE8" w:rsidRDefault="00406EE8" w:rsidP="00406EE8">
      <w:pPr>
        <w:spacing w:line="360" w:lineRule="auto"/>
        <w:jc w:val="both"/>
        <w:rPr>
          <w:rFonts w:ascii="Times New Roman" w:hAnsi="Times New Roman" w:cs="Times New Roman"/>
        </w:rPr>
      </w:pPr>
    </w:p>
    <w:p w14:paraId="3D6F3B29" w14:textId="77777777" w:rsidR="00406EE8" w:rsidRDefault="00406EE8" w:rsidP="00406EE8">
      <w:pPr>
        <w:spacing w:line="360" w:lineRule="auto"/>
        <w:jc w:val="both"/>
        <w:rPr>
          <w:rFonts w:ascii="Times New Roman" w:hAnsi="Times New Roman" w:cs="Times New Roman"/>
        </w:rPr>
      </w:pPr>
    </w:p>
    <w:p w14:paraId="2459A371" w14:textId="77777777" w:rsidR="00406EE8" w:rsidRDefault="00406EE8" w:rsidP="00406EE8">
      <w:pPr>
        <w:spacing w:line="360" w:lineRule="auto"/>
        <w:jc w:val="both"/>
        <w:rPr>
          <w:rFonts w:ascii="Times New Roman" w:hAnsi="Times New Roman" w:cs="Times New Roman"/>
        </w:rPr>
      </w:pPr>
    </w:p>
    <w:p w14:paraId="34156EC3" w14:textId="77777777" w:rsidR="00406EE8" w:rsidRDefault="00406EE8" w:rsidP="00406EE8">
      <w:pPr>
        <w:spacing w:line="360" w:lineRule="auto"/>
        <w:jc w:val="both"/>
        <w:rPr>
          <w:rFonts w:ascii="Times New Roman" w:hAnsi="Times New Roman" w:cs="Times New Roman"/>
        </w:rPr>
      </w:pPr>
    </w:p>
    <w:p w14:paraId="7F366320" w14:textId="77777777" w:rsidR="00406EE8" w:rsidRDefault="00406EE8" w:rsidP="00406EE8">
      <w:pPr>
        <w:spacing w:line="360" w:lineRule="auto"/>
        <w:jc w:val="both"/>
        <w:rPr>
          <w:rFonts w:ascii="Times New Roman" w:hAnsi="Times New Roman" w:cs="Times New Roman"/>
        </w:rPr>
      </w:pPr>
    </w:p>
    <w:p w14:paraId="777C7432" w14:textId="77777777" w:rsidR="00406EE8" w:rsidRDefault="00406EE8" w:rsidP="00406EE8">
      <w:pPr>
        <w:spacing w:line="360" w:lineRule="auto"/>
        <w:jc w:val="both"/>
        <w:rPr>
          <w:rFonts w:ascii="Times New Roman" w:hAnsi="Times New Roman" w:cs="Times New Roman"/>
        </w:rPr>
      </w:pPr>
    </w:p>
    <w:p w14:paraId="38543C13" w14:textId="77777777" w:rsidR="00406EE8" w:rsidRDefault="00406EE8" w:rsidP="00406EE8">
      <w:pPr>
        <w:spacing w:line="360" w:lineRule="auto"/>
        <w:jc w:val="both"/>
        <w:rPr>
          <w:rFonts w:ascii="Times New Roman" w:hAnsi="Times New Roman" w:cs="Times New Roman"/>
        </w:rPr>
      </w:pPr>
    </w:p>
    <w:p w14:paraId="718D1E24" w14:textId="77777777" w:rsidR="00406EE8" w:rsidRDefault="00406EE8" w:rsidP="00406EE8">
      <w:pPr>
        <w:spacing w:line="360" w:lineRule="auto"/>
        <w:jc w:val="both"/>
        <w:rPr>
          <w:rFonts w:ascii="Times New Roman" w:hAnsi="Times New Roman" w:cs="Times New Roman"/>
        </w:rPr>
      </w:pPr>
    </w:p>
    <w:p w14:paraId="65A2904C" w14:textId="77777777" w:rsidR="00406EE8" w:rsidRPr="00406EE8" w:rsidRDefault="00406EE8" w:rsidP="00406EE8">
      <w:pPr>
        <w:spacing w:line="360" w:lineRule="auto"/>
        <w:jc w:val="both"/>
        <w:rPr>
          <w:rFonts w:ascii="Times New Roman" w:hAnsi="Times New Roman" w:cs="Times New Roman"/>
        </w:rPr>
      </w:pPr>
    </w:p>
    <w:p w14:paraId="185ABC68" w14:textId="23A5674E" w:rsidR="00406EE8" w:rsidRDefault="00406EE8" w:rsidP="00406EE8">
      <w:pPr>
        <w:spacing w:line="360" w:lineRule="auto"/>
        <w:jc w:val="both"/>
        <w:rPr>
          <w:rFonts w:ascii="Times New Roman" w:hAnsi="Times New Roman" w:cs="Times New Roman"/>
        </w:rPr>
      </w:pPr>
    </w:p>
    <w:p w14:paraId="089A9284" w14:textId="77777777" w:rsidR="00D96AD7" w:rsidRDefault="00D96AD7" w:rsidP="00406EE8">
      <w:pPr>
        <w:spacing w:line="360" w:lineRule="auto"/>
        <w:jc w:val="both"/>
        <w:rPr>
          <w:rFonts w:ascii="Times New Roman" w:hAnsi="Times New Roman" w:cs="Times New Roman"/>
        </w:rPr>
      </w:pPr>
    </w:p>
    <w:p w14:paraId="53D9E27C" w14:textId="77777777" w:rsidR="00D96AD7" w:rsidRPr="00D96AD7" w:rsidRDefault="00D96AD7" w:rsidP="00D96AD7">
      <w:pPr>
        <w:spacing w:line="360" w:lineRule="auto"/>
        <w:jc w:val="center"/>
        <w:rPr>
          <w:rFonts w:ascii="Times New Roman" w:hAnsi="Times New Roman" w:cs="Times New Roman"/>
          <w:b/>
          <w:bCs/>
          <w:sz w:val="28"/>
          <w:szCs w:val="28"/>
        </w:rPr>
      </w:pPr>
      <w:r w:rsidRPr="00D96AD7">
        <w:rPr>
          <w:rFonts w:ascii="Times New Roman" w:hAnsi="Times New Roman" w:cs="Times New Roman"/>
          <w:b/>
          <w:bCs/>
          <w:sz w:val="28"/>
          <w:szCs w:val="28"/>
        </w:rPr>
        <w:lastRenderedPageBreak/>
        <w:t>List of Abbreviations</w:t>
      </w:r>
    </w:p>
    <w:p w14:paraId="68D29552"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ACOG</w:t>
      </w:r>
      <w:r w:rsidRPr="00D96AD7">
        <w:rPr>
          <w:rFonts w:ascii="Times New Roman" w:hAnsi="Times New Roman" w:cs="Times New Roman"/>
        </w:rPr>
        <w:t xml:space="preserve"> – American College of Obstetricians and </w:t>
      </w:r>
      <w:proofErr w:type="spellStart"/>
      <w:r w:rsidRPr="00D96AD7">
        <w:rPr>
          <w:rFonts w:ascii="Times New Roman" w:hAnsi="Times New Roman" w:cs="Times New Roman"/>
        </w:rPr>
        <w:t>Gynecologists</w:t>
      </w:r>
      <w:proofErr w:type="spellEnd"/>
    </w:p>
    <w:p w14:paraId="71B768AA"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BCC</w:t>
      </w:r>
      <w:r w:rsidRPr="00D96AD7">
        <w:rPr>
          <w:rFonts w:ascii="Times New Roman" w:hAnsi="Times New Roman" w:cs="Times New Roman"/>
        </w:rPr>
        <w:t xml:space="preserve"> – </w:t>
      </w:r>
      <w:proofErr w:type="spellStart"/>
      <w:r w:rsidRPr="00D96AD7">
        <w:rPr>
          <w:rFonts w:ascii="Times New Roman" w:hAnsi="Times New Roman" w:cs="Times New Roman"/>
        </w:rPr>
        <w:t>Behavior</w:t>
      </w:r>
      <w:proofErr w:type="spellEnd"/>
      <w:r w:rsidRPr="00D96AD7">
        <w:rPr>
          <w:rFonts w:ascii="Times New Roman" w:hAnsi="Times New Roman" w:cs="Times New Roman"/>
        </w:rPr>
        <w:t xml:space="preserve"> Change Communication</w:t>
      </w:r>
    </w:p>
    <w:p w14:paraId="243747F5"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BP</w:t>
      </w:r>
      <w:r w:rsidRPr="00D96AD7">
        <w:rPr>
          <w:rFonts w:ascii="Times New Roman" w:hAnsi="Times New Roman" w:cs="Times New Roman"/>
        </w:rPr>
        <w:t xml:space="preserve"> – Blood Pressure</w:t>
      </w:r>
    </w:p>
    <w:p w14:paraId="77D041C4"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BPD</w:t>
      </w:r>
      <w:r w:rsidRPr="00D96AD7">
        <w:rPr>
          <w:rFonts w:ascii="Times New Roman" w:hAnsi="Times New Roman" w:cs="Times New Roman"/>
        </w:rPr>
        <w:t xml:space="preserve"> – Bronchopulmonary Dysplasia</w:t>
      </w:r>
    </w:p>
    <w:p w14:paraId="0B77EC26"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CH</w:t>
      </w:r>
      <w:r w:rsidRPr="00D96AD7">
        <w:rPr>
          <w:rFonts w:ascii="Times New Roman" w:hAnsi="Times New Roman" w:cs="Times New Roman"/>
        </w:rPr>
        <w:t xml:space="preserve"> – Congenital Hypothyroidism</w:t>
      </w:r>
    </w:p>
    <w:p w14:paraId="12AB2FAB"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CHIPS</w:t>
      </w:r>
      <w:r w:rsidRPr="00D96AD7">
        <w:rPr>
          <w:rFonts w:ascii="Times New Roman" w:hAnsi="Times New Roman" w:cs="Times New Roman"/>
        </w:rPr>
        <w:t xml:space="preserve"> – Control of Hypertension in Pregnancy Study</w:t>
      </w:r>
    </w:p>
    <w:p w14:paraId="4C507FFF"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DBP</w:t>
      </w:r>
      <w:r w:rsidRPr="00D96AD7">
        <w:rPr>
          <w:rFonts w:ascii="Times New Roman" w:hAnsi="Times New Roman" w:cs="Times New Roman"/>
        </w:rPr>
        <w:t xml:space="preserve"> – Diastolic Blood Pressure</w:t>
      </w:r>
    </w:p>
    <w:p w14:paraId="474B416A"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EMR</w:t>
      </w:r>
      <w:r w:rsidRPr="00D96AD7">
        <w:rPr>
          <w:rFonts w:ascii="Times New Roman" w:hAnsi="Times New Roman" w:cs="Times New Roman"/>
        </w:rPr>
        <w:t xml:space="preserve"> – Electronic Medical Records</w:t>
      </w:r>
    </w:p>
    <w:p w14:paraId="2D1948F0"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FIGO</w:t>
      </w:r>
      <w:r w:rsidRPr="00D96AD7">
        <w:rPr>
          <w:rFonts w:ascii="Times New Roman" w:hAnsi="Times New Roman" w:cs="Times New Roman"/>
        </w:rPr>
        <w:t xml:space="preserve"> – International Federation of </w:t>
      </w:r>
      <w:proofErr w:type="spellStart"/>
      <w:r w:rsidRPr="00D96AD7">
        <w:rPr>
          <w:rFonts w:ascii="Times New Roman" w:hAnsi="Times New Roman" w:cs="Times New Roman"/>
        </w:rPr>
        <w:t>Gynecology</w:t>
      </w:r>
      <w:proofErr w:type="spellEnd"/>
      <w:r w:rsidRPr="00D96AD7">
        <w:rPr>
          <w:rFonts w:ascii="Times New Roman" w:hAnsi="Times New Roman" w:cs="Times New Roman"/>
        </w:rPr>
        <w:t xml:space="preserve"> and Obstetrics</w:t>
      </w:r>
    </w:p>
    <w:p w14:paraId="3E0FF954"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HDP</w:t>
      </w:r>
      <w:r w:rsidRPr="00D96AD7">
        <w:rPr>
          <w:rFonts w:ascii="Times New Roman" w:hAnsi="Times New Roman" w:cs="Times New Roman"/>
        </w:rPr>
        <w:t xml:space="preserve"> – Hypertensive Disorders of Pregnancy</w:t>
      </w:r>
    </w:p>
    <w:p w14:paraId="05DCD2B4"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HRT</w:t>
      </w:r>
      <w:r w:rsidRPr="00D96AD7">
        <w:rPr>
          <w:rFonts w:ascii="Times New Roman" w:hAnsi="Times New Roman" w:cs="Times New Roman"/>
        </w:rPr>
        <w:t xml:space="preserve"> – Hormone Replacement Therapy</w:t>
      </w:r>
    </w:p>
    <w:p w14:paraId="038BE5F0"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HT</w:t>
      </w:r>
      <w:r w:rsidRPr="00D96AD7">
        <w:rPr>
          <w:rFonts w:ascii="Times New Roman" w:hAnsi="Times New Roman" w:cs="Times New Roman"/>
        </w:rPr>
        <w:t xml:space="preserve"> – Hypothyroidism</w:t>
      </w:r>
    </w:p>
    <w:p w14:paraId="2900D18D"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HTN</w:t>
      </w:r>
      <w:r w:rsidRPr="00D96AD7">
        <w:rPr>
          <w:rFonts w:ascii="Times New Roman" w:hAnsi="Times New Roman" w:cs="Times New Roman"/>
        </w:rPr>
        <w:t xml:space="preserve"> – Hypertension</w:t>
      </w:r>
    </w:p>
    <w:p w14:paraId="1F73CBE4"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IUGR</w:t>
      </w:r>
      <w:r w:rsidRPr="00D96AD7">
        <w:rPr>
          <w:rFonts w:ascii="Times New Roman" w:hAnsi="Times New Roman" w:cs="Times New Roman"/>
        </w:rPr>
        <w:t xml:space="preserve"> – Intrauterine Growth Restriction</w:t>
      </w:r>
    </w:p>
    <w:p w14:paraId="3861B01D"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LMICs</w:t>
      </w:r>
      <w:r w:rsidRPr="00D96AD7">
        <w:rPr>
          <w:rFonts w:ascii="Times New Roman" w:hAnsi="Times New Roman" w:cs="Times New Roman"/>
        </w:rPr>
        <w:t xml:space="preserve"> – Low- and Middle-Income Countries</w:t>
      </w:r>
    </w:p>
    <w:p w14:paraId="16AE0A8D"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LARC</w:t>
      </w:r>
      <w:r w:rsidRPr="00D96AD7">
        <w:rPr>
          <w:rFonts w:ascii="Times New Roman" w:hAnsi="Times New Roman" w:cs="Times New Roman"/>
        </w:rPr>
        <w:t xml:space="preserve"> – Long-Acting Reversible Contraception</w:t>
      </w:r>
    </w:p>
    <w:p w14:paraId="2DD777AD"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MD</w:t>
      </w:r>
      <w:r w:rsidRPr="00D96AD7">
        <w:rPr>
          <w:rFonts w:ascii="Times New Roman" w:hAnsi="Times New Roman" w:cs="Times New Roman"/>
        </w:rPr>
        <w:t xml:space="preserve"> – Major Depression</w:t>
      </w:r>
    </w:p>
    <w:p w14:paraId="3E16E105"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MP</w:t>
      </w:r>
      <w:r w:rsidRPr="00D96AD7">
        <w:rPr>
          <w:rFonts w:ascii="Times New Roman" w:hAnsi="Times New Roman" w:cs="Times New Roman"/>
        </w:rPr>
        <w:t xml:space="preserve"> – Multiple Pregnancies</w:t>
      </w:r>
    </w:p>
    <w:p w14:paraId="0EC34700"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NCD</w:t>
      </w:r>
      <w:r w:rsidRPr="00D96AD7">
        <w:rPr>
          <w:rFonts w:ascii="Times New Roman" w:hAnsi="Times New Roman" w:cs="Times New Roman"/>
        </w:rPr>
        <w:t xml:space="preserve"> – Non-Communicable Disease</w:t>
      </w:r>
    </w:p>
    <w:p w14:paraId="748777BB"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PIH</w:t>
      </w:r>
      <w:r w:rsidRPr="00D96AD7">
        <w:rPr>
          <w:rFonts w:ascii="Times New Roman" w:hAnsi="Times New Roman" w:cs="Times New Roman"/>
        </w:rPr>
        <w:t xml:space="preserve"> – Pregnancy-Induced Hypertension</w:t>
      </w:r>
    </w:p>
    <w:p w14:paraId="0C092BA3"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POSHAN</w:t>
      </w:r>
      <w:r w:rsidRPr="00D96AD7">
        <w:rPr>
          <w:rFonts w:ascii="Times New Roman" w:hAnsi="Times New Roman" w:cs="Times New Roman"/>
        </w:rPr>
        <w:t xml:space="preserve"> – Prime Minister’s Overarching Scheme for Holistic Nourishment (Abhiyaan)</w:t>
      </w:r>
    </w:p>
    <w:p w14:paraId="56DBB281"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PPD</w:t>
      </w:r>
      <w:r w:rsidRPr="00D96AD7">
        <w:rPr>
          <w:rFonts w:ascii="Times New Roman" w:hAnsi="Times New Roman" w:cs="Times New Roman"/>
        </w:rPr>
        <w:t xml:space="preserve"> – Postpartum Depression</w:t>
      </w:r>
    </w:p>
    <w:p w14:paraId="455BD1BC"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lastRenderedPageBreak/>
        <w:t>PPA</w:t>
      </w:r>
      <w:r w:rsidRPr="00D96AD7">
        <w:rPr>
          <w:rFonts w:ascii="Times New Roman" w:hAnsi="Times New Roman" w:cs="Times New Roman"/>
        </w:rPr>
        <w:t xml:space="preserve"> – Postpartum Anxiety</w:t>
      </w:r>
    </w:p>
    <w:p w14:paraId="6E89EF16"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PRISMA</w:t>
      </w:r>
      <w:r w:rsidRPr="00D96AD7">
        <w:rPr>
          <w:rFonts w:ascii="Times New Roman" w:hAnsi="Times New Roman" w:cs="Times New Roman"/>
        </w:rPr>
        <w:t xml:space="preserve"> – Preferred Reporting Items for Systematic Reviews and Meta-Analyses</w:t>
      </w:r>
    </w:p>
    <w:p w14:paraId="3CA61E5F"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PTSD</w:t>
      </w:r>
      <w:r w:rsidRPr="00D96AD7">
        <w:rPr>
          <w:rFonts w:ascii="Times New Roman" w:hAnsi="Times New Roman" w:cs="Times New Roman"/>
        </w:rPr>
        <w:t xml:space="preserve"> – Post-Traumatic Stress Disorder</w:t>
      </w:r>
    </w:p>
    <w:p w14:paraId="4BE7F442"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RCT</w:t>
      </w:r>
      <w:r w:rsidRPr="00D96AD7">
        <w:rPr>
          <w:rFonts w:ascii="Times New Roman" w:hAnsi="Times New Roman" w:cs="Times New Roman"/>
        </w:rPr>
        <w:t xml:space="preserve"> – Randomized Controlled Trial</w:t>
      </w:r>
    </w:p>
    <w:p w14:paraId="1C926856"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RBC</w:t>
      </w:r>
      <w:r w:rsidRPr="00D96AD7">
        <w:rPr>
          <w:rFonts w:ascii="Times New Roman" w:hAnsi="Times New Roman" w:cs="Times New Roman"/>
        </w:rPr>
        <w:t xml:space="preserve"> – Red Blood Cell</w:t>
      </w:r>
    </w:p>
    <w:p w14:paraId="37B97559"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SBP</w:t>
      </w:r>
      <w:r w:rsidRPr="00D96AD7">
        <w:rPr>
          <w:rFonts w:ascii="Times New Roman" w:hAnsi="Times New Roman" w:cs="Times New Roman"/>
        </w:rPr>
        <w:t xml:space="preserve"> – Systolic Blood Pressure</w:t>
      </w:r>
    </w:p>
    <w:p w14:paraId="60D7A375"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SD</w:t>
      </w:r>
      <w:r w:rsidRPr="00D96AD7">
        <w:rPr>
          <w:rFonts w:ascii="Times New Roman" w:hAnsi="Times New Roman" w:cs="Times New Roman"/>
        </w:rPr>
        <w:t xml:space="preserve"> – Standard Deviation</w:t>
      </w:r>
    </w:p>
    <w:p w14:paraId="4BA6AE53"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TH</w:t>
      </w:r>
      <w:r w:rsidRPr="00D96AD7">
        <w:rPr>
          <w:rFonts w:ascii="Times New Roman" w:hAnsi="Times New Roman" w:cs="Times New Roman"/>
        </w:rPr>
        <w:t xml:space="preserve"> – Thyroid Hormones</w:t>
      </w:r>
    </w:p>
    <w:p w14:paraId="547A726E"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TRAb</w:t>
      </w:r>
      <w:r w:rsidRPr="00D96AD7">
        <w:rPr>
          <w:rFonts w:ascii="Times New Roman" w:hAnsi="Times New Roman" w:cs="Times New Roman"/>
        </w:rPr>
        <w:t xml:space="preserve"> – Thyrotropin Receptor Antibody</w:t>
      </w:r>
    </w:p>
    <w:p w14:paraId="7884BC5A"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TSH</w:t>
      </w:r>
      <w:r w:rsidRPr="00D96AD7">
        <w:rPr>
          <w:rFonts w:ascii="Times New Roman" w:hAnsi="Times New Roman" w:cs="Times New Roman"/>
        </w:rPr>
        <w:t xml:space="preserve"> – Thyroid-Stimulating Hormone</w:t>
      </w:r>
    </w:p>
    <w:p w14:paraId="173AB319"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USA</w:t>
      </w:r>
      <w:r w:rsidRPr="00D96AD7">
        <w:rPr>
          <w:rFonts w:ascii="Times New Roman" w:hAnsi="Times New Roman" w:cs="Times New Roman"/>
        </w:rPr>
        <w:t xml:space="preserve"> – United States of America</w:t>
      </w:r>
    </w:p>
    <w:p w14:paraId="41F576DC"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WHO</w:t>
      </w:r>
      <w:r w:rsidRPr="00D96AD7">
        <w:rPr>
          <w:rFonts w:ascii="Times New Roman" w:hAnsi="Times New Roman" w:cs="Times New Roman"/>
        </w:rPr>
        <w:t xml:space="preserve"> – World Health Organization</w:t>
      </w:r>
    </w:p>
    <w:p w14:paraId="00DDB948"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YMCA</w:t>
      </w:r>
      <w:r w:rsidRPr="00D96AD7">
        <w:rPr>
          <w:rFonts w:ascii="Times New Roman" w:hAnsi="Times New Roman" w:cs="Times New Roman"/>
        </w:rPr>
        <w:t xml:space="preserve"> – Young Men’s Christian Association (mentioned in exercise context)</w:t>
      </w:r>
    </w:p>
    <w:p w14:paraId="5519AD16"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VLBW</w:t>
      </w:r>
      <w:r w:rsidRPr="00D96AD7">
        <w:rPr>
          <w:rFonts w:ascii="Times New Roman" w:hAnsi="Times New Roman" w:cs="Times New Roman"/>
        </w:rPr>
        <w:t xml:space="preserve"> – Very Low Birth Weight</w:t>
      </w:r>
    </w:p>
    <w:p w14:paraId="55120C18"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LBW</w:t>
      </w:r>
      <w:r w:rsidRPr="00D96AD7">
        <w:rPr>
          <w:rFonts w:ascii="Times New Roman" w:hAnsi="Times New Roman" w:cs="Times New Roman"/>
        </w:rPr>
        <w:t xml:space="preserve"> – Low Birth Weight</w:t>
      </w:r>
    </w:p>
    <w:p w14:paraId="3066D7A0" w14:textId="77777777" w:rsidR="00D96AD7" w:rsidRPr="00D96AD7" w:rsidRDefault="00D96AD7" w:rsidP="00D96AD7">
      <w:pPr>
        <w:spacing w:line="360" w:lineRule="auto"/>
        <w:jc w:val="both"/>
        <w:rPr>
          <w:rFonts w:ascii="Times New Roman" w:hAnsi="Times New Roman" w:cs="Times New Roman"/>
        </w:rPr>
      </w:pPr>
      <w:r w:rsidRPr="00D96AD7">
        <w:rPr>
          <w:rFonts w:ascii="Times New Roman" w:hAnsi="Times New Roman" w:cs="Times New Roman"/>
          <w:b/>
          <w:bCs/>
        </w:rPr>
        <w:t>NICU</w:t>
      </w:r>
      <w:r w:rsidRPr="00D96AD7">
        <w:rPr>
          <w:rFonts w:ascii="Times New Roman" w:hAnsi="Times New Roman" w:cs="Times New Roman"/>
        </w:rPr>
        <w:t xml:space="preserve"> – Neonatal Intensive Care Unit</w:t>
      </w:r>
    </w:p>
    <w:p w14:paraId="178EA4E6" w14:textId="77777777" w:rsidR="00D96AD7" w:rsidRPr="00406EE8" w:rsidRDefault="00D96AD7" w:rsidP="00406EE8">
      <w:pPr>
        <w:spacing w:line="360" w:lineRule="auto"/>
        <w:jc w:val="both"/>
        <w:rPr>
          <w:rFonts w:ascii="Times New Roman" w:hAnsi="Times New Roman" w:cs="Times New Roman"/>
        </w:rPr>
      </w:pPr>
    </w:p>
    <w:p w14:paraId="264053BC" w14:textId="77777777" w:rsidR="00EF0802" w:rsidRDefault="00EF0802" w:rsidP="00406EE8">
      <w:pPr>
        <w:spacing w:line="360" w:lineRule="auto"/>
        <w:rPr>
          <w:rFonts w:ascii="Times New Roman" w:hAnsi="Times New Roman" w:cs="Times New Roman"/>
          <w:b/>
          <w:bCs/>
          <w:sz w:val="28"/>
          <w:szCs w:val="28"/>
        </w:rPr>
      </w:pPr>
    </w:p>
    <w:p w14:paraId="68E4EBDC" w14:textId="77777777" w:rsidR="00D96AD7" w:rsidRDefault="00D96AD7" w:rsidP="00D96AD7">
      <w:pPr>
        <w:spacing w:line="360" w:lineRule="auto"/>
        <w:jc w:val="center"/>
        <w:rPr>
          <w:rFonts w:ascii="Times New Roman" w:hAnsi="Times New Roman" w:cs="Times New Roman"/>
          <w:b/>
          <w:bCs/>
          <w:sz w:val="28"/>
          <w:szCs w:val="28"/>
        </w:rPr>
      </w:pPr>
    </w:p>
    <w:p w14:paraId="7A893514" w14:textId="77777777" w:rsidR="00D96AD7" w:rsidRDefault="00D96AD7" w:rsidP="00D96AD7">
      <w:pPr>
        <w:spacing w:line="360" w:lineRule="auto"/>
        <w:jc w:val="center"/>
        <w:rPr>
          <w:rFonts w:ascii="Times New Roman" w:hAnsi="Times New Roman" w:cs="Times New Roman"/>
          <w:b/>
          <w:bCs/>
          <w:sz w:val="28"/>
          <w:szCs w:val="28"/>
        </w:rPr>
      </w:pPr>
    </w:p>
    <w:p w14:paraId="59A1B000" w14:textId="77777777" w:rsidR="00D96AD7" w:rsidRDefault="00D96AD7" w:rsidP="00D96AD7">
      <w:pPr>
        <w:spacing w:line="360" w:lineRule="auto"/>
        <w:jc w:val="center"/>
        <w:rPr>
          <w:rFonts w:ascii="Times New Roman" w:hAnsi="Times New Roman" w:cs="Times New Roman"/>
          <w:b/>
          <w:bCs/>
          <w:sz w:val="28"/>
          <w:szCs w:val="28"/>
        </w:rPr>
      </w:pPr>
    </w:p>
    <w:p w14:paraId="65B7915D" w14:textId="77777777" w:rsidR="00D96AD7" w:rsidRDefault="00D96AD7" w:rsidP="00D96AD7">
      <w:pPr>
        <w:spacing w:line="360" w:lineRule="auto"/>
        <w:jc w:val="center"/>
        <w:rPr>
          <w:rFonts w:ascii="Times New Roman" w:hAnsi="Times New Roman" w:cs="Times New Roman"/>
          <w:b/>
          <w:bCs/>
          <w:sz w:val="28"/>
          <w:szCs w:val="28"/>
        </w:rPr>
      </w:pPr>
    </w:p>
    <w:p w14:paraId="00ACE0C0" w14:textId="77777777" w:rsidR="00D96AD7" w:rsidRDefault="00D96AD7" w:rsidP="00D96AD7">
      <w:pPr>
        <w:spacing w:line="360" w:lineRule="auto"/>
        <w:jc w:val="center"/>
        <w:rPr>
          <w:rFonts w:ascii="Times New Roman" w:hAnsi="Times New Roman" w:cs="Times New Roman"/>
          <w:b/>
          <w:bCs/>
          <w:sz w:val="28"/>
          <w:szCs w:val="28"/>
        </w:rPr>
      </w:pPr>
    </w:p>
    <w:p w14:paraId="4462E0C9" w14:textId="77777777" w:rsidR="00D96AD7" w:rsidRDefault="00D96AD7" w:rsidP="00D96AD7">
      <w:pPr>
        <w:spacing w:line="360" w:lineRule="auto"/>
        <w:jc w:val="center"/>
        <w:rPr>
          <w:rFonts w:ascii="Times New Roman" w:hAnsi="Times New Roman" w:cs="Times New Roman"/>
          <w:b/>
          <w:bCs/>
          <w:sz w:val="28"/>
          <w:szCs w:val="28"/>
        </w:rPr>
      </w:pPr>
    </w:p>
    <w:p w14:paraId="3DE66977" w14:textId="16A49E8A" w:rsidR="000D701E" w:rsidRPr="00D81433" w:rsidRDefault="00B66DB4" w:rsidP="00D96AD7">
      <w:pPr>
        <w:spacing w:line="360" w:lineRule="auto"/>
        <w:jc w:val="center"/>
        <w:rPr>
          <w:rFonts w:ascii="Times New Roman" w:hAnsi="Times New Roman" w:cs="Times New Roman"/>
          <w:b/>
          <w:bCs/>
          <w:sz w:val="28"/>
          <w:szCs w:val="28"/>
        </w:rPr>
      </w:pPr>
      <w:r w:rsidRPr="00D81433">
        <w:rPr>
          <w:rFonts w:ascii="Times New Roman" w:hAnsi="Times New Roman" w:cs="Times New Roman"/>
          <w:b/>
          <w:bCs/>
          <w:sz w:val="28"/>
          <w:szCs w:val="28"/>
        </w:rPr>
        <w:lastRenderedPageBreak/>
        <w:t>Chapter 1</w:t>
      </w:r>
    </w:p>
    <w:p w14:paraId="167F371F" w14:textId="4B68BD37" w:rsidR="00B66DB4" w:rsidRPr="00D81433" w:rsidRDefault="00B66DB4" w:rsidP="00EF0802">
      <w:pPr>
        <w:spacing w:line="360" w:lineRule="auto"/>
        <w:jc w:val="center"/>
        <w:rPr>
          <w:rFonts w:ascii="Times New Roman" w:hAnsi="Times New Roman" w:cs="Times New Roman"/>
          <w:b/>
          <w:bCs/>
          <w:sz w:val="28"/>
          <w:szCs w:val="28"/>
        </w:rPr>
      </w:pPr>
      <w:r w:rsidRPr="00D81433">
        <w:rPr>
          <w:rFonts w:ascii="Times New Roman" w:hAnsi="Times New Roman" w:cs="Times New Roman"/>
          <w:b/>
          <w:bCs/>
          <w:sz w:val="28"/>
          <w:szCs w:val="28"/>
        </w:rPr>
        <w:t>Introduction</w:t>
      </w:r>
    </w:p>
    <w:p w14:paraId="3F9CB243" w14:textId="0C2FCFA9" w:rsidR="004E073D" w:rsidRPr="00952CD4" w:rsidRDefault="004E073D" w:rsidP="00EF0802">
      <w:pPr>
        <w:spacing w:line="360" w:lineRule="auto"/>
        <w:jc w:val="both"/>
        <w:rPr>
          <w:rFonts w:ascii="Times New Roman" w:hAnsi="Times New Roman" w:cs="Times New Roman"/>
        </w:rPr>
      </w:pPr>
    </w:p>
    <w:p w14:paraId="796F7992" w14:textId="77777777" w:rsidR="004E073D" w:rsidRPr="00952CD4" w:rsidRDefault="004E073D" w:rsidP="00EF0802">
      <w:pPr>
        <w:spacing w:line="360" w:lineRule="auto"/>
        <w:jc w:val="both"/>
        <w:rPr>
          <w:rFonts w:ascii="Times New Roman" w:hAnsi="Times New Roman" w:cs="Times New Roman"/>
          <w:b/>
          <w:bCs/>
        </w:rPr>
      </w:pPr>
      <w:r w:rsidRPr="00952CD4">
        <w:rPr>
          <w:rFonts w:ascii="Times New Roman" w:hAnsi="Times New Roman" w:cs="Times New Roman"/>
          <w:b/>
          <w:bCs/>
        </w:rPr>
        <w:t>1.1 General Introduction</w:t>
      </w:r>
    </w:p>
    <w:p w14:paraId="4497CFF3" w14:textId="65A22D01" w:rsidR="004E073D" w:rsidRPr="00087C6B" w:rsidRDefault="004E073D" w:rsidP="00EF0802">
      <w:pPr>
        <w:spacing w:line="360" w:lineRule="auto"/>
        <w:jc w:val="both"/>
        <w:rPr>
          <w:rFonts w:ascii="Times New Roman" w:hAnsi="Times New Roman" w:cs="Times New Roman"/>
        </w:rPr>
      </w:pPr>
      <w:r w:rsidRPr="00952CD4">
        <w:rPr>
          <w:rFonts w:ascii="Times New Roman" w:hAnsi="Times New Roman" w:cs="Times New Roman"/>
        </w:rPr>
        <w:t>Pregnancy is a biologically complex and emotionally profound phase that transforms every aspect of a woman’s life</w:t>
      </w:r>
      <w:r w:rsidR="005E429F">
        <w:rPr>
          <w:rFonts w:ascii="Times New Roman" w:hAnsi="Times New Roman" w:cs="Times New Roman"/>
        </w:rPr>
        <w:t xml:space="preserve">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{"citationItems":[{"id":"ITEM-1","itemData":{"DOI":"10.3109/13697137.2015.1129166","ISSN":"14730804","PMID":"26872610","abstract":"The International Menopause Society (IMS) has produced these new 2016 recommendations on womens midlife health and menopause hormone therapy (MHT) to help guide health-care professionals in optimizing their management of women in the menopause transition and beyond. The term MHT has been used to cover therapies including estrogens, progestogens and combined regimens. For the first time, the 2016 IMS recommendations now include grades of recommendations, levels of evidence and 'good practice points', in addition to section-specific references. Where possible, the recommendations are based on and linked to the evidence that supports them, unless good-quality evidence is absent. Particular attention has been paid to published evidence from 2013 onwards, the last time the IMS recommendations were updated. Databases have been extensively searched for relevant publications using key terms specific to each specialist area within menopause physiology and medicine. Information has also been drawn from international consensus statements published by bodies such as the IMS, the European Menopause and Andropause Society and the North American Menopause Society. The recommendations have been produced by experts derived mainly from the IMS, with the assistance of key collaborators where deemed advantageous. In preparing these international recommendations, experts have taken into account geographical variations in medical care, prevalence of diseases, and country-specific attitudes of the public, medical community and health authorities towards menopause management. The variation in availability and licensing of MHT and other products has also been considered.","author":[{"dropping-particle":"","family":"Baber","given":"R. J.","non-dropping-particle":"","parse-names":false,"suffix":""},{"dropping-particle":"","family":"Panay","given":"N.","non-dropping-particle":"","parse-names":false,"suffix":""},{"dropping-particle":"","family":"Fenton","given":"A.","non-dropping-particle":"","parse-names":false,"suffix":""}],"container-title":"Climacteric","id":"ITEM-1","issue":"2","issued":{"date-parts":[["2016"]]},"page":"109-150","title":"2016 IMS Recommendations on womens midlife health and menopause hormone therapy","type":"article-journal","volume":"19"},"uris":["http://www.mendeley.com/documents/?uuid=2f8e29f7-4550-457f-8b47-bd83881dc163"]},{"id":"ITEM-2","itemData":{"DOI":"10.1161/HYP.0000000000000066","ISBN":"0000000000000","ISSN":"15244563","PMID":"29133354","author":[{"dropping-particle":"","family":"Whelton","given":"Paul K.","non-dropping-particle":"","parse-names":false,"suffix":""},{"dropping-particle":"","family":"Carey","given":"Robert M.","non-dropping-particle":"","parse-names":false,"suffix":""},{"dropping-particle":"","family":"Aronow","given":"Wilbert S.","non-dropping-particle":"","parse-names":false,"suffix":""},{"dropping-particle":"","family":"Casey","given":"Donald E.","non-dropping-particle":"","parse-names":false,"suffix":""},{"dropping-particle":"","family":"Collins","given":"Karen J.","non-dropping-particle":"","parse-names":false,"suffix":""},{"dropping-particle":"","family":"Himmelfarb","given":"Cheryl Dennison","non-dropping-particle":"","parse-names":false,"suffix":""},{"dropping-particle":"","family":"DePalma","given":"Sondra M.","non-dropping-particle":"","parse-names":false,"suffix":""},{"dropping-particle":"","family":"Gidding","given":"Samuel","non-dropping-particle":"","parse-names":false,"suffix":""},{"dropping-particle":"","family":"Jamerson","given":"Kenneth A.","non-dropping-particle":"","parse-names":false,"suffix":""},{"dropping-particle":"","family":"Jones","given":"Daniel W.","non-dropping-particle":"","parse-names":false,"suffix":""},{"dropping-particle":"","family":"MacLaughlin","given":"Eric J.","non-dropping-particle":"","parse-names":false,"suffix":""},{"dropping-particle":"","family":"Muntner","given":"Paul","non-dropping-particle":"","parse-names":false,"suffix":""},{"dropping-particle":"","family":"Ovbiagele","given":"Bruce","non-dropping-particle":"","parse-names":false,"suffix":""},{"dropping-particle":"","family":"Smith","given":"Sidney C.","non-dropping-particle":"","parse-names":false,"suffix":""},{"dropping-particle":"","family":"Spencer","given":"Crystal C.","non-dropping-particle":"","parse-names":false,"suffix":""},{"dropping-particle":"","family":"Stafford","given":"Randall S.","non-dropping-particle":"","parse-names":false,"suffix":""},{"dropping-particle":"","family":"Taler","given":"Sandra J.","non-dropping-particle":"","parse-names":false,"suffix":""},{"dropping-particle":"","family":"Thomas","given":"Randal J.","non-dropping-particle":"","parse-names":false,"suffix":""},{"dropping-particle":"","family":"Williams","given":"Kim A.","non-dropping-particle":"","parse-names":false,"suffix":""},{"dropping-particle":"","family":"Williamson","given":"Jeff D.","non-dropping-particle":"","parse-names":false,"suffix":""},{"dropping-particle":"","family":"Wright","given":"Jackson T.","non-dropping-particle":"","parse-names":false,"suffix":""}],"container-title":"Hypertension","id":"ITEM-2","issue":"6","issued":{"date-parts":[["2018"]]},"number-of-pages":"1269-1324","title":"2017 ACC/AHA/AAPA/ABC/ACPM/AGS/APhA/ASH/ ASPC/NMA/PCNA guideline for the prevention, detection, evaluation, and management of high blood pressure in adults: Executive summary: A report of the American college of cardiology/American Heart Association task ","type":"book","volume":"71"},"uris":["http://www.mendeley.com/documents/?uuid=06bcc15c-be8f-4748-8f08-ac3aa3a9c464"]}],"mendeley":{"formattedCitation":"(Baber et al., 2016; Whelton et al., 2018)","plainTextFormattedCitation":"(Baber et al., 2016; Whelton et al., 2018)","previouslyFormattedCitation":"(Baber et al., 2016; Whelton et al., 2018)"},"properties":{"noteIndex":0},"schema":"https://github.com/citation-style-language/schema/raw/master/csl-citation.json"}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(Baber et al., 2016; Whelton et al., 2018)</w:t>
      </w:r>
      <w:r w:rsidR="005E429F">
        <w:rPr>
          <w:rFonts w:ascii="Times New Roman" w:hAnsi="Times New Roman" w:cs="Times New Roman"/>
        </w:rPr>
        <w:fldChar w:fldCharType="end"/>
      </w:r>
      <w:r w:rsidRPr="00952CD4">
        <w:rPr>
          <w:rFonts w:ascii="Times New Roman" w:hAnsi="Times New Roman" w:cs="Times New Roman"/>
        </w:rPr>
        <w:t xml:space="preserve">. This physiological journey involves substantial hormonal and metabolic changes that support </w:t>
      </w:r>
      <w:proofErr w:type="spellStart"/>
      <w:r w:rsidRPr="00087C6B">
        <w:rPr>
          <w:rFonts w:ascii="Times New Roman" w:hAnsi="Times New Roman" w:cs="Times New Roman"/>
        </w:rPr>
        <w:t>fetal</w:t>
      </w:r>
      <w:proofErr w:type="spellEnd"/>
      <w:r w:rsidRPr="00087C6B">
        <w:rPr>
          <w:rFonts w:ascii="Times New Roman" w:hAnsi="Times New Roman" w:cs="Times New Roman"/>
        </w:rPr>
        <w:t xml:space="preserve"> development but simultaneously increase the mother’s vulnerability to various health conditions. Among the most significant and commonly reported complications during pregnancy are hypertensive disorders and thyroid dysfunction. These conditions, if unmanaged, can lead to severe maternal and </w:t>
      </w:r>
      <w:proofErr w:type="spellStart"/>
      <w:r w:rsidRPr="00087C6B">
        <w:rPr>
          <w:rFonts w:ascii="Times New Roman" w:hAnsi="Times New Roman" w:cs="Times New Roman"/>
        </w:rPr>
        <w:t>fetal</w:t>
      </w:r>
      <w:proofErr w:type="spellEnd"/>
      <w:r w:rsidRPr="00087C6B">
        <w:rPr>
          <w:rFonts w:ascii="Times New Roman" w:hAnsi="Times New Roman" w:cs="Times New Roman"/>
        </w:rPr>
        <w:t xml:space="preserve"> consequences, including preterm </w:t>
      </w:r>
      <w:proofErr w:type="spellStart"/>
      <w:r w:rsidRPr="00087C6B">
        <w:rPr>
          <w:rFonts w:ascii="Times New Roman" w:hAnsi="Times New Roman" w:cs="Times New Roman"/>
        </w:rPr>
        <w:t>labor</w:t>
      </w:r>
      <w:proofErr w:type="spellEnd"/>
      <w:r w:rsidRPr="00087C6B">
        <w:rPr>
          <w:rFonts w:ascii="Times New Roman" w:hAnsi="Times New Roman" w:cs="Times New Roman"/>
        </w:rPr>
        <w:t xml:space="preserve">, intrauterine growth retardation, and perinatal mortality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{"citationItems":[{"id":"ITEM-1","itemData":{"DOI":"10.1097/HJH.0000000000001961","ISBN":"0000000000","ISSN":"14735598","PMID":"30379783","abstract":"Blood pressure, epidemiology and risk. Globally, over 1 billion people have hypertension. As populations age and adopt more sedentary lifestyles, the worldwide prevalence of hypertension will continue to rise towards 1.5 billion by 2025. Elevated blood pressure (BP) is the leading global contributor to premature death, accounting for almost 10 million deaths in 2015, 4.9 million due to ischaemic heart disease and 3.5 million due to stroke. Hypertension is also a major risk factor for heart failure, atrial fibrillation, chronic kidney disease (CKD), peripheral artery disease (PAD) and cognitive decline. 2. Definition of hypertension. The classification of BP and the definition of hypertension is unchanged from previous European guidelines, and is defined as an office SBP at least 140 mmHg and/or DBP at least 90 mmHg, which is equivalent to a 24-h ABPM average of at least 130/80 mmHg, or a home blood pressure monitoring (HBPM) average at least 135/ 85 mmHg. 3. Screening and diagnosis of hypertension. Hypertension is usually asymptomatic (hence the term 'silent killer'). Because of its high prevalence, screening programmes should be established to ensure that BP is measured in all adults, at least every 5 years and more frequently in people with a high-normal BP. When hypertension is suspected because of an elevated screening BP, the diagnosis of hypertension should be confirmed either by repeated office BP measurements, over a number of visits, or by out-of-office BP measurement using 24-h ABPM or by HBPM. 4. The importance of cardiovascular risk assessment and detection of HMOD. Other cardiovascular risk factors such as dyslipidaemia and metabolic syndrome frequently cluster with hypertension. Thus, unless the patient is already at high or very high risk due to established CVD, formal cardiovascular risk assessment is recommended using the SCORE system. It is important to recognize, however, that the presence of HMOD, especially left ventricular hypertrophy (LVH), chronic kidney disease (CKD) or advanced retinopathy, further increases the risk of cardiovascular morbidity and mortality, and should be screened for as part of risk assessment in hypertensive patients because the SCORE system alone may underestimate their risk. 5. Think - could this patient have secondary hypertension? For most people with hypertension, no underlying cause will be detected. Secondary (and potentially remediable) causes of hypertension are more likely to be present in people w…","author":[{"dropping-particle":"","family":"Williams","given":"Bryan","non-dropping-particle":"","parse-names":false,"suffix":""},{"dropping-particle":"","family":"Mancia","given":"Giuseppe","non-dropping-particle":"","parse-names":false,"suffix":""},{"dropping-particle":"","family":"Spiering","given":"Wilko","non-dropping-particle":"","parse-names":false,"suffix":""},{"dropping-particle":"","family":"Rosei","given":"Enrico Agabiti","non-dropping-particle":"","parse-names":false,"suffix":""},{"dropping-particle":"","family":"Azizi","given":"Michel","non-dropping-particle":"","parse-names":false,"suffix":""},{"dropping-particle":"","family":"Burnier","given":"Michel","non-dropping-particle":"","parse-names":false,"suffix":""},{"dropping-particle":"","family":"Clement","given":"Denis","non-dropping-particle":"","parse-names":false,"suffix":""},{"dropping-particle":"","family":"Coca","given":"Antonio","non-dropping-particle":"","parse-names":false,"suffix":""},{"dropping-particle":"","family":"Simone","given":"Giovanni","non-dropping-particle":"De","parse-names":false,"suffix":""},{"dropping-particle":"","family":"Dominiczak","given":"Anna","non-dropping-particle":"","parse-names":false,"suffix":""},{"dropping-particle":"","family":"Kahan","given":"Thomas","non-dropping-particle":"","parse-names":false,"suffix":""},{"dropping-particle":"","family":"Mahfoud","given":"Felix","non-dropping-particle":"","parse-names":false,"suffix":""},{"dropping-particle":"","family":"Redon","given":"Josep","non-dropping-particle":"","parse-names":false,"suffix":""},{"dropping-particle":"","family":"Ruilope","given":"Luis","non-dropping-particle":"","parse-names":false,"suffix":""},{"dropping-particle":"","family":"Zanchetti","given":"Alberto","non-dropping-particle":"","parse-names":false,"suffix":""},{"dropping-particle":"","family":"Kerins","given":"Mary","non-dropping-particle":"","parse-names":false,"suffix":""},{"dropping-particle":"","family":"Kjeldsen","given":"Sverre","non-dropping-particle":"","parse-names":false,"suffix":""},{"dropping-particle":"","family":"Kreutz","given":"Reinhold","non-dropping-particle":"","parse-names":false,"suffix":""},{"dropping-particle":"","family":"Laurent","given":"Stephane","non-dropping-particle":"","parse-names":false,"suffix":""},{"dropping-particle":"","family":"Lip","given":"Gregory Y.H.","non-dropping-particle":"","parse-names":false,"suffix":""},{"dropping-particle":"","family":"McManus","given":"Richard","non-dropping-particle":"","parse-names":false,"suffix":""},{"dropping-particle":"","family":"Narkiewicz","given":"Krzysztof","non-dropping-particle":"","parse-names":false,"suffix":""},{"dropping-particle":"","family":"Ruschitzka","given":"Frank","non-dropping-particle":"","parse-names":false,"suffix":""},{"dropping-particle":"","family":"Schmieder","given":"Roland","non-dropping-particle":"","parse-names":false,"suffix":""},{"dropping-particle":"","family":"Shlyakhto","given":"Evgeny","non-dropping-particle":"","parse-names":false,"suffix":""},{"dropping-particle":"","family":"Tsioufis","given":"Konstantinos","non-dropping-particle":"","parse-names":false,"suffix":""},{"dropping-particle":"","family":"Aboyans","given":"Victor","non-dropping-particle":"","parse-names":false,"suffix":""},{"dropping-particle":"","family":"Desormais","given":"Ileana","non-dropping-particle":"","parse-names":false,"suffix":""}],"container-title":"Journal of Hypertension","id":"ITEM-1","issue":"12","issued":{"date-parts":[["2018"]]},"page":"2284-2309","title":"2018 practice guidelines for the management of arterial hypertension of the European society of cardiology and the European society of hypertension ESC/ESH task force for the management of arterial hypertension","type":"article-journal","volume":"36"},"uris":["http://www.mendeley.com/documents/?uuid=e26f7a10-ff94-487c-80b6-8dff8933229f"]},{"id":"ITEM-2","itemData":{"DOI":"10.1161/HYPERTENSIONAHA.117.09175","ISSN":"15244563","PMID":"28416584","abstract":"Cytochrome P450 1B1 protects against angiotensin II (Ang II)-induced hypertension and associated cardiovascular changes in female mice, most likely via production of 2-methoxyestradiol. This study was conducted to determine whether 2-methoxyestradiol ameliorates Ang II-induced hypertension, renal dysfunction, and end-organ damage in intact Cyp1b1-/-, ovariectomized female, and Cyp1b1 +/+ male mice. Ang II or vehicle was infused for 2 weeks and administered concurrently with 2-methoxyestradiol. Mice were placed in metabolic cages on day 12 of Ang II infusion for urine collection for 24 hours. 2-Methoxyestradiol reduced Ang II-induced increases in systolic blood pressure, water consumption, urine output, and proteinuria in intact female Cyp1b1-/-and ovariectomized mice. 2-Methoxyestradiol also reduced Ang II-induced increase in blood pressure, water intake, urine output, and proteinuria in Cyp1b1 +/+ male mice. Treatment with 2-methoxyestradiol attenuated Ang II-induced end-organ damage in intact Cyp1b1-/-and ovariectomized Cyp1b1 +/+ and Cyp1b1-/-female mice and Cyp1b1 +/+ male mice. 2-Methoxyestradiol mitigated Ang II-induced increase in urinary excretion of angiotensinogen in intact Cyp1b1-/-and ovariectomized Cyp1b1 +/+ and Cyp1b1-/-female mice but not in Cyp1b1 +/+ male mice. The G protein-coupled estrogen receptor 1 antagonist G-15 failed to alter Ang II-induced increases in blood pressure and renal function in Cyp1b1 +/+ female mice. These data suggest that 2-methoxyestradiol reduces Ang II-induced hypertension and associated end-organ damage in intact Cyp1b1-/-, ovariectomized Cyp1b1 +/+ and Cyp1b1-/-female mice, and Cyp1b1 +/+ male mice independent of G protein-coupled estrogen receptor 1. Therefore, 2-methoxyestradiol could serve as a therapeutic agent for treating hypertension and associated pathogenesis in postmenopausal females, and in males.","author":[{"dropping-particle":"","family":"Pingili","given":"Ajeeth K.","non-dropping-particle":"","parse-names":false,"suffix":""},{"dropping-particle":"","family":"Davidge","given":"Karen N.","non-dropping-particle":"","parse-names":false,"suffix":""},{"dropping-particle":"","family":"Thirunavukkarasu","given":"Shyamala","non-dropping-particle":"","parse-names":false,"suffix":""},{"dropping-particle":"","family":"Khan","given":"Nayaab S.","non-dropping-particle":"","parse-names":false,"suffix":""},{"dropping-particle":"","family":"Katsurada","given":"Akemi","non-dropping-particle":"","parse-names":false,"suffix":""},{"dropping-particle":"","family":"Majid","given":"Dewan S.A.","non-dropping-particle":"","parse-names":false,"suffix":""},{"dropping-particle":"","family":"Gonzalez","given":"Frank J.","non-dropping-particle":"","parse-names":false,"suffix":""},{"dropping-particle":"","family":"Navar","given":"L. Gabriel","non-dropping-particle":"","parse-names":false,"suffix":""},{"dropping-particle":"","family":"Malik","given":"Kafait U.","non-dropping-particle":"","parse-names":false,"suffix":""}],"container-title":"Hypertension","id":"ITEM-2","issue":"6","issued":{"date-parts":[["2017"]]},"page":"1104-1112","title":"2-Methoxyestradiol Reduces Angiotensin II-Induced Hypertension and Renal Dysfunction in Ovariectomized Female and Intact Male Mice","type":"article-journal","volume":"69"},"uris":["http://www.mendeley.com/documents/?uuid=44e2cfd7-8d11-4b5f-a327-67c351160add"]}],"mendeley":{"formattedCitation":"(Pingili et al., 2017; Williams et al., 2018)","plainTextFormattedCitation":"(Pingili et al., 2017; Williams et al., 2018)","previouslyFormattedCitation":"(Pingili et al., 2017; Williams et al., 2018)"},"properties":{"noteIndex":0},"schema":"https://github.com/citation-style-language/schema/raw/master/csl-citation.json"}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(Pingili et al., 2017; Williams et al., 2018)</w:t>
      </w:r>
      <w:r w:rsidR="005E429F">
        <w:rPr>
          <w:rFonts w:ascii="Times New Roman" w:hAnsi="Times New Roman" w:cs="Times New Roman"/>
        </w:rPr>
        <w:fldChar w:fldCharType="end"/>
      </w:r>
      <w:r w:rsidRPr="00087C6B">
        <w:rPr>
          <w:rFonts w:ascii="Times New Roman" w:hAnsi="Times New Roman" w:cs="Times New Roman"/>
        </w:rPr>
        <w:t>.</w:t>
      </w:r>
    </w:p>
    <w:p w14:paraId="0F116523" w14:textId="379385E7" w:rsidR="004E073D" w:rsidRPr="00087C6B" w:rsidRDefault="004E073D" w:rsidP="00EF0802">
      <w:pPr>
        <w:spacing w:line="360" w:lineRule="auto"/>
        <w:jc w:val="both"/>
        <w:rPr>
          <w:rFonts w:ascii="Times New Roman" w:hAnsi="Times New Roman" w:cs="Times New Roman"/>
        </w:rPr>
      </w:pPr>
      <w:r w:rsidRPr="00087C6B">
        <w:rPr>
          <w:rFonts w:ascii="Times New Roman" w:hAnsi="Times New Roman" w:cs="Times New Roman"/>
        </w:rPr>
        <w:t xml:space="preserve">Hypertension during pregnancy affects approximately 10% of all pregnancies worldwide, making it a leading cause of maternal mortality and perinatal morbidity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{"citationItems":[{"id":"ITEM-1","itemData":{"DOI":"10.1056/nejm199704173361601","ISSN":"0028-4793","PMID":"9099655","abstract":"Background: It is known that obesity, sodium intake, and alcohol consumption influence blood pressure. In this clinical trial, Dietary Approaches to Stop Hypertension, we assessed the effects of dietary patterns on blood pressure. Methods: We enrolled 459 adults with systolic blood pressures of less than 160 mm Hg and diastolic blood pressures of 80 to 95 mm Hg. For three weeks, the subjects were fed a control diet that was low in fruits, vegetables, and dairy products, with a fat content typical of the average diet in the United States. They were then randomly assigned to receive for eight weeks the control diet, a diet rich in fruits and vegetables, or a 'combination' diet rich in fruits, vegetables, and low-fat dairy products and with reduced saturated and total fat. Sodium intake and body weight were maintained at constant levels. Results: At base line, the mean (±SD) systolic and diastolic blood pressures were 131.3±10.8 mm Hg and 84.7±4.7 mm Hg, respectively. The combination diet reduced systolic and diastolic blood pressure by 5.5 and 3.0 mm Hg more, respectively, than the control diet (P&lt;0.001 for each); the fruits-and-vegetables diet reduced systolic blood pressure by 2.8 mm Hg more (P&lt;0.001) and diastolic blood pressure by 1.1 mm Hg more (P=0.07) than the control diet. Among the 133 subjects with hypertension (systolic pressure, ≤140 mm Hg; diastolic pressure, ≤90 mm Hg; or both), the combination diet reduced systolic and diastolic blood pressure by 11.4 and 5.5 mm Hg more, respectively, than the control diet (P&lt;0.001 for each); among the 326 subjects without hypertension, the corresponding reductions were 3.5 mm Hg (P&lt;0.001) and 2.1 mm Hg (P=0.003). Conclusions: A diet rich in fruits, vegetables, and low-fat dairy foods and with reduced saturated and total fat can substantially lower blood pressure. This diet offers an additional nutritional approach to preventing and treating hypertension.","author":[{"dropping-particle":"","family":"Appel","given":"Lawrence J.","non-dropping-particle":"","parse-names":false,"suffix":""},{"dropping-particle":"","family":"Moore","given":"Thomas J.","non-dropping-particle":"","parse-names":false,"suffix":""},{"dropping-particle":"","family":"Obarzanek","given":"Eva","non-dropping-particle":"","parse-names":false,"suffix":""},{"dropping-particle":"","family":"Vollmer","given":"William M.","non-dropping-particle":"","parse-names":false,"suffix":""},{"dropping-particle":"","family":"Svetkey","given":"Laura P.","non-dropping-particle":"","parse-names":false,"suffix":""},{"dropping-particle":"","family":"Sacks","given":"Frank M.","non-dropping-particle":"","parse-names":false,"suffix":""},{"dropping-particle":"","family":"Bray","given":"George A.","non-dropping-particle":"","parse-names":false,"suffix":""},{"dropping-particle":"","family":"Vogt","given":"Thomas M.","non-dropping-particle":"","parse-names":false,"suffix":""},{"dropping-particle":"","family":"Cutler","given":"Jeffrey A.","non-dropping-particle":"","parse-names":false,"suffix":""},{"dropping-particle":"","family":"Windhauser","given":"Marlene M.","non-dropping-particle":"","parse-names":false,"suffix":""},{"dropping-particle":"","family":"Lin","given":"Pao-Hwa","non-dropping-particle":"","parse-names":false,"suffix":""},{"dropping-particle":"","family":"Karanja","given":"Njeri","non-dropping-particle":"","parse-names":false,"suffix":""},{"dropping-particle":"","family":"Simons-Morton","given":"Denise","non-dropping-particle":"","parse-names":false,"suffix":""},{"dropping-particle":"","family":"McCullough","given":"Marjorie","non-dropping-particle":"","parse-names":false,"suffix":""},{"dropping-particle":"","family":"Swain","given":"Janis","non-dropping-particle":"","parse-names":false,"suffix":""},{"dropping-particle":"","family":"Steele","given":"Priscilla","non-dropping-particle":"","parse-names":false,"suffix":""},{"dropping-particle":"","family":"Evans","given":"Marguerite A.","non-dropping-particle":"","parse-names":false,"suffix":""},{"dropping-particle":"","family":"Miller","given":"Edgar R.","non-dropping-particle":"","parse-names":false,"suffix":""},{"dropping-particle":"","family":"Harsha","given":"David W.","non-dropping-particle":"","parse-names":false,"suffix":""}],"container-title":"New England Journal of Medicine","id":"ITEM-1","issue":"16","issued":{"date-parts":[["1997"]]},"page":"1117-1124","title":"A Clinical Trial of the Effects of Dietary Patterns on Blood Pressure","type":"article-journal","volume":"336"},"uris":["http://www.mendeley.com/documents/?uuid=5224a8a4-543f-42dd-bf74-2cdc8966bd63"]},{"id":"ITEM-2","itemData":{"DOI":"10.1186/s12978-018-0521-8","ISBN":"2017092703","ISSN":"17424755","PMID":"29776432","abstract":"Background: Long-term postpartum follow-up is of great importance since women with preeclampsia history are at high risk of upcoming health complications. However, postpartum follow-up rates are poor. According to evidences, preeclampsia is not just a transient health problem; rather it causes short term and long term complications, which affect women's life for years after delivery. Although it seems the problem is solved by the end of pregnancy, the follow-up of subjects should not be stopped after delivery. Postpartum is the best possible time to provide necessary care to these women who are at the risk of future complications. Due to importance of well-designed follow-up plan for women suffering preeclampsia, this study will carry out to provide a postpartum follow-up health care program for subjected women. Methods: This study is a qualitative-quantitative mixed sequencing exploratory study that consists of three consecutive phases. In this study, following a qualitative approach, the researcher will explain the needs and strategies related to promoting the health of women with preeclampsia history in the postpartum period. By entering the second phase, the researcher will design a comprehensive follow-up health care program in the postpartum period in which, in addition to using the qualitative study results, related papers and texts will be also used. The proposed program is designed by a panel of experts based on prioritization guidelines. Finally, after passing different stages of program finalizing, its effectiveness on the lifestyle of women with preeclampsia history will be investigated in a semi-experimental study in the third phase of the study. Discussion: It is expected conducting a mixed method study to design and execute an interventional program to follow up women with preeclampsia history improve their health status and well-being, while reducing their health care costs through prevention in various levels within the current structure of health care services. If this program is effective, it could be included in the postpartum health care guidelines. Trial registration: IRCT20170927036445N2 Registered 10 March 2018.","author":[{"dropping-particle":"","family":"Kamravamanesh","given":"Mastaneh","non-dropping-particle":"","parse-names":false,"suffix":""},{"dropping-particle":"","family":"Kohan","given":"Shahnaz","non-dropping-particle":"","parse-names":false,"suffix":""},{"dropping-particle":"","family":"Rezavand","given":"Negin","non-dropping-particle":"","parse-names":false,"suffix":""},{"dropping-particle":"","family":"Farajzadegan","given":"Ziba","non-dropping-particle":"","parse-names":false,"suffix":""}],"container-title":"Reproductive Health","id":"ITEM-2","issue":"1","issued":{"date-parts":[["2018"]]},"page":"1-8","publisher":"Reproductive Health","title":"A comprehensive postpartum follow-up health care program for women with history of preeclampsia: Protocol for a mixed methods research","type":"article-journal","volume":"15"},"uris":["http://www.mendeley.com/documents/?uuid=0bfbfd25-2bab-4d78-b363-1103b07024bb"]}],"mendeley":{"formattedCitation":"(Appel et al., 1997; Kamravamanesh et al., 2018)","plainTextFormattedCitation":"(Appel et al., 1997; Kamravamanesh et al., 2018)","previouslyFormattedCitation":"(Appel et al., 1997; Kamravamanesh et al., 2018)"},"properties":{"noteIndex":0},"schema":"https://github.com/citation-style-language/schema/raw/master/csl-citation.json"}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(Appel et al., 1997; Kamravamanesh et al., 2018)</w:t>
      </w:r>
      <w:r w:rsidR="005E429F">
        <w:rPr>
          <w:rFonts w:ascii="Times New Roman" w:hAnsi="Times New Roman" w:cs="Times New Roman"/>
        </w:rPr>
        <w:fldChar w:fldCharType="end"/>
      </w:r>
      <w:r w:rsidRPr="00087C6B">
        <w:rPr>
          <w:rFonts w:ascii="Times New Roman" w:hAnsi="Times New Roman" w:cs="Times New Roman"/>
        </w:rPr>
        <w:t>. It includes a spectrum of conditions such as chronic hypertension, gestational hypertension, preeclampsia, and eclampsia (</w:t>
      </w:r>
      <w:proofErr w:type="spellStart"/>
      <w:r w:rsidRPr="00087C6B">
        <w:rPr>
          <w:rFonts w:ascii="Times New Roman" w:hAnsi="Times New Roman" w:cs="Times New Roman"/>
        </w:rPr>
        <w:t>Tinawi</w:t>
      </w:r>
      <w:proofErr w:type="spellEnd"/>
      <w:r w:rsidRPr="00087C6B">
        <w:rPr>
          <w:rFonts w:ascii="Times New Roman" w:hAnsi="Times New Roman" w:cs="Times New Roman"/>
        </w:rPr>
        <w:t xml:space="preserve">, 2020). Preeclampsia alone contributes to a significant percentage of maternal deaths, particularly in low- and middle-income countries (LMICs)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{"citationItems":[{"id":"ITEM-1","itemData":{"DOI":"10.1080/17437199.2018.1534071","ISSN":"17437202","PMID":"30295176","abstract":"A systematic review and meta-analysis was conducted of the techniques used to promote psychological need satisfaction and motivation within health interventions based on self-determination theory (SDT; Ryan &amp; Deci, 2017. Self-determination theory: Basic psychological needs in motivation, development, and wellness. New York, NY: Guilford Press). Eight databases were searched from 1970 to 2017. Studies including a control group and reporting pre- and post-intervention ratings of SDT-related psychosocial mediators (namely perceived autonomy support, need satisfaction and motivation) with children or adults were included. Risk of bias was assessed using items from the Cochrane risk of bias tool. 2496 articles were identified of which 74 met inclusion criteria; 80% were RCTs or cluster RCTs. Techniques to promote need supportive environments were coded according to two established taxonomies (BCTv1 and MIT), and 21 SDT-specific techniques, and grouped into 18 SDT based strategies. Weighted mean effect sizes were computed using a random effects model; perceived autonomy support g = 0.84, autonomy g = 0.81, competence g = 0.63, relatedness g = 0.28, and motivation g = 0.41. One-to-one interventions resulted in greater competence satisfaction than group-based (g = 0.96 vs. 0.28), and competence satisfaction was greater for adults (g = 0.95) than children (g = 0.11). Meta-regression analysis showed that individual strategies had limited independent impact on outcomes, endorsing the suggestion that a need supportive environment requires the combination of multiple co-acting techniques.","author":[{"dropping-particle":"","family":"Gillison","given":"Fiona B.","non-dropping-particle":"","parse-names":false,"suffix":""},{"dropping-particle":"","family":"Rouse","given":"Peter","non-dropping-particle":"","parse-names":false,"suffix":""},{"dropping-particle":"","family":"Standage","given":"Martyn","non-dropping-particle":"","parse-names":false,"suffix":""},{"dropping-particle":"","family":"Sebire","given":"Simon J.","non-dropping-particle":"","parse-names":false,"suffix":""},{"dropping-particle":"","family":"Ryan","given":"Richard M.","non-dropping-particle":"","parse-names":false,"suffix":""}],"container-title":"Health Psychology Review","id":"ITEM-1","issue":"1","issued":{"date-parts":[["2019"]]},"page":"110-130","publisher":"Taylor &amp; Francis","title":"A meta-analysis of techniques to promote motivation for health behaviour change from a self-determination theory perspective","type":"article-journal","volume":"13"},"uris":["http://www.mendeley.com/documents/?uuid=def7a12d-6e6a-4389-a4f0-27b1c48c66ac"]},{"id":"ITEM-2","itemData":{"DOI":"10.1016/j.jacc.2007.08.017","ISSN":"07351097","PMID":"18021879","abstract":"Objectives: We undertook this study to prospectively evaluate whether cigarette smoking was associated with an increased risk of developing hypertension. Background: Smoking is a well-recognized risk factor for cardiovascular disease. Few prospective cohort studies have examined the relationship between smoking and hypertension. Methods: We conducted a prospective cohort study among 28,236 women in the Women's Health Study who were initially free of hypertension, cardiovascular disease, and cancer. Detailed risk factor information, including smoking status, was collected from self-reported questionnaires. We used Cox proportional hazards survival models to calculate hazard ratios (HRs) and 95% confidence intervals (CIs) of incident hypertension (defined as either new diagnosis, the initiation of antihypertensive medication, systolic blood pressure ≥140 mm Hg or diastolic blood pressure ≥90 mm Hg). Results: At baseline, 51% of women were never smokers, 36% were former smokers, 5% smoked 1 to 14 cigarettes, and 8% smoked ≥15 cigarettes per day. During a median of 9.8 years, there were 8,571 (30.4%) cases of incident hypertension. The age-adjusted HRs of developing hypertension among never, former, and current smokers of 1 to 14 and ≥15 cigarettes per day were 1.00 (reference), 1.04 (95% CI 0.99 to 1.09), 1.00 (95% CI 0.90 to 1.10), and 1.10 (95% CI 1.01 to 1.19), respectively. In multivariable models further adjusting for lifestyle, clinical, and dietary variables, the corresponding HRs were 1.00 (reference), 1.03 (95% CI 0.98 to 1.08), 1.02 (95% CI 0.92 to 1.13), and 1.11 (95% CI 1.03 to 1.21), respectively. Among women who smoked ≥25 cigarettes per day, the multivariable HR was 1.21 (95% CI 1.06 to 1.39). Conclusions: In this large cohort of women, cigarette smoking was modestly associated with an increased risk of developing hypertension, with an effect that was strongest among women smoking at least 15 cigarettes per day. © 2007 American College of Cardiology Foundation.","author":[{"dropping-particle":"","family":"Bowman","given":"Thomas S.","non-dropping-particle":"","parse-names":false,"suffix":""},{"dropping-particle":"","family":"Gaziano","given":"J. Michael","non-dropping-particle":"","parse-names":false,"suffix":""},{"dropping-particle":"","family":"Buring","given":"Julie E.","non-dropping-particle":"","parse-names":false,"suffix":""},{"dropping-particle":"","family":"Sesso","given":"Howard D.","non-dropping-particle":"","parse-names":false,"suffix":""}],"container-title":"Journal of the American College of Cardiology","id":"ITEM-2","issue":"21","issued":{"date-parts":[["2007"]]},"page":"2085-2092","title":"A Prospective Study of Cigarette Smoking and Risk of Incident Hypertension in Women","type":"article-journal","volume":"50"},"uris":["http://www.mendeley.com/documents/?uuid=fd604554-7e05-4285-91af-2faa46b4ed21"]}],"mendeley":{"formattedCitation":"(Bowman et al., 2007; Gillison et al., 2019)","plainTextFormattedCitation":"(Bowman et al., 2007; Gillison et al., 2019)","previouslyFormattedCitation":"(Bowman et al., 2007; Gillison et al., 2019)"},"properties":{"noteIndex":0},"schema":"https://github.com/citation-style-language/schema/raw/master/csl-citation.json"}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(Bowman et al., 2007; Gillison et al., 2019)</w:t>
      </w:r>
      <w:r w:rsidR="005E429F">
        <w:rPr>
          <w:rFonts w:ascii="Times New Roman" w:hAnsi="Times New Roman" w:cs="Times New Roman"/>
        </w:rPr>
        <w:fldChar w:fldCharType="end"/>
      </w:r>
      <w:r w:rsidRPr="00087C6B">
        <w:rPr>
          <w:rFonts w:ascii="Times New Roman" w:hAnsi="Times New Roman" w:cs="Times New Roman"/>
        </w:rPr>
        <w:t xml:space="preserve">. Parallelly, thyroid dysfunction—both hypothyroidism and hyperthyroidism—has been identified in 5–15% of pregnancies depending on the iodine status of the population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{"citationItems":[{"id":"ITEM-1","itemData":{"DOI":"10.3746/pnf.2025.30.1.1","ISSN":"22878602","abstract":"Eclampsia is a prevailing hypertensive disorder that poses more significant risks to mothers and neonates globally. This review aimed to investigate eclampsia [preeclampsia and postpartum eclampsia (posteclampsia)] and the supportive role of dietary and lifestyle management. The review was compiled by searching various engines such as Google Scholar, Research Gate, BASE, PubMed Central, National Center for Biotechnology Information, and other related search engines. Eclampsia is believed to involve genetic and nongenetic factors, although the precise underlying mechanism remains unclear. Nevertheless, the traditional diagnosis of the disorder typically involves the coexistence of various factors such as an unhealthy lifestyle, diabetes mellitus, hypertension, low micronutrient levels, obesity, and proteinuria. Consuming at least 330 g fresh or 4 g dried fruits daily minimizes preeclampsia. Diets high in sugar, fat, and salt are associated with higher vulnerability to the disease. Calcium supplementation is beneficial for women as it helps to reduce the occurrence of preeclampsia. Evidence for vitamin D supplementation is inconclusive and requires further research. Selenium supplementation has shown a negative correlation with the chance of preeclampsia. Dietary patterns with higher intakes of a plant-based diet, including micronutrients, and a healthy lifestyle significantly reduce the risk of preeclampsia and posteclampsia. Furthermore, clinical trials could explore the potential benefits of dietary supplements in preventing or treating eclampsia. There is a need for further exploration into the benefits of personalized medical nutrition therapy for preeclampsia and posteclampsia. Lastly, modern prognostic tools can diagnose disorders promptly and help with effective medicinal and nutritional management.","author":[{"dropping-particle":"","family":"Nadeem","given":"Muhammad","non-dropping-particle":"","parse-names":false,"suffix":""},{"dropping-particle":"","family":"Javed","given":"Komal","non-dropping-particle":"","parse-names":false,"suffix":""},{"dropping-particle":"","family":"Abid","given":"Hafiz Muhammad Rizwan","non-dropping-particle":"","parse-names":false,"suffix":""},{"dropping-particle":"","family":"Hussain","given":"Athar","non-dropping-particle":"","parse-names":false,"suffix":""},{"dropping-particle":"","family":"Khalid","given":"Nauman","non-dropping-particle":"","parse-names":false,"suffix":""}],"container-title":"Preventive Nutrition and Food Science","id":"ITEM-1","issue":"1","issued":{"date-parts":[["2025"]]},"page":"1-20","title":"A Review of Dietary and Lifestyle Management of Pre-Eclampsia and Postpartum Eclampsia","type":"article-journal","volume":"30"},"uris":["http://www.mendeley.com/documents/?uuid=a752b85c-2f96-47a7-bbda-3b40ebe82212"]},{"id":"ITEM-2","itemData":{"ISSN":"17357322","abstract":"Background: Parkinson's disease is one of the chronic neurological diseases. It is the second most common neurodegenerative disease after Alzheimer's, affecting 7.5 million people worldwide and its rate is expected to increase by 20% by 2020. three symptoms of tremor, muscle stiffness and movement disorders are among the main diagnostic symptoms of the disease. The prevalence of Parkinson's worldwide varies between 18 and 418 cases per 100,000 people per year. It is generally estimated that the prevalence of this disease in the general population is 0.3%. A systematic review study was performed to determine the factors associated with Parkinson's disease. Methods: This study was a systematic review that was conducted by searching national and international databases until February 2020. Initially, all articles which had mentioned Parkinson-related factors were collected and accepted by researchers based on studies. Entry and exit criteria were met. Exclusion criteria included irrelevant items, duplication of studies, unclear procedure, and lack of access to the full text of the study. To reduce bias, articles were evaluated independently by two researchers, and the quality of articles was assessed using the STROBE checklist. All final articles submitted to the systematic review process were prepared by a template checklist. Checklists included article title, first author's name, year of publication, place of study, risk factors, protective factors, and ineffective factors or the ones which their effects have not yet been determined, and the average age. Results: In these studies, the following risk factors were reported: family history, agricultural occupation, literacy, stress, well water consumption, aging, environmental factors, genetic factors, pesticide exposure, and alcohol abuse. On the other hand, factors such as smoking and oilseeds, high levels of B-complex vitamins, female estrogen hormones, and selenium have been reported to protect against Parkinson's disease. Conclusion: Considering the results of the present study and although there is no definitive treatment for this disease, protective factors and risk factors should be seriously considered by health policymakers for preventive measures.","author":[{"dropping-particle":"","family":"Heidari","given":"Negar","non-dropping-particle":"","parse-names":false,"suffix":""},{"dropping-particle":"","family":"Heidari","given":"Paria","non-dropping-particle":"","parse-names":false,"suffix":""},{"dropping-particle":"","family":"Salari","given":"Nader","non-dropping-particle":"","parse-names":false,"suffix":""},{"dropping-particle":"","family":"Akbari","given":"Hakimeh","non-dropping-particle":"","parse-names":false,"suffix":""},{"dropping-particle":"","family":"Mohammadi","given":"Masoud","non-dropping-particle":"","parse-names":false,"suffix":""}],"container-title":"Tehran University Medical Journal","id":"ITEM-2","issue":"12","issued":{"date-parts":[["2022"]]},"page":"925-933","title":"A systematic review on risk factors and protective factors related to Parkinson's disease","type":"article-journal","volume":"79"},"uris":["http://www.mendeley.com/documents/?uuid=1fca4e4a-c4f4-4461-a0ad-e279c509c613"]}],"mendeley":{"formattedCitation":"(Heidari et al., 2022; Nadeem et al., 2025)","plainTextFormattedCitation":"(Heidari et al., 2022; Nadeem et al., 2025)","previouslyFormattedCitation":"(Heidari et al., 2022; Nadeem et al., 2025)"},"properties":{"noteIndex":0},"schema":"https://github.com/citation-style-language/schema/raw/master/csl-citation.json"}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(Heidari et al., 2022; Nadeem et al., 2025)</w:t>
      </w:r>
      <w:r w:rsidR="005E429F">
        <w:rPr>
          <w:rFonts w:ascii="Times New Roman" w:hAnsi="Times New Roman" w:cs="Times New Roman"/>
        </w:rPr>
        <w:fldChar w:fldCharType="end"/>
      </w:r>
      <w:r w:rsidRPr="00087C6B">
        <w:rPr>
          <w:rFonts w:ascii="Times New Roman" w:hAnsi="Times New Roman" w:cs="Times New Roman"/>
        </w:rPr>
        <w:t xml:space="preserve">. Thyroid hormones are crucial for </w:t>
      </w:r>
      <w:proofErr w:type="spellStart"/>
      <w:r w:rsidRPr="00087C6B">
        <w:rPr>
          <w:rFonts w:ascii="Times New Roman" w:hAnsi="Times New Roman" w:cs="Times New Roman"/>
        </w:rPr>
        <w:t>fetal</w:t>
      </w:r>
      <w:proofErr w:type="spellEnd"/>
      <w:r w:rsidRPr="00087C6B">
        <w:rPr>
          <w:rFonts w:ascii="Times New Roman" w:hAnsi="Times New Roman" w:cs="Times New Roman"/>
        </w:rPr>
        <w:t xml:space="preserve"> brain development, especially in the first trimester, and any disturbance in maternal thyroid homeostasis can result in developmental anomalies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{"citationItems":[{"id":"ITEM-1","itemData":{"DOI":"10.1097/AOG.0b013e31818e8782","ISSN":"00297844","PMID":"18978127","abstract":"The effect of menopausal hormone therapy on coronary heart disease has been the subject of much concern. The Heart and Estrogen/Progestin Replacement Study (HERS) and Women's Health Initiative studies found an increased risk of cardiovascular events with conjugated equine estrogen and medroxyprogesterone acetate use. However, recent evidence suggests that women in early menopause who are in good cardiovascular health are at low risk of adverse cardiovascular outcomes and as such should be considered candidates for the use of conjugated equine estrogen or conjugated equine estrogen and medroxyprogesterone acetate for relief of menopausal vasomotor symptoms. Hormone therapy use should be limited to the treatment of menopausal symptoms at the lowest effective dosage over the shortest duration possible, and continued use should be reevaluated on a periodic basis. © 2008 by The American College of Obstetricians and Gynecologists. Published by Lippincott Williams &amp; Wilkins.","author":[{"dropping-particle":"","family":"Therapy","given":"Hormone","non-dropping-particle":"","parse-names":false,"suffix":""}],"container-title":"Obstetrics and Gynecology","id":"ITEM-1","issue":"5","issued":{"date-parts":[["2008"]]},"page":"1189-1192","title":"ACOG committee opinion no. 420: Hormone therapy and heart disease","type":"article-journal","volume":"112"},"uris":["http://www.mendeley.com/documents/?uuid=684fb2e9-d848-4847-9ce4-49ed7c2723ac"]}],"mendeley":{"formattedCitation":"(Therapy, 2008)","plainTextFormattedCitation":"(Therapy, 2008)","previouslyFormattedCitation":"(Therapy, 2008)"},"properties":{"noteIndex":0},"schema":"https://github.com/citation-style-language/schema/raw/master/csl-citation.json"}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(Therapy, 2008)</w:t>
      </w:r>
      <w:r w:rsidR="005E429F">
        <w:rPr>
          <w:rFonts w:ascii="Times New Roman" w:hAnsi="Times New Roman" w:cs="Times New Roman"/>
        </w:rPr>
        <w:fldChar w:fldCharType="end"/>
      </w:r>
      <w:r w:rsidRPr="00087C6B">
        <w:rPr>
          <w:rFonts w:ascii="Times New Roman" w:hAnsi="Times New Roman" w:cs="Times New Roman"/>
        </w:rPr>
        <w:t>.</w:t>
      </w:r>
    </w:p>
    <w:p w14:paraId="2961AA9C" w14:textId="53733BEB" w:rsidR="004E073D" w:rsidRPr="00087C6B" w:rsidRDefault="004E073D" w:rsidP="00EF0802">
      <w:pPr>
        <w:spacing w:line="360" w:lineRule="auto"/>
        <w:jc w:val="both"/>
        <w:rPr>
          <w:rFonts w:ascii="Times New Roman" w:hAnsi="Times New Roman" w:cs="Times New Roman"/>
        </w:rPr>
      </w:pPr>
      <w:r w:rsidRPr="00087C6B">
        <w:rPr>
          <w:rFonts w:ascii="Times New Roman" w:hAnsi="Times New Roman" w:cs="Times New Roman"/>
        </w:rPr>
        <w:t xml:space="preserve">Emerging evidence also indicates a bidirectional relationship between these two disorders. Studies have found that untreated or poorly controlled hypothyroidism is associated with an increased risk of preeclampsia and gestational hypertension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{"citationItems":[{"id":"ITEM-1","itemData":{"DOI":"10.7326/L23-0449","ISSN":"15393704","PMID":"38768492","author":[{"dropping-particle":"","family":"Chow","given":"Eric J.","non-dropping-particle":"","parse-names":false,"suffix":""},{"dropping-particle":"","family":"Lynch","given":"John B.","non-dropping-particle":"","parse-names":false,"suffix":""},{"dropping-particle":"","family":"Zerr","given":"Danielle M.","non-dropping-particle":"","parse-names":false,"suffix":""},{"dropping-particle":"","family":"Riedo","given":"Francis X.","non-dropping-particle":"","parse-names":false,"suffix":""},{"dropping-particle":"","family":"Fairchok","given":"Mary","non-dropping-particle":"","parse-names":false,"suffix":""},{"dropping-particle":"","family":"Pergam","given":"Steven A.","non-dropping-particle":"","parse-names":false,"suffix":""},{"dropping-particle":"","family":"Baliga","given":"Christopher S.","non-dropping-particle":"","parse-names":false,"suffix":""},{"dropping-particle":"","family":"Pauk","given":"John","non-dropping-particle":"","parse-names":false,"suffix":""},{"dropping-particle":"","family":"Lewis","given":"James","non-dropping-particle":"","parse-names":false,"suffix":""},{"dropping-particle":"","family":"Duchin","given":"Jeffrey S.","non-dropping-particle":"","parse-names":false,"suffix":""}],"container-title":"Annals of Internal Medicine","id":"ITEM-1","issue":"5","issued":{"date-parts":[["2024"]]},"page":"689","title":"Annals of Internal Medicine","type":"article-journal","volume":"177"},"uris":["http://www.mendeley.com/documents/?uuid=a2c63d93-6fbc-4e35-8e35-658f71113fd3"]},{"id":"ITEM-2","itemData":{"DOI":"10.1007/s11906-019-0972-5","ISSN":"15343111","PMID":"31321565","abstract":"Purpose of Review: To review the most recent literature on the association between comorbid anxiety disorders and hypertension. Recent Findings: Recent longitudinal and cross-sectional studies across geographic regions and age groups predominantly demonstrate a positive association between comorbid anxiety and prevalent or incident hypertension. Growing research on blood pressure variability and reduced baroreflex sensitivity in response to autonomic dysfunction provides a greater understanding of mechanistic relationships between anxiety and hypertension. Observational studies demonstrate that young adults are at a higher risk for developing incident hypertension after an anxiety diagnosis, supporting longer exposure to alterations in autonomic mechanisms. Confounding relationships of comorbid anxiety with depression likely contribute to prior conflicting results on the association between anxiety and hypertension. Summary: There is increasing evidence of a positive association between comorbid anxiety and hypertension. This contemporaneous review supports similar findings in historical studies and provides mechanistic hypotheses for larger, longitudinal studies.","author":[{"dropping-particle":"","family":"Johnson","given":"Heather M.","non-dropping-particle":"","parse-names":false,"suffix":""}],"container-title":"Current Hypertension Reports","id":"ITEM-2","issue":"9","issued":{"date-parts":[["2019"]]},"page":"22-26","publisher":"Current Hypertension Reports","title":"Anxiety and Hypertension: Is There a Link? A Literature Review of the Comorbidity Relationship Between Anxiety and Hypertension","type":"article-journal","volume":"21"},"uris":["http://www.mendeley.com/documents/?uuid=d7f1fb81-a45f-4bc2-b9f6-9b0e472da3b5"]}],"mendeley":{"formattedCitation":"(Chow et al., 2024; Johnson, 2019)","plainTextFormattedCitation":"(Chow et al., 2024; Johnson, 2019)","previouslyFormattedCitation":"(Chow et al., 2024; Johnson, 2019)"},"properties":{"noteIndex":0},"schema":"https://github.com/citation-style-language/schema/raw/master/csl-citation.json"}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(Chow et al., 2024; Johnson, 2019)</w:t>
      </w:r>
      <w:r w:rsidR="005E429F">
        <w:rPr>
          <w:rFonts w:ascii="Times New Roman" w:hAnsi="Times New Roman" w:cs="Times New Roman"/>
        </w:rPr>
        <w:fldChar w:fldCharType="end"/>
      </w:r>
      <w:r w:rsidRPr="00087C6B">
        <w:rPr>
          <w:rFonts w:ascii="Times New Roman" w:hAnsi="Times New Roman" w:cs="Times New Roman"/>
        </w:rPr>
        <w:t xml:space="preserve">. Conversely, hyperthyroidism during early pregnancy may also contribute to hypertensive disorders due to its systemic metabolic impacts </w:t>
      </w:r>
      <w:r w:rsidR="005E429F">
        <w:rPr>
          <w:rFonts w:ascii="Times New Roman" w:hAnsi="Times New Roman" w:cs="Times New Roman"/>
        </w:rPr>
        <w:lastRenderedPageBreak/>
        <w:fldChar w:fldCharType="begin" w:fldLock="1"/>
      </w:r>
      <w:r w:rsidR="005E429F">
        <w:rPr>
          <w:rFonts w:ascii="Times New Roman" w:hAnsi="Times New Roman" w:cs="Times New Roman"/>
        </w:rPr>
        <w:instrText>ADDIN CSL_CITATION {"citationItems":[{"id":"ITEM-1","itemData":{"DOI":"10.1136/bmj.d643","ISSN":"17561833","PMID":"21343202","abstract":"Objective: To investigate the nature and magnitude of relations of systolic and diastolic blood pressures in late adolescence to mortality. Design: Nationwide cohort study. Setting: General community in Sweden. Participants: Swedish men (n=1 207 141) who had military conscription examinations between 1969 and 1995 at a mean age of 18.4 years, followed up for a median of 24 (range 0-37) years. Main outcome measures: Total mortality, cardiovascular mortality, and non-cardiovascular mortality. Results: During follow-up, 28 934 (2.4%) men died. The relation of systolic blood pressure to total mortality was U shaped, with the lowest risk at a systolic blood pressure of about 130 mm Hg. This pattern was driven by the relation to non-cardiovascular mortality, whereas the relation to cardiovascular mortality was monotonically increasing (higher risk with higher blood pressure). The relation of diastolic blood pressure to mortality risk was monotonically increasing and stronger than that of systolic blood pressure, in terms of both relative risk and population attributable fraction (deaths that could be avoided if blood pressure was in the optimal range). Relations to cardiovascular and non-cardiovascular mortality were similar, with an apparent risk threshold at a diastolic blood pressure of about 90 mm Hg, below which diastolic blood pressure and mortality were unrelated, and above which risk increased steeply with higher diastolic blood pressures. Conclusions: In adolescent men, the relation of diastolic blood pressure to mortality was more consistent than that of systolic blood pressure. Considering current efforts for earlier detection and prevention of risk, these observations emphasise the risk associated with high diastolic blood pressure in young adulthood.","author":[{"dropping-particle":"","family":"Sundström","given":"Johan","non-dropping-particle":"","parse-names":false,"suffix":""},{"dropping-particle":"","family":"Neovius","given":"Martin","non-dropping-particle":"","parse-names":false,"suffix":""},{"dropping-particle":"","family":"Tynelius","given":"Per","non-dropping-particle":"","parse-names":false,"suffix":""},{"dropping-particle":"","family":"Rasmussen","given":"Finn","non-dropping-particle":"","parse-names":false,"suffix":""}],"container-title":"Bmj","id":"ITEM-1","issue":"7795","issued":{"date-parts":[["2011"]]},"page":"483","title":"Association of blood pressure in late adolescence with subsequent mortality: Cohort study of Swedish male conscripts","type":"article-journal","volume":"342"},"uris":["http://www.mendeley.com/documents/?uuid=8916e44a-e4b4-4886-bb38-845b1aa9e7dd"]}],"mendeley":{"formattedCitation":"(Sundström et al., 2011)","plainTextFormattedCitation":"(Sundström et al., 2011)","previouslyFormattedCitation":"(Sundström et al., 2011)"},"properties":{"noteIndex":0},"schema":"https://github.com/citation-style-language/schema/raw/master/csl-citation.json"}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(Sundström et al., 2011)</w:t>
      </w:r>
      <w:r w:rsidR="005E429F">
        <w:rPr>
          <w:rFonts w:ascii="Times New Roman" w:hAnsi="Times New Roman" w:cs="Times New Roman"/>
        </w:rPr>
        <w:fldChar w:fldCharType="end"/>
      </w:r>
      <w:r w:rsidRPr="00087C6B">
        <w:rPr>
          <w:rFonts w:ascii="Times New Roman" w:hAnsi="Times New Roman" w:cs="Times New Roman"/>
        </w:rPr>
        <w:t>. These interlinkages necessitate not only vigilant monitoring but also effective prevention strategies that address both medical and lifestyle factors.</w:t>
      </w:r>
    </w:p>
    <w:p w14:paraId="22DAF3AC" w14:textId="326BEF01" w:rsidR="004E073D" w:rsidRPr="00087C6B" w:rsidRDefault="004E073D" w:rsidP="00EF0802">
      <w:pPr>
        <w:spacing w:line="360" w:lineRule="auto"/>
        <w:jc w:val="both"/>
        <w:rPr>
          <w:rFonts w:ascii="Times New Roman" w:hAnsi="Times New Roman" w:cs="Times New Roman"/>
        </w:rPr>
      </w:pPr>
      <w:r w:rsidRPr="00087C6B">
        <w:rPr>
          <w:rFonts w:ascii="Times New Roman" w:hAnsi="Times New Roman" w:cs="Times New Roman"/>
        </w:rPr>
        <w:t xml:space="preserve">Lifestyle modification has emerged as a cornerstone in preventing and managing a range of non-communicable diseases, including those experienced during pregnancy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{"citationItems":[{"id":"ITEM-1","itemData":{"abstract":"Context Sleep-disordered breathing (SDB) and sleep apnea have been linked to hy- pertension in previous studies, but most of these studies used surrogate information to define SDB (eg, snoring) and were based on small clinic populations, or both. Objective To assess the association between SDB and hypertension in a large co- hort of middle-aged and older persons. Design and Setting Cross-sectional analyses of participants in the Sleep Heart Health Study, a community-based multicenter study conducted between November 1995 and January 1998. Participants Atotal of 6132 subjects recruited from ongoing population-based stud- ies (aged ?40 years; 52.8% female). Main Outcome Measures Apnea-hypopnea index (AHI, the average number of apneas plus hypopneas per hour of sleep, with apnea defined as a cessation of airflow and hypopnea defined as a ?30% reduction in airflow or thoracoabdominal excur- sion both of which are accompanied by a ?4% drop in oxyhemoglobin saturation), obtained by unattended home polysomnography. Other measures include arousal in- dex; percentage of sleep time below 90% oxygen saturation; history of snoring; and presence of hypertension, defined as resting blood pressure of at least 140/90 mm Hg or use of antihypertensive medication. Results Mean systolic and diastolic blood pressure and prevalence of hypertension increased significantly with increasing SDB measures, although some of this association was explained by body mass index (BMI). After adjusting for demographics and anthro- pometric variables (including BMI, neck circumference, and waist-to-hip ratio), as well as for alcohol intake and smoking, the odds ratio for hypertension, comparing the high- est category of AHI (?30 per hour) with the lowest category (?1.5 per hour), was 1.37 (95% confidence interval [CI], 1.03-1.83; P for trend=.005). The corresponding esti- mate comparing the highest and lowest categories of percentage of sleep time below 90% oxygen saturation (?12% vs?0.05%) was 1.46 (95% CI, 1.12-1.88; P for trend ?.001). In stratified analyses, associations of hypertension with either measure of SDB were seen in both sexes, older and younger ages, all ethnic groups, and among normal- weightandoverweight individuals.Weakerandnonsignificant associationswereobserved for the arousal index or self-reported history of habitual snoring. Conclusion Our findings from the largest cross-sectional study to date indicate that SDB is associated with systemic hypertension in middle-aged…","author":[{"dropping-particle":"","family":"Nieto","given":"F Javier","non-dropping-particle":"","parse-names":false,"suffix":""},{"dropping-particle":"","family":"Young","given":"Terry B","non-dropping-particle":"","parse-names":false,"suffix":""},{"dropping-particle":"","family":"Lind","given":"Bonnie K","non-dropping-particle":"","parse-names":false,"suffix":""},{"dropping-particle":"","family":"Redline","given":"Susan","non-dropping-particle":"","parse-names":false,"suffix":""},{"dropping-particle":"","family":"Agostino","given":"Ralph B D","non-dropping-particle":"","parse-names":false,"suffix":""},{"dropping-particle":"","family":"Newman","given":"Anne B","non-dropping-particle":"","parse-names":false,"suffix":""},{"dropping-particle":"","family":"Lebowitz","given":"Michael D","non-dropping-particle":"","parse-names":false,"suffix":""},{"dropping-particle":"","family":"Pickering","given":"Thomas G","non-dropping-particle":"","parse-names":false,"suffix":""}],"container-title":"Jama","id":"ITEM-1","issue":"14","issued":{"date-parts":[["2000"]]},"page":"1829-1836","title":"Association of Sleep-Disordered Breathing, Sleep Apnea, and Hypertension in a Large Community-Based Study for the Sleep Heart Health Study","type":"article-journal","volume":"284"},"uris":["http://www.mendeley.com/documents/?uuid=8f8c6b49-c7dc-4d91-b062-adb9a356fd96"]}],"mendeley":{"formattedCitation":"(Nieto et al., 2000)","plainTextFormattedCitation":"(Nieto et al., 2000)","previouslyFormattedCitation":"(Nieto et al., 2000)"},"properties":{"noteIndex":0},"schema":"https://github.com/citation-style-language/schema/raw/master/csl-citation.json"}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(Nieto et al., 2000)</w:t>
      </w:r>
      <w:r w:rsidR="005E429F">
        <w:rPr>
          <w:rFonts w:ascii="Times New Roman" w:hAnsi="Times New Roman" w:cs="Times New Roman"/>
        </w:rPr>
        <w:fldChar w:fldCharType="end"/>
      </w:r>
      <w:r w:rsidRPr="00087C6B">
        <w:rPr>
          <w:rFonts w:ascii="Times New Roman" w:hAnsi="Times New Roman" w:cs="Times New Roman"/>
        </w:rPr>
        <w:t xml:space="preserve">. It encompasses </w:t>
      </w:r>
      <w:proofErr w:type="spellStart"/>
      <w:r w:rsidRPr="00087C6B">
        <w:rPr>
          <w:rFonts w:ascii="Times New Roman" w:hAnsi="Times New Roman" w:cs="Times New Roman"/>
        </w:rPr>
        <w:t>behavior</w:t>
      </w:r>
      <w:proofErr w:type="spellEnd"/>
      <w:r w:rsidRPr="00087C6B">
        <w:rPr>
          <w:rFonts w:ascii="Times New Roman" w:hAnsi="Times New Roman" w:cs="Times New Roman"/>
        </w:rPr>
        <w:t>-driven interventions involving nutritional adjustments, physical activity, stress reduction, and adequate sleep, tailored to the specific needs of pregnant women. According to</w:t>
      </w:r>
      <w:r w:rsidR="005E429F">
        <w:rPr>
          <w:rFonts w:ascii="Times New Roman" w:hAnsi="Times New Roman" w:cs="Times New Roman"/>
        </w:rPr>
        <w:t xml:space="preserve">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{"citationItems":[{"id":"ITEM-1","itemData":{"author":[{"dropping-particle":"De","family":"Letras","given":"Source Revista","non-dropping-particle":"","parse-names":false,"suffix":""}],"id":"ITEM-1","issue":"1","issued":{"date-parts":[["2005"]]},"page":"13-22","title":"Author ( s ): Massimo Cacciari","type":"article-journal","volume":"45"},"uris":["http://www.mendeley.com/documents/?uuid=d064fc82-586e-4080-aa81-caffa9e7fe84"]}],"mendeley":{"formattedCitation":"(Letras, 2005)","manualFormatting":"Letras (2005)","plainTextFormattedCitation":"(Letras, 2005)","previouslyFormattedCitation":"(Letras, 2005)"},"properties":{"noteIndex":0},"schema":"https://github.com/citation-style-language/schema/raw/master/csl-citation.json"}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 xml:space="preserve">Letras </w:t>
      </w:r>
      <w:r w:rsidR="005E429F">
        <w:rPr>
          <w:rFonts w:ascii="Times New Roman" w:hAnsi="Times New Roman" w:cs="Times New Roman"/>
          <w:noProof/>
        </w:rPr>
        <w:t>(</w:t>
      </w:r>
      <w:r w:rsidR="005E429F" w:rsidRPr="005E429F">
        <w:rPr>
          <w:rFonts w:ascii="Times New Roman" w:hAnsi="Times New Roman" w:cs="Times New Roman"/>
          <w:noProof/>
        </w:rPr>
        <w:t>2005)</w:t>
      </w:r>
      <w:r w:rsidR="005E429F">
        <w:rPr>
          <w:rFonts w:ascii="Times New Roman" w:hAnsi="Times New Roman" w:cs="Times New Roman"/>
        </w:rPr>
        <w:fldChar w:fldCharType="end"/>
      </w:r>
      <w:r w:rsidRPr="00087C6B">
        <w:rPr>
          <w:rFonts w:ascii="Times New Roman" w:hAnsi="Times New Roman" w:cs="Times New Roman"/>
        </w:rPr>
        <w:t xml:space="preserve">, physical activity such as walking or yoga significantly reduces the risk of gestational hypertension and helps maintain systolic and diastolic blood pressure within normal limits. Moreover, maternal adherence to balanced dietary patterns rich in fruits, vegetables, whole grains, and micronutrients has shown to improve both maternal health and </w:t>
      </w:r>
      <w:proofErr w:type="spellStart"/>
      <w:r w:rsidRPr="00087C6B">
        <w:rPr>
          <w:rFonts w:ascii="Times New Roman" w:hAnsi="Times New Roman" w:cs="Times New Roman"/>
        </w:rPr>
        <w:t>fetal</w:t>
      </w:r>
      <w:proofErr w:type="spellEnd"/>
      <w:r w:rsidRPr="00087C6B">
        <w:rPr>
          <w:rFonts w:ascii="Times New Roman" w:hAnsi="Times New Roman" w:cs="Times New Roman"/>
        </w:rPr>
        <w:t xml:space="preserve"> outcomes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{"citationItems":[{"id":"ITEM-1","itemData":{"DOI":"10.1097/00006205-199511000-00011","ISSN":"0008350X","PMID":"9882106","author":[{"dropping-particle":"","family":"Evans","given":"M. F.","non-dropping-particle":"","parse-names":false,"suffix":""},{"dropping-particle":"","family":"Frank","given":"J.","non-dropping-particle":"","parse-names":false,"suffix":""}],"container-title":"Canadian family physician Médecin de famille canadien","id":"ITEM-1","issue":"11","issued":{"date-parts":[["1997"]]},"page":"455","title":"Body weight and mortality among women.","type":"article-journal","volume":"43"},"uris":["http://www.mendeley.com/documents/?uuid=45e99a70-0eb0-4ebf-888e-fc17e913bb1c"]},{"id":"ITEM-2","itemData":{"DOI":"10.1111/j.1525-1497.2006.00389.x","ISSN":"15251497","PMID":"16686814","abstract":"OBJECTIVE: To assess the effect of hormone therapy (HT) on coronary heart disease (CHD) events in younger and older postmenopausal women. DESIGN: A comprehensive database search identified randomized-controlled trials of HT of at least 6 months' duration that reported CHD events, defined as myocardial infarction or cardiac death. MEASUREMENTS: The pooled odds ratios (ORs) for CHD events were reported separately for younger and older women, defined as participants with mean time from menopause of less than or greater than 10 years, or mean age less than or greater than 60 years. MAIN RESULTS: Pooled data from 23 trials, with 39,049 participants followed for 191,340 patient-years, showed that HT significantly reduced CHD events in younger women (OR 0.68 [confidence interval (C I), 0.48 to 0.96]), but not in older women (OR 1.03 [CI, 0.91 to 1.16]). Hormone therapy reduced events in younger women compared with older women (OR 0.66 [CI, 0.46 to 0.95]). In older women, HT increased events in the first year (OR 1.47 [CI, 1.12 to 1.92]), then reduced events after 2 years (OR 0.79 [CI, 0.67 to 0.93]). CONCLUSIONS: Hormone therapy reduces the risk of CHD events in younger postmenopausal women. In older women, HT increases, then decreases risk over time.","author":[{"dropping-particle":"","family":"Salpeter","given":"Shelley R.","non-dropping-particle":"","parse-names":false,"suffix":""},{"dropping-particle":"","family":"Walsh","given":"Judith M.E.","non-dropping-particle":"","parse-names":false,"suffix":""},{"dropping-particle":"","family":"Greyber","given":"Elizabeth","non-dropping-particle":"","parse-names":false,"suffix":""},{"dropping-particle":"","family":"Salpeter","given":"Edwin E.","non-dropping-particle":"","parse-names":false,"suffix":""}],"container-title":"Journal of General Internal Medicine","id":"ITEM-2","issue":"4","issued":{"date-parts":[["2006"]]},"page":"363-366","title":"Brief rport: Cronary heart disease events associated with hormone therapy in younger and older women - A meta-analysis","type":"article-journal","volume":"21"},"uris":["http://www.mendeley.com/documents/?uuid=d6f661f5-e48c-491d-b054-f605f26ecc01"]}],"mendeley":{"formattedCitation":"(Evans &amp; Frank, 1997; Salpeter et al., 2006)","plainTextFormattedCitation":"(Evans &amp; Frank, 1997; Salpeter et al., 2006)","previouslyFormattedCitation":"(Evans &amp; Frank, 1997; Salpeter et al., 2006)"},"properties":{"noteIndex":0},"schema":"https://github.com/citation-style-language/schema/raw/master/csl-citation.json"}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(Evans &amp; Frank, 1997; Salpeter et al., 2006)</w:t>
      </w:r>
      <w:r w:rsidR="005E429F">
        <w:rPr>
          <w:rFonts w:ascii="Times New Roman" w:hAnsi="Times New Roman" w:cs="Times New Roman"/>
        </w:rPr>
        <w:fldChar w:fldCharType="end"/>
      </w:r>
      <w:r w:rsidRPr="00087C6B">
        <w:rPr>
          <w:rFonts w:ascii="Times New Roman" w:hAnsi="Times New Roman" w:cs="Times New Roman"/>
        </w:rPr>
        <w:t>.</w:t>
      </w:r>
    </w:p>
    <w:p w14:paraId="44C2CE86" w14:textId="7EBC729E" w:rsidR="004E073D" w:rsidRPr="00087C6B" w:rsidRDefault="004E073D" w:rsidP="00EF0802">
      <w:pPr>
        <w:spacing w:line="360" w:lineRule="auto"/>
        <w:jc w:val="both"/>
        <w:rPr>
          <w:rFonts w:ascii="Times New Roman" w:hAnsi="Times New Roman" w:cs="Times New Roman"/>
        </w:rPr>
      </w:pPr>
      <w:r w:rsidRPr="00087C6B">
        <w:rPr>
          <w:rFonts w:ascii="Times New Roman" w:hAnsi="Times New Roman" w:cs="Times New Roman"/>
        </w:rPr>
        <w:t>Despite the benefits, awareness regarding thyroid and hypertensive risks during pregnancy, and the role lifestyle changes can play in preventing them, remains suboptimal in many populations. For instance,</w:t>
      </w:r>
      <w:r w:rsidR="005E429F">
        <w:rPr>
          <w:rFonts w:ascii="Times New Roman" w:hAnsi="Times New Roman" w:cs="Times New Roman"/>
        </w:rPr>
        <w:t xml:space="preserve">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{"citationItems":[{"id":"ITEM-1","itemData":{"DOI":"10.1371/journal.pone.0232712","ISBN":"1111111111","ISSN":"19326203","PMID":"32384102","abstract":"Background The use of excessive caffeine and consumption of alcohol, cigarette, and khat during pregnancy can result in adverse health effects on the fetus. The World Health Organization (WHO) recommends a daily caffeine intake not exceeding 300 mg. Likewise, pregnant women are recommended to avoid alcohol, khat and tobacco use. However, the prevalence’s of the use of substances among pregnant women were not well studied in developing countries such as Ethiopia. Therefore, the study aimed to estimate the prevalence of caffeine and alcohol consumption, khat chewing, and tobacco use during pregnancy and identify key factors associated with excess caffeine consumption. Methods We conducted a community based cross-sectional study and used a random sampling technique to recruit 352 pregnant women. We adapted a questionnaire from Caffeine Consumption Questionnaire-Revised (CCQ-R), Alcohol Use Disorder Identification Test (AUDIT), Global Adult Tobacco Survey (GATS), and Ethiopian Demographic Health Survey 2016 for caffeine, alcohol consumption, tobacco use, and khat chewing assessment, respectively. We conducted non-consecutive two days 24-hour recall to determine the habitual intake of caffeine from caffeinated beverages and foods. Prevalence with 95% confidence interval was estimated for excess caffeine intake per day, alcohol consumption, khat chewing, and passive tobacco smoking. We ran a multivariable binary logistic regression model to identify factors associated with excess caffeine intake. Results Almost all pregnant women (98.2%) consumed caffeine as estimated using the 2 days 24-hour average. The median daily caffeine intake was 170.5 mg and ranged from 0.00 mg to 549.8 mg per day. In addition, 17.6% (95% CI: 13.9%, 22.0%) of them had a daily caffeine consumption of 300 mg and above exceeding the WHO recommended daily caffeine intake during pregnancy. The prevalence of alcohol consumption and Khat chewing were 10.0% (95% CI: 7.2%, 13.7%) and 35.8% (95% CI: 30.8, 41.0%) respectively. None of the pregnant women were active tobacco smokers. However, 23.2% (95% CI: 19.0, 28.0%) were passive tobacco smokers. We found that pregnant women in the richest wealth quintile (AOR = 3.66; 95% CI: 1.13, 11.88), and the first trimester of pregnancy (AOR = 4.04; 95% CI: 1.26, 13.05) had higher odds of consuming excessive caffeine. Conclusions The study showed a considerable magnitude of substance use among pregnant women in the study area. Given this findings, we rec…","author":[{"dropping-particle":"","family":"Alamneh","given":"Alehegn Aderaw","non-dropping-particle":"","parse-names":false,"suffix":""},{"dropping-particle":"","family":"Endris","given":"Bilal Shikur","non-dropping-particle":"","parse-names":false,"suffix":""},{"dropping-particle":"","family":"Gebreyesus","given":"Seifu Hagos","non-dropping-particle":"","parse-names":false,"suffix":""}],"container-title":"PLoS ONE","id":"ITEM-1","issue":"5","issued":{"date-parts":[["2020"]]},"page":"1-18","title":"Caffeine, alcohol, khat, and tobacco use during pregnancy in Butajira, South Central Ethiopia","type":"article-journal","volume":"15"},"uris":["http://www.mendeley.com/documents/?uuid=b3adde9a-2b79-4833-a43c-a257562683e7"]}],"mendeley":{"formattedCitation":"(Alamneh et al., 2020)","manualFormatting":"Alamneh et al. (2020)","plainTextFormattedCitation":"(Alamneh et al., 2020)","previouslyFormattedCitation":"(Alamneh et al., 2020)"},"properties":{"noteIndex":0},"schema":"https://github.com/citation-style-language/schema/raw/master/csl-citation.json"}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 xml:space="preserve">Alamneh et al. </w:t>
      </w:r>
      <w:r w:rsidR="005E429F">
        <w:rPr>
          <w:rFonts w:ascii="Times New Roman" w:hAnsi="Times New Roman" w:cs="Times New Roman"/>
          <w:noProof/>
        </w:rPr>
        <w:t>(</w:t>
      </w:r>
      <w:r w:rsidR="005E429F" w:rsidRPr="005E429F">
        <w:rPr>
          <w:rFonts w:ascii="Times New Roman" w:hAnsi="Times New Roman" w:cs="Times New Roman"/>
          <w:noProof/>
        </w:rPr>
        <w:t>2020)</w:t>
      </w:r>
      <w:r w:rsidR="005E429F">
        <w:rPr>
          <w:rFonts w:ascii="Times New Roman" w:hAnsi="Times New Roman" w:cs="Times New Roman"/>
        </w:rPr>
        <w:fldChar w:fldCharType="end"/>
      </w:r>
      <w:r w:rsidRPr="00087C6B">
        <w:rPr>
          <w:rFonts w:ascii="Times New Roman" w:hAnsi="Times New Roman" w:cs="Times New Roman"/>
        </w:rPr>
        <w:t xml:space="preserve"> observed that a large number of pregnant women lacked critical knowledge about pregnancy-induced hypertension and its associated risks. Similarly,</w:t>
      </w:r>
      <w:r w:rsidR="005E429F">
        <w:rPr>
          <w:rFonts w:ascii="Times New Roman" w:hAnsi="Times New Roman" w:cs="Times New Roman"/>
        </w:rPr>
        <w:t xml:space="preserve">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{"citationItems":[{"id":"ITEM-1","itemData":{"DOI":"10.1093/eurjpc/zwac133","ISSN":"20474881","PMID":"35778824","abstract":"Aims: We compared the incidence of cardiovascular disease (CVD) in transgender participants with a diagnosis of gender dysphoria (GD) with and without gender-affirming hormone therapy (GAHT) to the incidence observed in the general population. Methods and results: The population-based cohort included all individuals &gt;10 years in Sweden linked to Swedish nationwide healthcare Registers (2006-16). Two comparator groups without GD/GAHT were matched (1:10) on age, county of residence, and on male and female birth-assigned sex, respectively. Cox proportional models provided hazard ratios (HRs) and 95% confidence intervals (CI) for CVD outcomes. Among 1779 transgender individuals [48% birth-assigned males (AMAB), 52% birth-assigned females (AFAB)], 18 developed CVD, most of which were conduction disorders. The incidence of CVD for AFAB individuals with GD was 3.7 per 1000 person-years (95% CI: 1.4-10.0). Assigned male at birth individuals with GD had an incidence of CVD event of 7.1 per 1000 person-years (95% CI: 4.2-12.0). The risk of CVD event was 2.4 times higher in AMAB individuals (HR: 2.4, 95% CI: 1.3-4.2) compared with cisgender women, and 1.7 higher compared with cisgender men (HR: 1.7, 95% CI: 1.0-2.9). Analysis limited to transgender individuals without GAHT yielded similar results to those with GAHT treatment. Conclusion: The incidence of CVD among GD/GAHT individuals was low, although increased compared with matched individuals without GD and similar to the incidence among GD/no GAHT individuals, thus not lending support for a causal relationship between treatment and CVD outcomes. Larger studies with longer follow-up are needed to verify these findings, as well as possible effect modification by comorbidity.","author":[{"dropping-particle":"","family":"Karalexi","given":"Maria A.","non-dropping-particle":"","parse-names":false,"suffix":""},{"dropping-particle":"","family":"Frisell","given":"Thomas","non-dropping-particle":"","parse-names":false,"suffix":""},{"dropping-particle":"","family":"Cnattingius","given":"Sven","non-dropping-particle":"","parse-names":false,"suffix":""},{"dropping-particle":"","family":"Holmberg","given":"Dag","non-dropping-particle":"","parse-names":false,"suffix":""},{"dropping-particle":"","family":"Holmberg","given":"Mats","non-dropping-particle":"","parse-names":false,"suffix":""},{"dropping-particle":"","family":"Kollia","given":"Natasa","non-dropping-particle":"","parse-names":false,"suffix":""},{"dropping-particle":"","family":"Skalkidou","given":"Alkistis","non-dropping-particle":"","parse-names":false,"suffix":""},{"dropping-particle":"","family":"Papadopoulos","given":"Fotios C.","non-dropping-particle":"","parse-names":false,"suffix":""}],"container-title":"European Journal of Preventive Cardiology","id":"ITEM-1","issue":"15","issued":{"date-parts":[["2022"]]},"page":"2017-2026","title":"Cardiovascular outcomes in transgender individuals in Sweden after initiation of gender-affirming hormone therapy","type":"article-journal","volume":"29"},"uris":["http://www.mendeley.com/documents/?uuid=6216c986-ac48-4091-adba-3d4ad3bf5d3e"]}],"mendeley":{"formattedCitation":"(Karalexi et al., 2022)","manualFormatting":"Karalexi et al. (2022)","plainTextFormattedCitation":"(Karalexi et al., 2022)","previouslyFormattedCitation":"(Karalexi et al., 2022)"},"properties":{"noteIndex":0},"schema":"https://github.com/citation-style-language/schema/raw/master/csl-citation.json"}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 xml:space="preserve">Karalexi et al. </w:t>
      </w:r>
      <w:r w:rsidR="005E429F">
        <w:rPr>
          <w:rFonts w:ascii="Times New Roman" w:hAnsi="Times New Roman" w:cs="Times New Roman"/>
          <w:noProof/>
        </w:rPr>
        <w:t>(</w:t>
      </w:r>
      <w:r w:rsidR="005E429F" w:rsidRPr="005E429F">
        <w:rPr>
          <w:rFonts w:ascii="Times New Roman" w:hAnsi="Times New Roman" w:cs="Times New Roman"/>
          <w:noProof/>
        </w:rPr>
        <w:t>2022)</w:t>
      </w:r>
      <w:r w:rsidR="005E429F">
        <w:rPr>
          <w:rFonts w:ascii="Times New Roman" w:hAnsi="Times New Roman" w:cs="Times New Roman"/>
        </w:rPr>
        <w:fldChar w:fldCharType="end"/>
      </w:r>
      <w:r w:rsidRPr="00087C6B">
        <w:rPr>
          <w:rFonts w:ascii="Times New Roman" w:hAnsi="Times New Roman" w:cs="Times New Roman"/>
        </w:rPr>
        <w:t xml:space="preserve"> reported inconsistencies in thyroid testing protocols and follow-up care among women without pre-existing thyroid disease. These gaps in awareness highlight the need for structured educational interventions as part of antenatal care services.</w:t>
      </w:r>
    </w:p>
    <w:p w14:paraId="0079B7A3" w14:textId="20BC11D3" w:rsidR="004E073D" w:rsidRPr="00087C6B" w:rsidRDefault="004E073D" w:rsidP="00EF0802">
      <w:pPr>
        <w:spacing w:line="360" w:lineRule="auto"/>
        <w:jc w:val="both"/>
        <w:rPr>
          <w:rFonts w:ascii="Times New Roman" w:hAnsi="Times New Roman" w:cs="Times New Roman"/>
        </w:rPr>
      </w:pPr>
      <w:r w:rsidRPr="00087C6B">
        <w:rPr>
          <w:rFonts w:ascii="Times New Roman" w:hAnsi="Times New Roman" w:cs="Times New Roman"/>
        </w:rPr>
        <w:t xml:space="preserve">India, with its high maternal morbidity burden and regional disparities in healthcare access, faces unique challenges. Cultural beliefs, lack of antenatal </w:t>
      </w:r>
      <w:proofErr w:type="spellStart"/>
      <w:r w:rsidRPr="00087C6B">
        <w:rPr>
          <w:rFonts w:ascii="Times New Roman" w:hAnsi="Times New Roman" w:cs="Times New Roman"/>
        </w:rPr>
        <w:t>counseling</w:t>
      </w:r>
      <w:proofErr w:type="spellEnd"/>
      <w:r w:rsidRPr="00087C6B">
        <w:rPr>
          <w:rFonts w:ascii="Times New Roman" w:hAnsi="Times New Roman" w:cs="Times New Roman"/>
        </w:rPr>
        <w:t xml:space="preserve">, and socio-economic limitations often prevent women from adopting recommended lifestyle practices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{"citationItems":[{"id":"ITEM-1","itemData":{"DOI":"10.1542/peds.2011-3093","ISSN":"00314005","PMID":"22614768","abstract":"BACKGROUND AND OBJECTIVE: Preeclampsia is an independent cardiovascular risk factor for the mother, and recent studies reveal that offspring of affected pregnancies also may have an increased cardiovascular risk. Our objective was to examine evidence for increased cardiovascular risk factors in children exposed to preeclampsia in utero. METHODS: We performed a systematic review and meta-analysis on studies reporting traditional cardiovascular risk factors in those exposed to preeclampsia compared to controls. Information was extracted on the classic cardiovascular risk factors, including blood pressure, lipid profile, glucose metabolism, and BMI from articles published between 1948 and August 2011 in Medline and Embase. RESULTS: Eighteen studies provided cumulated data on 45 249 individuals. In utero exposure to preeclampsia was associated with a 2.39 mm Hg (95% confidence interval: 1.74-3.05; P &lt; .0001) higher systolic and a 1.35 mm Hg (95% confidence interval: 0.90-1.80; P &lt; .00001) higher diastolic blood pressure during childhood and young adulthood. BMI was increased by 0.62 kg/m2 (P &lt; .00001). Associations were similar in children and adolescents, for different genders, and with variation in birth weight. There was insufficient evidence to identify consistent variation in lipid profile or glucose metabolism. CONCLUSIONS: Young offspring of pregnancies complicated by preeclampsia already have increased blood pressure and BMI, a finding that may need to be considered in future primary prevention strategies for cardiovascular disease. Copyright © 2012 by the American Academy of Pediatrics.","author":[{"dropping-particle":"","family":"Davis","given":"Esther Frances","non-dropping-particle":"","parse-names":false,"suffix":""},{"dropping-particle":"","family":"Lazdam","given":"Merzaka","non-dropping-particle":"","parse-names":false,"suffix":""},{"dropping-particle":"","family":"Lewandowski","given":"Adam James","non-dropping-particle":"","parse-names":false,"suffix":""},{"dropping-particle":"","family":"Worton","given":"Stephanie Anne","non-dropping-particle":"","parse-names":false,"suffix":""},{"dropping-particle":"","family":"Kelly","given":"Brenda","non-dropping-particle":"","parse-names":false,"suffix":""},{"dropping-particle":"","family":"Kenworthy","given":"Yvonne","non-dropping-particle":"","parse-names":false,"suffix":""},{"dropping-particle":"","family":"Adwani","given":"Satish","non-dropping-particle":"","parse-names":false,"suffix":""},{"dropping-particle":"","family":"Wilkinson","given":"Andrew R.","non-dropping-particle":"","parse-names":false,"suffix":""},{"dropping-particle":"","family":"McCormick","given":"Kenny","non-dropping-particle":"","parse-names":false,"suffix":""},{"dropping-particle":"","family":"Sargent","given":"Ian","non-dropping-particle":"","parse-names":false,"suffix":""},{"dropping-particle":"","family":"Redman","given":"Christopher","non-dropping-particle":"","parse-names":false,"suffix":""},{"dropping-particle":"","family":"Leeson","given":"Paul","non-dropping-particle":"","parse-names":false,"suffix":""}],"container-title":"Pediatrics","id":"ITEM-1","issue":"6","issued":{"date-parts":[["2012"]]},"title":"Cardiovascular risk factors in children and young adults born to preeclamptic pregnancies: A systematic review","type":"article-journal","volume":"129"},"uris":["http://www.mendeley.com/documents/?uuid=8a9a18ba-f717-4455-8b35-d555e81e011c"]}],"mendeley":{"formattedCitation":"(Davis, Lazdam, et al., 2012)","plainTextFormattedCitation":"(Davis, Lazdam, et al., 2012)","previouslyFormattedCitation":"(Davis, Lazdam, et al., 2012)"},"properties":{"noteIndex":0},"schema":"https://github.com/citation-style-language/schema/raw/master/csl-citation.json"}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(Davis, Lazdam, et al., 2012)</w:t>
      </w:r>
      <w:r w:rsidR="005E429F">
        <w:rPr>
          <w:rFonts w:ascii="Times New Roman" w:hAnsi="Times New Roman" w:cs="Times New Roman"/>
        </w:rPr>
        <w:fldChar w:fldCharType="end"/>
      </w:r>
      <w:r w:rsidRPr="00087C6B">
        <w:rPr>
          <w:rFonts w:ascii="Times New Roman" w:hAnsi="Times New Roman" w:cs="Times New Roman"/>
        </w:rPr>
        <w:t xml:space="preserve">. In such contexts, the promotion of health literacy through </w:t>
      </w:r>
      <w:proofErr w:type="spellStart"/>
      <w:r w:rsidRPr="00087C6B">
        <w:rPr>
          <w:rFonts w:ascii="Times New Roman" w:hAnsi="Times New Roman" w:cs="Times New Roman"/>
        </w:rPr>
        <w:t>counseling</w:t>
      </w:r>
      <w:proofErr w:type="spellEnd"/>
      <w:r w:rsidRPr="00087C6B">
        <w:rPr>
          <w:rFonts w:ascii="Times New Roman" w:hAnsi="Times New Roman" w:cs="Times New Roman"/>
        </w:rPr>
        <w:t>, community outreach, and personalized support becomes imperative. Studies by</w:t>
      </w:r>
      <w:r w:rsidR="005E429F">
        <w:rPr>
          <w:rFonts w:ascii="Times New Roman" w:hAnsi="Times New Roman" w:cs="Times New Roman"/>
        </w:rPr>
        <w:t xml:space="preserve">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{"citationItems":[{"id":"ITEM-1","itemData":{"DOI":"10.1007/s11906-009-0084-8","ISBN":"1190600900","ISSN":"15226417","PMID":"20425153","abstract":"Genetic and behavioral factors do not fully explain the development of hypertension, and there is increasing evidence suggesting that psychosocial factors may also play an important role. Exposure to chronic stress has been hypothesized as a risk factor for hypertension, and occupational stress, stressful aspects of the social environment, and low socioeconomic status have each been studied extensively. The study of discrimination is a more recent and rapidly growing area of investigation and may also help to explain the well-known racial disparities in hypertension. Research regarding mechanisms underlying stress effects on hypertension has largely focused on cardiovascular reactivity, but delayed recovery to the pre-stress level is increasingly being evaluated as another possible pathway. Recent findings in each of these areas are reviewed, and directions for future research are discussed. © 2010 Springer Science+Business Media, LLC.","author":[{"dropping-particle":"","family":"Spruill","given":"Tanya M.","non-dropping-particle":"","parse-names":false,"suffix":""}],"container-title":"Current Hypertension Reports","id":"ITEM-1","issue":"1","issued":{"date-parts":[["2010"]]},"page":"10-16","title":"Chronic psychosocial stress and hypertension","type":"article-journal","volume":"12"},"uris":["http://www.mendeley.com/documents/?uuid=ff7e5e47-e9ab-4244-a113-1096f147d205"]}],"mendeley":{"formattedCitation":"(Spruill, 2010)","manualFormatting":"Spruill (2010)","plainTextFormattedCitation":"(Spruill, 2010)","previouslyFormattedCitation":"(Spruill, 2010)"},"properties":{"noteIndex":0},"schema":"https://github.com/citation-style-language/schema/raw/master/csl-citation.json"}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 xml:space="preserve">Spruill </w:t>
      </w:r>
      <w:r w:rsidR="005E429F">
        <w:rPr>
          <w:rFonts w:ascii="Times New Roman" w:hAnsi="Times New Roman" w:cs="Times New Roman"/>
          <w:noProof/>
        </w:rPr>
        <w:t>(</w:t>
      </w:r>
      <w:r w:rsidR="005E429F" w:rsidRPr="005E429F">
        <w:rPr>
          <w:rFonts w:ascii="Times New Roman" w:hAnsi="Times New Roman" w:cs="Times New Roman"/>
          <w:noProof/>
        </w:rPr>
        <w:t>2010)</w:t>
      </w:r>
      <w:r w:rsidR="005E429F">
        <w:rPr>
          <w:rFonts w:ascii="Times New Roman" w:hAnsi="Times New Roman" w:cs="Times New Roman"/>
        </w:rPr>
        <w:fldChar w:fldCharType="end"/>
      </w:r>
      <w:r w:rsidRPr="00087C6B">
        <w:rPr>
          <w:rFonts w:ascii="Times New Roman" w:hAnsi="Times New Roman" w:cs="Times New Roman"/>
        </w:rPr>
        <w:t xml:space="preserve"> confirm that structured </w:t>
      </w:r>
      <w:proofErr w:type="spellStart"/>
      <w:r w:rsidRPr="00087C6B">
        <w:rPr>
          <w:rFonts w:ascii="Times New Roman" w:hAnsi="Times New Roman" w:cs="Times New Roman"/>
        </w:rPr>
        <w:t>counseling</w:t>
      </w:r>
      <w:proofErr w:type="spellEnd"/>
      <w:r w:rsidRPr="00087C6B">
        <w:rPr>
          <w:rFonts w:ascii="Times New Roman" w:hAnsi="Times New Roman" w:cs="Times New Roman"/>
        </w:rPr>
        <w:t xml:space="preserve"> significantly enhances pregnant women’s readiness to prevent hypertensive complications. Similarly,</w:t>
      </w:r>
      <w:r w:rsidR="005E429F">
        <w:rPr>
          <w:rFonts w:ascii="Times New Roman" w:hAnsi="Times New Roman" w:cs="Times New Roman"/>
        </w:rPr>
        <w:t xml:space="preserve">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{"citationItems":[{"id":"ITEM-1","itemData":{"abstract":"A basic office evaluation is the first and most important step in the assessment of urinary incontinence. Office evaluation in all women should include a thorough history, physical examination, assessment of symp-tom severity, and goals for treatment. In addition, all women with symptoms of urinary incontinence should have screening for urinary tract infection and postvoid residual urine volume to rule out retention and overflow incontinence before initiating any treatment. A simple cough stress test is useful in the initial evaluation, espe-cially in women with stress incontinence symptoms. Often, a diagnosis is made with basic office evaluation, and therapy can be initiated based on these findings. Additional specialized urodynamic studies may be nec-essary if complex conditions are present or the etiology of incontinence is unclear after a basic evaluation.","author":[{"dropping-particle":"","family":"ACOG","given":"","non-dropping-particle":"","parse-names":false,"suffix":""}],"container-title":"Obstetrics &amp; Gynecology","id":"ITEM-1","issue":"76","issued":{"date-parts":[["2019"]]},"page":"168-186","title":"Clinical Management Guidelines for Obstetrician : Chronic Hypertension in Pregnancy","type":"article-journal","volume":"133"},"uris":["http://www.mendeley.com/documents/?uuid=f172d350-544b-4918-98d5-2962227983c3"]}],"mendeley":{"formattedCitation":"(ACOG, 2019)","manualFormatting":"ACOG (2019)","plainTextFormattedCitation":"(ACOG, 2019)","previouslyFormattedCitation":"(ACOG, 2019)"},"properties":{"noteIndex":0},"schema":"https://github.com/citation-style-language/schema/raw/master/csl-citation.json"}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ACOG</w:t>
      </w:r>
      <w:r w:rsidR="005E429F">
        <w:rPr>
          <w:rFonts w:ascii="Times New Roman" w:hAnsi="Times New Roman" w:cs="Times New Roman"/>
          <w:noProof/>
        </w:rPr>
        <w:t xml:space="preserve"> (</w:t>
      </w:r>
      <w:r w:rsidR="005E429F" w:rsidRPr="005E429F">
        <w:rPr>
          <w:rFonts w:ascii="Times New Roman" w:hAnsi="Times New Roman" w:cs="Times New Roman"/>
          <w:noProof/>
        </w:rPr>
        <w:t>2019)</w:t>
      </w:r>
      <w:r w:rsidR="005E429F">
        <w:rPr>
          <w:rFonts w:ascii="Times New Roman" w:hAnsi="Times New Roman" w:cs="Times New Roman"/>
        </w:rPr>
        <w:fldChar w:fldCharType="end"/>
      </w:r>
      <w:r w:rsidRPr="00087C6B">
        <w:rPr>
          <w:rFonts w:ascii="Times New Roman" w:hAnsi="Times New Roman" w:cs="Times New Roman"/>
        </w:rPr>
        <w:t xml:space="preserve"> stressed the importance of nutritional education for thyroid function regulation via the diet-gut-thyroid axis.</w:t>
      </w:r>
    </w:p>
    <w:p w14:paraId="58868A3B" w14:textId="77777777" w:rsidR="004E073D" w:rsidRPr="00087C6B" w:rsidRDefault="004E073D" w:rsidP="00EF0802">
      <w:pPr>
        <w:spacing w:line="360" w:lineRule="auto"/>
        <w:jc w:val="both"/>
        <w:rPr>
          <w:rFonts w:ascii="Times New Roman" w:hAnsi="Times New Roman" w:cs="Times New Roman"/>
        </w:rPr>
      </w:pPr>
      <w:r w:rsidRPr="00087C6B">
        <w:rPr>
          <w:rFonts w:ascii="Times New Roman" w:hAnsi="Times New Roman" w:cs="Times New Roman"/>
        </w:rPr>
        <w:t xml:space="preserve">The current study seeks to bridge this gap by evaluating the impact of lifestyle modification on awareness and prevention of thyroid and hypertension-related complications in pregnant women. It further examines how demographic variables </w:t>
      </w:r>
      <w:r w:rsidRPr="00087C6B">
        <w:rPr>
          <w:rFonts w:ascii="Times New Roman" w:hAnsi="Times New Roman" w:cs="Times New Roman"/>
        </w:rPr>
        <w:lastRenderedPageBreak/>
        <w:t xml:space="preserve">influence the knowledge level and health practices of pregnant women in the Indian context. Through educational modules, lifestyle </w:t>
      </w:r>
      <w:proofErr w:type="spellStart"/>
      <w:r w:rsidRPr="00087C6B">
        <w:rPr>
          <w:rFonts w:ascii="Times New Roman" w:hAnsi="Times New Roman" w:cs="Times New Roman"/>
        </w:rPr>
        <w:t>counseling</w:t>
      </w:r>
      <w:proofErr w:type="spellEnd"/>
      <w:r w:rsidRPr="00087C6B">
        <w:rPr>
          <w:rFonts w:ascii="Times New Roman" w:hAnsi="Times New Roman" w:cs="Times New Roman"/>
        </w:rPr>
        <w:t xml:space="preserve">, and pre-post assessment, the study aims to develop an evidence-based framework for </w:t>
      </w:r>
      <w:proofErr w:type="spellStart"/>
      <w:r w:rsidRPr="00087C6B">
        <w:rPr>
          <w:rFonts w:ascii="Times New Roman" w:hAnsi="Times New Roman" w:cs="Times New Roman"/>
        </w:rPr>
        <w:t>behavior</w:t>
      </w:r>
      <w:proofErr w:type="spellEnd"/>
      <w:r w:rsidRPr="00087C6B">
        <w:rPr>
          <w:rFonts w:ascii="Times New Roman" w:hAnsi="Times New Roman" w:cs="Times New Roman"/>
        </w:rPr>
        <w:t>-driven maternal care.</w:t>
      </w:r>
    </w:p>
    <w:p w14:paraId="3C71E51B" w14:textId="3CABEE4D" w:rsidR="004E073D" w:rsidRPr="00087C6B" w:rsidRDefault="004E073D" w:rsidP="00EF0802">
      <w:pPr>
        <w:spacing w:line="360" w:lineRule="auto"/>
        <w:jc w:val="both"/>
        <w:rPr>
          <w:rFonts w:ascii="Times New Roman" w:hAnsi="Times New Roman" w:cs="Times New Roman"/>
        </w:rPr>
      </w:pPr>
      <w:r w:rsidRPr="00087C6B">
        <w:rPr>
          <w:rFonts w:ascii="Times New Roman" w:hAnsi="Times New Roman" w:cs="Times New Roman"/>
        </w:rPr>
        <w:t>Additionally, this research aligns with the growing focus on patient-</w:t>
      </w:r>
      <w:proofErr w:type="spellStart"/>
      <w:r w:rsidRPr="00087C6B">
        <w:rPr>
          <w:rFonts w:ascii="Times New Roman" w:hAnsi="Times New Roman" w:cs="Times New Roman"/>
        </w:rPr>
        <w:t>centered</w:t>
      </w:r>
      <w:proofErr w:type="spellEnd"/>
      <w:r w:rsidRPr="00087C6B">
        <w:rPr>
          <w:rFonts w:ascii="Times New Roman" w:hAnsi="Times New Roman" w:cs="Times New Roman"/>
        </w:rPr>
        <w:t xml:space="preserve"> and preventive models of antenatal care. Global organizations such as the World Health Organization (WHO) and FIGO advocate for integrated antenatal approaches that combine clinical care with </w:t>
      </w:r>
      <w:proofErr w:type="spellStart"/>
      <w:r w:rsidRPr="00087C6B">
        <w:rPr>
          <w:rFonts w:ascii="Times New Roman" w:hAnsi="Times New Roman" w:cs="Times New Roman"/>
        </w:rPr>
        <w:t>behavioral</w:t>
      </w:r>
      <w:proofErr w:type="spellEnd"/>
      <w:r w:rsidRPr="00087C6B">
        <w:rPr>
          <w:rFonts w:ascii="Times New Roman" w:hAnsi="Times New Roman" w:cs="Times New Roman"/>
        </w:rPr>
        <w:t xml:space="preserve"> interventions. According to</w:t>
      </w:r>
      <w:r w:rsidR="005E429F">
        <w:rPr>
          <w:rFonts w:ascii="Times New Roman" w:hAnsi="Times New Roman" w:cs="Times New Roman"/>
        </w:rPr>
        <w:t xml:space="preserve">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{"citationItems":[{"id":"ITEM-1","itemData":{"DOI":"10.1080/01443615.2019.1678575","ISSN":"13646893","PMID":"31814492","abstract":"Vitamin D and calcium deficiency have been reported as one of the causes of preeclampsia. In this study, levels of vitamin D, calcium and phosphorus were evaluated in 51 normotensive pregnant women and 52 women with preeclampsia at the gestational age between 28 and 36 weeks in Tabriz. Logistic regression and general linear models were used for comparing levels and means of vitamin D, calcium and phosphorus between the two groups adjusting for education and Body Mass Index (BMI). The results showed that mean serum vitamin D (p =.73), calcium (p =.12) and phosphorus (p =.60) levels were not significantly different between the groups after adjusting for education and BMI. Based on this study, no relationship was observed between vitamin D deficiency and preeclampsia; however, it was seen that the hypocalcaemia could increase the risk of preeclampsia up to 8.5 times. Based on our results and the literature, it seems that further studies need to be done to provide more insights into this area.Impact statementWhat is already known on this subject? Preeclampsia is one of the three leading causes of maternal morbidity and mortality worldwide. Despite the importance of preeclampsia, the causes and methods of prevention of this disease are still unknown. Deficiency of vitamin D affects the calcium balance of mothers and fetuses and has also been reported as one of the causes of preeclampsia disease. Reducing serum calcium can lead to increased blood pressure in preeclamptic women. Changes in calcium metabolism during pregnancy could be one of the potential causes of preeclampsia. Although the association of vitamin D, calcium and phosphorus with preeclampsia have been discussed previously, the results are not consistent. What do the results of this study add? The results showed that mean serum vitamin D, calcium and phosphorus levels were not significantly different between the groups. What are the implications of these findings for clinical practice and/or future research? Based on this study, no relationship was observed between vitamin D deficiency and preeclampsia; however, it was seen that the hypocalcaemia could increase the risk of preeclampsia by up to 8.5 times. Based on our results and the literature, it seems that further studies need to be done to provide more insights into this area.","author":[{"dropping-particle":"","family":"Abbasalizadeh","given":"Shamci","non-dropping-particle":"","parse-names":false,"suffix":""},{"dropping-particle":"","family":"Abam","given":"Fozieh","non-dropping-particle":"","parse-names":false,"suffix":""},{"dropping-particle":"","family":"Mirghafourvand","given":"Mojgan","non-dropping-particle":"","parse-names":false,"suffix":""},{"dropping-particle":"","family":"Abbasalizadeh","given":"Fatemeh","non-dropping-particle":"","parse-names":false,"suffix":""},{"dropping-particle":"","family":"Taghavi","given":"Simin","non-dropping-particle":"","parse-names":false,"suffix":""},{"dropping-particle":"","family":"Hajizadeh","given":"Khadije","non-dropping-particle":"","parse-names":false,"suffix":""}],"container-title":"Journal of Obstetrics and Gynaecology","id":"ITEM-1","issue":"8","issued":{"date-parts":[["2020"]]},"page":"1069-1073","publisher":"Taylor &amp; Francis","title":"Comparing levels of vitamin D, calcium and phosphorus in normotensive pregnant women and pregnant women with preeclampsia","type":"article-journal","volume":"40"},"uris":["http://www.mendeley.com/documents/?uuid=c5d5540a-19aa-4cd5-96a7-edaca8368d44"]}],"mendeley":{"formattedCitation":"(Abbasalizadeh et al., 2020)","manualFormatting":"Abbasalizadeh et al. (2020)","plainTextFormattedCitation":"(Abbasalizadeh et al., 2020)","previouslyFormattedCitation":"(Abbasalizadeh et al., 2020)"},"properties":{"noteIndex":0},"schema":"https://github.com/citation-style-language/schema/raw/master/csl-citation.json"}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 xml:space="preserve">Abbasalizadeh et al. </w:t>
      </w:r>
      <w:r w:rsidR="005E429F">
        <w:rPr>
          <w:rFonts w:ascii="Times New Roman" w:hAnsi="Times New Roman" w:cs="Times New Roman"/>
          <w:noProof/>
        </w:rPr>
        <w:t>(</w:t>
      </w:r>
      <w:r w:rsidR="005E429F" w:rsidRPr="005E429F">
        <w:rPr>
          <w:rFonts w:ascii="Times New Roman" w:hAnsi="Times New Roman" w:cs="Times New Roman"/>
          <w:noProof/>
        </w:rPr>
        <w:t>2020)</w:t>
      </w:r>
      <w:r w:rsidR="005E429F">
        <w:rPr>
          <w:rFonts w:ascii="Times New Roman" w:hAnsi="Times New Roman" w:cs="Times New Roman"/>
        </w:rPr>
        <w:fldChar w:fldCharType="end"/>
      </w:r>
      <w:r w:rsidRPr="00087C6B">
        <w:rPr>
          <w:rFonts w:ascii="Times New Roman" w:hAnsi="Times New Roman" w:cs="Times New Roman"/>
        </w:rPr>
        <w:t xml:space="preserve">, maternal preparation should begin even before conception, as early nutritional and </w:t>
      </w:r>
      <w:proofErr w:type="spellStart"/>
      <w:r w:rsidRPr="00087C6B">
        <w:rPr>
          <w:rFonts w:ascii="Times New Roman" w:hAnsi="Times New Roman" w:cs="Times New Roman"/>
        </w:rPr>
        <w:t>behavioral</w:t>
      </w:r>
      <w:proofErr w:type="spellEnd"/>
      <w:r w:rsidRPr="00087C6B">
        <w:rPr>
          <w:rFonts w:ascii="Times New Roman" w:hAnsi="Times New Roman" w:cs="Times New Roman"/>
        </w:rPr>
        <w:t xml:space="preserve"> habits influence maternal outcomes and </w:t>
      </w:r>
      <w:proofErr w:type="spellStart"/>
      <w:r w:rsidRPr="00087C6B">
        <w:rPr>
          <w:rFonts w:ascii="Times New Roman" w:hAnsi="Times New Roman" w:cs="Times New Roman"/>
        </w:rPr>
        <w:t>fetal</w:t>
      </w:r>
      <w:proofErr w:type="spellEnd"/>
      <w:r w:rsidRPr="00087C6B">
        <w:rPr>
          <w:rFonts w:ascii="Times New Roman" w:hAnsi="Times New Roman" w:cs="Times New Roman"/>
        </w:rPr>
        <w:t xml:space="preserve"> programming. Incorporating lifestyle-based modules into routine antenatal visits not only empowers women but also eases the burden on overburdened clinical systems.</w:t>
      </w:r>
    </w:p>
    <w:p w14:paraId="786F22C8" w14:textId="77777777" w:rsidR="004E073D" w:rsidRPr="00087C6B" w:rsidRDefault="004E073D" w:rsidP="00EF0802">
      <w:pPr>
        <w:spacing w:line="360" w:lineRule="auto"/>
        <w:jc w:val="both"/>
        <w:rPr>
          <w:rFonts w:ascii="Times New Roman" w:hAnsi="Times New Roman" w:cs="Times New Roman"/>
        </w:rPr>
      </w:pPr>
      <w:r w:rsidRPr="00087C6B">
        <w:rPr>
          <w:rFonts w:ascii="Times New Roman" w:hAnsi="Times New Roman" w:cs="Times New Roman"/>
        </w:rPr>
        <w:t xml:space="preserve">In conclusion, the convergence of thyroid dysfunction and hypertension during pregnancy poses a compounded health risk for women and their offspring. Lifestyle modification emerges as a cost-effective and sustainable solution to this dual burden. However, its effectiveness is contingent upon awareness, accessibility, and cultural adaptation. This study is therefore positioned to contribute significant empirical evidence and practical recommendations to improve maternal health outcomes through informed lifestyle choices and structured </w:t>
      </w:r>
      <w:proofErr w:type="spellStart"/>
      <w:r w:rsidRPr="00087C6B">
        <w:rPr>
          <w:rFonts w:ascii="Times New Roman" w:hAnsi="Times New Roman" w:cs="Times New Roman"/>
        </w:rPr>
        <w:t>behavioral</w:t>
      </w:r>
      <w:proofErr w:type="spellEnd"/>
      <w:r w:rsidRPr="00087C6B">
        <w:rPr>
          <w:rFonts w:ascii="Times New Roman" w:hAnsi="Times New Roman" w:cs="Times New Roman"/>
        </w:rPr>
        <w:t xml:space="preserve"> interventions.</w:t>
      </w:r>
    </w:p>
    <w:p w14:paraId="5A965B06" w14:textId="213E305B" w:rsidR="004E073D" w:rsidRPr="00087C6B" w:rsidRDefault="004E073D" w:rsidP="00EF0802">
      <w:pPr>
        <w:spacing w:line="360" w:lineRule="auto"/>
        <w:jc w:val="both"/>
        <w:rPr>
          <w:rFonts w:ascii="Times New Roman" w:hAnsi="Times New Roman" w:cs="Times New Roman"/>
        </w:rPr>
      </w:pPr>
    </w:p>
    <w:p w14:paraId="070DCA79" w14:textId="77777777" w:rsidR="004E073D" w:rsidRPr="00952CD4" w:rsidRDefault="004E073D" w:rsidP="00EF0802">
      <w:pPr>
        <w:spacing w:line="360" w:lineRule="auto"/>
        <w:jc w:val="both"/>
        <w:rPr>
          <w:rFonts w:ascii="Times New Roman" w:hAnsi="Times New Roman" w:cs="Times New Roman"/>
          <w:b/>
          <w:bCs/>
        </w:rPr>
      </w:pPr>
      <w:r w:rsidRPr="00952CD4">
        <w:rPr>
          <w:rFonts w:ascii="Times New Roman" w:hAnsi="Times New Roman" w:cs="Times New Roman"/>
          <w:b/>
          <w:bCs/>
        </w:rPr>
        <w:t>1.2 Background of the Study</w:t>
      </w:r>
    </w:p>
    <w:p w14:paraId="371D2B98" w14:textId="5BAAA9EE" w:rsidR="004E073D" w:rsidRPr="00087C6B" w:rsidRDefault="004E073D" w:rsidP="00EF0802">
      <w:pPr>
        <w:spacing w:line="360" w:lineRule="auto"/>
        <w:jc w:val="both"/>
        <w:rPr>
          <w:rFonts w:ascii="Times New Roman" w:hAnsi="Times New Roman" w:cs="Times New Roman"/>
        </w:rPr>
      </w:pPr>
      <w:r w:rsidRPr="00952CD4">
        <w:rPr>
          <w:rFonts w:ascii="Times New Roman" w:hAnsi="Times New Roman" w:cs="Times New Roman"/>
        </w:rPr>
        <w:t xml:space="preserve">Pregnancy is a </w:t>
      </w:r>
      <w:r w:rsidRPr="00087C6B">
        <w:rPr>
          <w:rFonts w:ascii="Times New Roman" w:hAnsi="Times New Roman" w:cs="Times New Roman"/>
        </w:rPr>
        <w:t xml:space="preserve">critical phase in a woman’s life that involves complex physiological, hormonal, and metabolic changes. These adaptations, though essential for </w:t>
      </w:r>
      <w:proofErr w:type="spellStart"/>
      <w:r w:rsidRPr="00087C6B">
        <w:rPr>
          <w:rFonts w:ascii="Times New Roman" w:hAnsi="Times New Roman" w:cs="Times New Roman"/>
        </w:rPr>
        <w:t>fetal</w:t>
      </w:r>
      <w:proofErr w:type="spellEnd"/>
      <w:r w:rsidRPr="00087C6B">
        <w:rPr>
          <w:rFonts w:ascii="Times New Roman" w:hAnsi="Times New Roman" w:cs="Times New Roman"/>
        </w:rPr>
        <w:t xml:space="preserve"> growth and development, also render the mother vulnerable to several health complications, among which hypertension and thyroid dysfunction are particularly significant. These conditions are major contributors to maternal morbidity and mortality globally and are associated with a host of adverse outcomes including preterm birth, intrauterine growth restriction, low birth weight, and perinatal mortality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{"citationItems":[{"id":"ITEM-1","itemData":{"DOI":"10.1111/jhn.12744","ISSN":"1365277X","PMID":"32196793","abstract":"Background: High blood pressure (BP) in pregnancy is associated with significant adverse outcomes. In nonpregnant populations, the DASH (Dietary Approaches to Stop Hypertension) diet is associated with reductions in blood pressure. The present study investigated the relationship between the DASH dietary pattern and maternal BP in pregnancy. Methods: This is an observational study of 511 women who participated in the ROLO study (Randomized cOntrol trial of LOw glycaemic index diet for the prevention of recurrence of macrosomia), 2007–2011, Dublin, Ireland. Auscultatory blood pressure, systolic blood pressure (SBP) and diastolic blood pressure (DBP) measurements were taken. Mean arterial pressure (MAP) was calculated. Dietary intakes were recorded using 3-day food diaries in each trimester. DASH scoring criteria were used to score and rank participants from low to high intakes of foods recommended in the DASH diet. Statistical analysis using analysis of variance and multiple linear regression were used to determine the relationship between maternal BP and DASH scores. Results: Dietary intake more closely resembling the DASH dietary recommendations throughout pregnancy was associated with a lower DBP (mmHg) in trimesters 1 [B: −0.70; 95% confidence interval (CI) = −1.21 to −0.18] and 3 (B: −0.68; 95% CI = −1.19 to −0.17), as well as lower MAP (mmHg) in trimesters 1 (B: −0.78; 95% CI = −1.33 to −0.25) and 3 (B: −0.54; 95% CI = −1.04 to −0.04), controlling for body mass index, age, education, energy intake and intervention grouping. Conclusions: The DASH dietary pattern was associated with lower maternal BP in pregnancy among healthy women without hypertensive disorders of pregnancy. Despite the observational nature of these findings, the results demonstrate the potential for healthcare professionals to intervene to promote cardiovascular health in pregnancy.","author":[{"dropping-particle":"","family":"Courtney","given":"A. U.","non-dropping-particle":"","parse-names":false,"suffix":""},{"dropping-particle":"","family":"O’Brien","given":"E. C.","non-dropping-particle":"","parse-names":false,"suffix":""},{"dropping-particle":"","family":"Crowley","given":"R. K.","non-dropping-particle":"","parse-names":false,"suffix":""},{"dropping-particle":"","family":"Geraghty","given":"A. A.","non-dropping-particle":"","parse-names":false,"suffix":""},{"dropping-particle":"","family":"Brady","given":"M. B.","non-dropping-particle":"","parse-names":false,"suffix":""},{"dropping-particle":"","family":"Kilbane","given":"M. T.","non-dropping-particle":"","parse-names":false,"suffix":""},{"dropping-particle":"","family":"Twomey","given":"P. J.","non-dropping-particle":"","parse-names":false,"suffix":""},{"dropping-particle":"","family":"McKenna","given":"M. J.","non-dropping-particle":"","parse-names":false,"suffix":""},{"dropping-particle":"","family":"McAuliffe","given":"F. M.","non-dropping-particle":"","parse-names":false,"suffix":""}],"container-title":"Journal of Human Nutrition and Dietetics","id":"ITEM-1","issue":"5","issued":{"date-parts":[["2020"]]},"page":"686-697","title":"DASH (Dietary Approaches to Stop Hypertension) dietary pattern and maternal blood pressure in pregnancy","type":"article-journal","volume":"33"},"uris":["http://www.mendeley.com/documents/?uuid=21c91a36-6c65-419f-ab8f-a8ab6cb58177"]},{"id":"ITEM-2","itemData":{"DOI":"10.3390/nu11020338","ISSN":"20726643","PMID":"30764511","abstract":"Background: The Dietary Approaches to Stop Hypertension (DASH) dietary pattern, which emphasizes fruit, vegetables, fat-free/low-fat dairy, whole grains, nuts and legumes, and limits saturated fat, cholesterol, red and processed meats, sweets, added sugars, salt and sugar-sweetened beverages, is widely recommended by international diabetes and heart association guidelines. Objective: To summarize the available evidence for the update of the European Association of the Study of Diabetes (EASD) guidelines, we conducted an umbrella review of existing systematic reviews and meta-analyses using the Grading of Recommendations Assessment, Development, and Evaluation (GRADE) approach of the relation of the DASH dietary pattern with cardiovascular disease and other cardiometabolic outcomes in prospective cohort studies and its effect on blood pressure and other cardiometabolic risk factors in controlled trials in individuals with and without diabetes. Methods: MEDLINE and EMBASE were searched through 3 January 2019. We included systematic reviews and meta-analyses assessing the relation of the DASH dietary pattern with cardiometabolic disease outcomes in prospective cohort studies and the effect on cardiometabolic risk factors in randomized and non-randomized controlled trials. Two independent reviewers extracted relevant data and assessed the risk of bias of individual studies. The primary outcome was incident cardiovascular disease (CVD) in the prospective cohort studies and systolic blood pressure in the controlled trials. Secondary outcomes included incident coronary heart disease, stroke, and diabetes in prospective cohort studies and other established cardiometabolic risk factors in controlled trials. If the search did not identify an existing systematic review and meta-analysis on a pre-specified outcome, then we conducted our own systematic review and meta-analysis. The evidence was summarized as risk ratios (RR) for disease incidence outcomes and mean differences (MDs) for risk factor outcomes with 95% confidence intervals (95% CIs). The certainty of the evidence was assessed using GRADE. Results: We identified three systematic reviews and meta-analyses of 15 unique prospective cohort studies (n = 942,140) and four systematic reviews and meta-analyses of 31 unique controlled trials (n = 4,414) across outcomes. We conducted our own systematic review and meta-analysis of 2 controlled trials (n = 65) for HbA1c. The DASH dietary pattern was associated with …","author":[{"dropping-particle":"","family":"Chiavaroli","given":"Laura","non-dropping-particle":"","parse-names":false,"suffix":""},{"dropping-particle":"","family":"Viguiliouk","given":"Effie","non-dropping-particle":"","parse-names":false,"suffix":""},{"dropping-particle":"","family":"Nishi","given":"Stephanie K.","non-dropping-particle":"","parse-names":false,"suffix":""},{"dropping-particle":"","family":"Mejia","given":"Sonia Blanco","non-dropping-particle":"","parse-names":false,"suffix":""},{"dropping-particle":"","family":"Rahelić","given":"Dario","non-dropping-particle":"","parse-names":false,"suffix":""},{"dropping-particle":"","family":"Kahleová","given":"Hana","non-dropping-particle":"","parse-names":false,"suffix":""},{"dropping-particle":"","family":"Salas-Salvadó","given":"Jordi","non-dropping-particle":"","parse-names":false,"suffix":""},{"dropping-particle":"","family":"Kendall","given":"Cyril W.C.","non-dropping-particle":"","parse-names":false,"suffix":""},{"dropping-particle":"","family":"Sievenpiper","given":"John L.","non-dropping-particle":"","parse-names":false,"suffix":""}],"container-title":"Nutrients","id":"ITEM-2","issue":"2","issued":{"date-parts":[["2019"]]},"title":"DASH dietary pattern and cardiometabolic outcomes: An umbrella review of systematic reviews and meta-analyses","type":"article-journal","volume":"11"},"uris":["http://www.mendeley.com/documents/?uuid=47c301f2-801b-4833-bf0e-acc0da7409de"]}],"mendeley":{"formattedCitation":"(Chiavaroli et al., 2019; Courtney et al., 2020)","plainTextFormattedCitation":"(Chiavaroli et al., 2019; Courtney et al., 2020)","previouslyFormattedCitation":"(Chiavaroli et al., 2019; Courtney et al., 2020)"},"properties":{"noteIndex":0},"schema":"https://github.com/citation-style-language/schema/raw/master/csl-citation.json"}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(Chiavaroli et al., 2019; Courtney et al., 2020)</w:t>
      </w:r>
      <w:r w:rsidR="005E429F">
        <w:rPr>
          <w:rFonts w:ascii="Times New Roman" w:hAnsi="Times New Roman" w:cs="Times New Roman"/>
        </w:rPr>
        <w:fldChar w:fldCharType="end"/>
      </w:r>
      <w:r w:rsidRPr="00087C6B">
        <w:rPr>
          <w:rFonts w:ascii="Times New Roman" w:hAnsi="Times New Roman" w:cs="Times New Roman"/>
        </w:rPr>
        <w:t>.</w:t>
      </w:r>
    </w:p>
    <w:p w14:paraId="751E436D" w14:textId="44A88242" w:rsidR="004E073D" w:rsidRPr="00087C6B" w:rsidRDefault="004E073D" w:rsidP="00EF0802">
      <w:pPr>
        <w:spacing w:line="360" w:lineRule="auto"/>
        <w:jc w:val="both"/>
        <w:rPr>
          <w:rFonts w:ascii="Times New Roman" w:hAnsi="Times New Roman" w:cs="Times New Roman"/>
        </w:rPr>
      </w:pPr>
      <w:r w:rsidRPr="00087C6B">
        <w:rPr>
          <w:rFonts w:ascii="Times New Roman" w:hAnsi="Times New Roman" w:cs="Times New Roman"/>
        </w:rPr>
        <w:t xml:space="preserve">Hypertensive disorders of pregnancy (HDP), including gestational hypertension, preeclampsia, and eclampsia, affect nearly 10% of pregnancies worldwide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{"citationItems":[{"id":"ITEM-1","itemData":{"DOI":"10.1161/HYPERTENSIONAHA.107.100727","ISSN":"0194911X","PMID":"18039980","abstract":"Our aim was to assess the prognostic significance of nighttime and daytime ambulatory blood pressure and their ratio for mortality and cause-specific cardiovascular events in hypertensive patients without major cardiovascular disease at baseline. We performed a meta-analysis on individual data of 3468 patients from 4 prospective studies performed in Europe. Age of the subjects averaged 61±13 years, 45% were men, 13.7% smoked, 8.4% had diabetes, and 61% were under antihypertensive treatment at the time of ambulatory blood pressure monitoring. Office, daytime, and nighttime blood pressure averaged 159±20/91±12, 143±17/87±12, and 130±18/ 75±12 mm Hg. Total follow-up amounted to 23 164 patient-years. We used multivariable Cox regression analysis to assess the hazard ratios associated with 1 standard deviation higher blood pressure. Daytime and nighttime systolic blood pressure predicted all-cause and cardiovascular mortality, coronary heart disease, and stroke, independently from office blood pressure and confounding variables. When these blood pressures were entered simultaneously into the models, nighttime blood pressure predicted all outcomes, whereas daytime blood pressure did not add prognostic precision to nighttime pressure. Appropriate interaction terms indicated that the results were similar in men and women, in younger and older patients, and in treated and untreated patients The systolic night-day blood pressure ratio predicted all outcomes, which only persisted for all-cause mortality after adjustment for 24-hour blood pressure. In conclusion, nighttime blood pressure is in general a better predictor of outcome than daytime pressure in hypertensive patients, and the night-day blood pressure ratio predicts mortality, even after adjustment for 24-hour blood pressure. © 2008 American Heart Association, Inc.","author":[{"dropping-particle":"","family":"Fagard","given":"Robert H.","non-dropping-particle":"","parse-names":false,"suffix":""},{"dropping-particle":"","family":"Celis","given":"Hilde","non-dropping-particle":"","parse-names":false,"suffix":""},{"dropping-particle":"","family":"Thijs","given":"Lutgarde","non-dropping-particle":"","parse-names":false,"suffix":""},{"dropping-particle":"","family":"Staessen","given":"Jan A.","non-dropping-particle":"","parse-names":false,"suffix":""},{"dropping-particle":"","family":"Clement","given":"Denis L.","non-dropping-particle":"","parse-names":false,"suffix":""},{"dropping-particle":"","family":"Buyzere","given":"Marc L.","non-dropping-particle":"De","parse-names":false,"suffix":""},{"dropping-particle":"","family":"Bacquer","given":"Dirk A.","non-dropping-particle":"De","parse-names":false,"suffix":""}],"container-title":"Hypertension","id":"ITEM-1","issue":"1","issued":{"date-parts":[["2008"]]},"page":"55-61","title":"Daytime and nighttime blood pressure as predictors of death and cause-specific cardiovascular events in hypertension","type":"article-journal","volume":"51"},"uris":["http://www.mendeley.com/documents/?uuid=4c8b2d78-e488-4b19-97b3-984180f7abdb"]},{"id":"ITEM-2","itemData":{"DOI":"10.2196/mhealth.3874","ISSN":"22915222","abstract":"Background: Mobile health (mHealth) has been posited to contribute to the reduction in health gaps and has shown fast and widespread growth in developing countries. This growth demands understanding of, and preparedness for, local cultural contexts. Objective: To describe the design and validation of text messages (short message service, SMS) that will be used for an mHealth behavioral change intervention to prevent hypertension in three Latin American countries: Argentina, Guatemala, and Peru. Methods: An initial set of 64 SMS text messages were designed to promote healthy lifestyles among individuals in different stages of behavior change, addressing four key domains: salt and sodium intake, fruit and vegetable intake, consumption of high fat and sugar foods, and physical activity. The 64 SMS text messages were organized into nine subsets for field validation. In each country 36 people were recruited, half of them being male. Of the participants, 4 per country evaluated each subset of SMS text messages, which contained between 6 and 8 SMS text messages regarding different key domains and stages of change. The understanding and appeal of each SMS text message was assessed using a 7-item questionnaire. The understanding and appeal ratings were used to reach a final set of 56 SMS text messages. Results: Overall, each of the 64 SMS text messages received a total of 12 evaluations (4 per country). The majority of evaluations-742 out of a total of 767 (96.7%) valid responses-revealed an adequate understanding of the key idea contained in the SMS text message. On a scale from 1 to 10, the average appeal score was 8.7 points, with a range of 4 to 10 points. Based on their low scores, 8 SMS text messages per country were discarded. Once the final set of 56 SMS text messages was established, and based on feedback obtained in the field, wording and content of some SMS text messages were improved. Of the final set, 9, 8, and 16 of the SMS text messages were improved based on participant evaluations from Argentina, Guatemala, and Peru, respectively. Most SMS text messages selected for the final set (49/56, 88%) were the same in all countries, except for small wording differences. Conclusions: The final set of SMS text messages produced had very high rates of understanding and appeal in three different Latin American countries. This study highlights the importance of developing and validating a package of simple, preventative SMS text messages, grounded in evidence…","author":[{"dropping-particle":"","family":"Diez-Canseco","given":"Francisco","non-dropping-particle":"","parse-names":false,"suffix":""},{"dropping-particle":"","family":"Alfredo Zavala-Loayza","given":"J.","non-dropping-particle":"","parse-names":false,"suffix":""},{"dropping-particle":"","family":"Beratarrechea","given":"Andrea","non-dropping-particle":"","parse-names":false,"suffix":""},{"dropping-particle":"","family":"Kanter","given":"Rebecca","non-dropping-particle":"","parse-names":false,"suffix":""},{"dropping-particle":"","family":"Ramirez-Zea","given":"Manuel","non-dropping-particle":"","parse-names":false,"suffix":""},{"dropping-particle":"","family":"Rubinstein","given":"Adolfo","non-dropping-particle":"","parse-names":false,"suffix":""},{"dropping-particle":"","family":"Martinez","given":"Homero","non-dropping-particle":"","parse-names":false,"suffix":""},{"dropping-particle":"","family":"Jaime Miranda","given":"J.","non-dropping-particle":"","parse-names":false,"suffix":""}],"container-title":"JMIR mHealth and uHealth","id":"ITEM-2","issue":"1","issued":{"date-parts":[["2015"]]},"title":"Design and multi-country validation of text messages for an mhealth intervention for primary prevention of progression to hypertension in Latin America","type":"article-journal","volume":"3"},"uris":["http://www.mendeley.com/documents/?uuid=1f37ccd5-459d-49fc-8234-7b70e4ab94cd"]}],"mendeley":{"formattedCitation":"(Diez-Canseco et al., 2015; Fagard et al., 2008)","plainTextFormattedCitation":"(Diez-Canseco et al., 2015; Fagard et al., 2008)","previouslyFormattedCitation":"(Diez-Canseco et al., 2015; Fagard et al., 2008)"},"properties":{"noteIndex":0},"schema":"https://github.com/citation-style-language/schema/raw/master/csl-citation.json"}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(Diez-</w:t>
      </w:r>
      <w:r w:rsidR="005E429F" w:rsidRPr="005E429F">
        <w:rPr>
          <w:rFonts w:ascii="Times New Roman" w:hAnsi="Times New Roman" w:cs="Times New Roman"/>
          <w:noProof/>
        </w:rPr>
        <w:lastRenderedPageBreak/>
        <w:t>Canseco et al., 2015; Fagard et al., 2008)</w:t>
      </w:r>
      <w:r w:rsidR="005E429F">
        <w:rPr>
          <w:rFonts w:ascii="Times New Roman" w:hAnsi="Times New Roman" w:cs="Times New Roman"/>
        </w:rPr>
        <w:fldChar w:fldCharType="end"/>
      </w:r>
      <w:r w:rsidRPr="00087C6B">
        <w:rPr>
          <w:rFonts w:ascii="Times New Roman" w:hAnsi="Times New Roman" w:cs="Times New Roman"/>
        </w:rPr>
        <w:t xml:space="preserve">. HDP is one of the leading causes of maternal mortality and is linked to increased risk of long-term cardiovascular diseases in women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{"citationItems":[{"id":"ITEM-1","itemData":{"DOI":"10.1111/joim.12831","ISSN":"13652796","PMID":"30255616","abstract":"Primary aldosteronism (PA), the most common form of secondary hypertension, can be either surgically cured or treated with targeted pharmacotherapy. PA is frequently undiagnosed and untreated, leading to aldosterone-specific cardiovascular morbidity and nephrotoxicity. Thus, clinicians should perform case detection testing for PA at least once in all patients with hypertension. Confirmatory testing is indicated in most patients with positive case detection testing results. The next step is to determine whether patients with confirmed PA have a disease that can be cured with surgery or whether it should be treated medically; this step is guided by computed tomography scan of the adrenal glands and adrenal venous sampling. With appropriate surgical expertise, laparoscopic unilateral adrenalectomy is safe, efficient and curative in patients with unilateral adrenal disease. In patients who have bilateral aldosterone hypersecretion, the optimal management is a low-sodium diet and lifelong treatment with a mineralocorticoid receptor antagonist administered at a dosage to maintain a high–normal serum potassium concentration without the aid of oral potassium supplements.","author":[{"dropping-particle":"","family":"Young","given":"W. F.","non-dropping-particle":"","parse-names":false,"suffix":""}],"container-title":"Journal of Internal Medicine","id":"ITEM-1","issue":"2","issued":{"date-parts":[["2019"]]},"page":"126-148","title":"Diagnosis and treatment of primary aldosteronism: practical clinical perspectives","type":"article-journal","volume":"285"},"uris":["http://www.mendeley.com/documents/?uuid=023213ef-88f1-41b5-98ac-29ac381d4dcf"]}],"mendeley":{"formattedCitation":"(Young, 2019)","plainTextFormattedCitation":"(Young, 2019)","previouslyFormattedCitation":"(Young, 2019)"},"properties":{"noteIndex":0},"schema":"https://github.com/citation-style-language/schema/raw/master/csl-citation.json"}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(Young, 2019)</w:t>
      </w:r>
      <w:r w:rsidR="005E429F">
        <w:rPr>
          <w:rFonts w:ascii="Times New Roman" w:hAnsi="Times New Roman" w:cs="Times New Roman"/>
        </w:rPr>
        <w:fldChar w:fldCharType="end"/>
      </w:r>
      <w:r w:rsidRPr="00087C6B">
        <w:rPr>
          <w:rFonts w:ascii="Times New Roman" w:hAnsi="Times New Roman" w:cs="Times New Roman"/>
        </w:rPr>
        <w:t xml:space="preserve">. Preeclampsia, a multisystemic disorder, is often sudden in onset and may progress to life-threatening complications for both mother and child. In India, HDP is reported as a major contributor to maternal complications, especially in rural and low-income settings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{"citationItems":[{"id":"ITEM-1","itemData":{"DOI":"10.1001/jama.2009.1060","ISSN":"15383598","PMID":"19622819","abstract":"Context: Hypertension is an important preventable risk factor for death among women. While several modifiable risk factors have been identified, their combined risk and distribution in the population have not been assessed. Objective: To estimate the hypothetical fraction of hypertension incidence associated with dietary and lifestyle factors in women. Design, Setting, and Participants: Prospective cohort study of 83 882 adult women aged 27 to 44 years in the second Nurses' Health Study who did not have hypertension, cardiovascular disease, diabetes, or cancer in 1991, and who had normal reported blood pressure (defined as systolic blood pressure of ≤120 mm Hg and diastolic blood pressure of ≤80 mm Hg), with follow-up for incident hypertension for 14 years through 2005. Six modifiable lifestyle and dietary factors for hypertension were identified. The 6 low-risk factors for hypertension were a body mass index (BMI) of less than 25, a daily mean of 30 minutes of vigorous exercise, a high score on the Dietary Approaches to Stop Hypertension (DASH) diet based on responses to a food frequency questionnaire, modest alcohol intake up to 10 g/d, use of nonnarcotic analgesics less than once per week, and intake of 400 μg/d or more of supplemental folic acid. The association between combinations of 3 (normal BMI, daily vigorous exercise, and DASH-style diet), 4 (3 low-risk factors plus modest alcohol intake), 5 (4 low-risk factors plus avoidance of nonnarcotic analgesics), and 6 (folic acid supplementation ≥400 μg/d) low-risk factors and the risk of developing hypertension was analyzed. Main Outcome Measures: Adjusted hazard ratios for incident self-reported hypertension and population attributable risks (PARs). Results: A total of 12 319 incident cases of hypertension were reported. All 6 modifiable risk factors were independently associated with the risk of developing hypertension during follow-up after also adjusting for age, race, family history of hypertension, smoking status, and use of oral contraceptives. For women who had all 6 low-risk factors (0.3% of the population), the hazard ratio for incident hypertension was 0.22 (95% confidence interval [CI], 0.10-0.51); the hypothetical PAR was 78% (95% CI, 49%-90%) for women who lacked these low-risk factors. The corresponding hypothetical absolute incidence rate difference (ARD) was 8.37 cases per 1000 person-years. The PARs were 72% (95% CI, 57%-82%; ARD, 7.76 cases per 1000 person-years) for 5 low-risk fac…","author":[{"dropping-particle":"","family":"Forman","given":"John P.","non-dropping-particle":"","parse-names":false,"suffix":""},{"dropping-particle":"","family":"Stampfer","given":"Meir J.","non-dropping-particle":"","parse-names":false,"suffix":""},{"dropping-particle":"","family":"Curhan","given":"Gary C.","non-dropping-particle":"","parse-names":false,"suffix":""}],"container-title":"Jama","id":"ITEM-1","issue":"4","issued":{"date-parts":[["2009"]]},"page":"401-411","title":"Diet and lifestyle risk factors associated with incident hypertension in women","type":"article-journal","volume":"302"},"uris":["http://www.mendeley.com/documents/?uuid=a4f47abe-598d-45c0-b476-d738cec5e50f"]}],"mendeley":{"formattedCitation":"(Forman et al., 2009)","plainTextFormattedCitation":"(Forman et al., 2009)","previouslyFormattedCitation":"(Forman et al., 2009)"},"properties":{"noteIndex":0},"schema":"https://github.com/citation-style-language/schema/raw/master/csl-citation.json"}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(Forman et al., 2009)</w:t>
      </w:r>
      <w:r w:rsidR="005E429F">
        <w:rPr>
          <w:rFonts w:ascii="Times New Roman" w:hAnsi="Times New Roman" w:cs="Times New Roman"/>
        </w:rPr>
        <w:fldChar w:fldCharType="end"/>
      </w:r>
      <w:r w:rsidRPr="00087C6B">
        <w:rPr>
          <w:rFonts w:ascii="Times New Roman" w:hAnsi="Times New Roman" w:cs="Times New Roman"/>
        </w:rPr>
        <w:t>).</w:t>
      </w:r>
    </w:p>
    <w:p w14:paraId="250DAB4E" w14:textId="4C6D574E" w:rsidR="004E073D" w:rsidRPr="00087C6B" w:rsidRDefault="004E073D" w:rsidP="00EF0802">
      <w:pPr>
        <w:spacing w:line="360" w:lineRule="auto"/>
        <w:jc w:val="both"/>
        <w:rPr>
          <w:rFonts w:ascii="Times New Roman" w:hAnsi="Times New Roman" w:cs="Times New Roman"/>
        </w:rPr>
      </w:pPr>
      <w:r w:rsidRPr="00087C6B">
        <w:rPr>
          <w:rFonts w:ascii="Times New Roman" w:hAnsi="Times New Roman" w:cs="Times New Roman"/>
        </w:rPr>
        <w:t xml:space="preserve">In parallel, thyroid dysfunction—particularly hypothyroidism and hyperthyroidism—poses another serious risk during pregnancy. The prevalence of thyroid disorders in pregnancy ranges from 5% to 15%, depending on geographical, nutritional, and ethnic factors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{"citationItems":[{"id":"ITEM-1","itemData":{"DOI":"10.2188/jea.18.58","ISSN":"09175040","PMID":"18403855","abstract":"Background: Associations between dietary patterns and cardiovascular disease risk factors remain unclear. The objective of this study was to evaluate the association between dietary patterns derived from factor analysis and the levels of blood pressure and serum lipids in a Japanese population. Methods: We conducted a cross-sectional analysis among 6886 (in the analysis on blood pressure) and 7641 (in the analysis on serum lipids) Japanese subjects aged 40-69 years. Dietary patterns were identified from a food frequency questionnaire by factor analysis. Associations between dietary patterns and blood pressure and serum lipids were examined after taking potential confounders into account. Results: Three dietary patterns were identified: vegetable, meat, and Western. In men, the meat pattern was associated with higher total, high-density lipoprotein (HDL), and low-density lipoprotein (LDL) cholesterol. The Western pattern was associated with higher total and LDL cholesterol. In women, the vegetable pattern was associated with lower systolic and diastolic blood pressure and pulse pressure, and higher HDL cholesterol. The meat pattern was associated with higher total and HDL cholesterol. The Western pattern was associated with higher total, HDL, and LDL cholesterol, and the least intake pattern of Western diet was associated with higher systolic and diastolic blood pressures. Conclusions: Dietary patterns of a Japanese population were related to cardiovascular disease risk factors, especially in women. Copyright © 2008 by the Japan Epidemiological Association.","author":[{"dropping-particle":"","family":"Sadakane","given":"Atsuko","non-dropping-particle":"","parse-names":false,"suffix":""},{"dropping-particle":"","family":"Tsutsumi","given":"Akizumi","non-dropping-particle":"","parse-names":false,"suffix":""},{"dropping-particle":"","family":"Gotoh","given":"Tadao","non-dropping-particle":"","parse-names":false,"suffix":""},{"dropping-particle":"","family":"Ishikawa","given":"Shizukiyo","non-dropping-particle":"","parse-names":false,"suffix":""},{"dropping-particle":"","family":"Ojima","given":"Toshiyuki","non-dropping-particle":"","parse-names":false,"suffix":""},{"dropping-particle":"","family":"Kario","given":"Kazuomi","non-dropping-particle":"","parse-names":false,"suffix":""},{"dropping-particle":"","family":"Nakamura","given":"Yosikazu","non-dropping-particle":"","parse-names":false,"suffix":""},{"dropping-particle":"","family":"Kayaba","given":"Kazunori","non-dropping-particle":"","parse-names":false,"suffix":""},{"dropping-particle":"","family":"Hashimoto","given":"Atsushi","non-dropping-particle":"","parse-names":false,"suffix":""},{"dropping-particle":"","family":"Kajii","given":"Eiji","non-dropping-particle":"","parse-names":false,"suffix":""},{"dropping-particle":"","family":"Miyamoto","given":"Hideki","non-dropping-particle":"","parse-names":false,"suffix":""},{"dropping-particle":"","family":"Akiyoshi","given":"Hidetaka","non-dropping-particle":"","parse-names":false,"suffix":""},{"dropping-particle":"","family":"Yanagawa","given":"Hiroshi","non-dropping-particle":"","parse-names":false,"suffix":""},{"dropping-particle":"","family":"Matsuo","given":"Hitoshi","non-dropping-particle":"","parse-names":false,"suffix":""},{"dropping-particle":"","family":"Hiraoka","given":"Jun","non-dropping-particle":"","parse-names":false,"suffix":""},{"dropping-particle":"","family":"Tsutsumi","given":"Kaname","non-dropping-particle":"","parse-names":false,"suffix":""},{"dropping-particle":"","family":"Kayaba","given":"Kazunori","non-dropping-particle":"","parse-names":false,"suffix":""},{"dropping-particle":"","family":"Kario","given":"Kazuomi","non-dropping-particle":"","parse-names":false,"suffix":""},{"dropping-particle":"","family":"Shimada","given":"Kazuyuki","non-dropping-particle":"","parse-names":false,"suffix":""},{"dropping-particle":"","family":"Sakai","given":"Kenichiro","non-dropping-particle":"","parse-names":false,"suffix":""},{"dropping-particle":"","family":"Turuda","given":"Kishio","non-dropping-particle":"","parse-names":false,"suffix":""},{"dropping-particle":"","family":"Sawada","given":"Machi","non-dropping-particle":"","parse-names":false,"suffix":""},{"dropping-particle":"","family":"Furuse","given":"Makoto","non-dropping-particle":"","parse-names":false,"suffix":""},{"dropping-particle":"","family":"Yoshimura","given":"Manabu","non-dropping-particle":"","parse-names":false,"suffix":""},{"dropping-particle":"","family":"Hosoe","given":"Masahiko","non-dropping-particle":"","parse-names":false,"suffix":""},{"dropping-particle":"","family":"Igarashi","given":"Masahiro","non-dropping-particle":"","parse-names":false,"suffix":""},{"dropping-particle":"","family":"Mizooka","given":"Masafumi","non-dropping-particle":"","parse-names":false,"suffix":""},{"dropping-particle":"","family":"Nago","given":"Naoki","non-dropping-particle":"","parse-names":false,"suffix":""},{"dropping-particle":"","family":"Kodama","given":"Nobuya","non-dropping-particle":"","parse-names":false,"suffix":""},{"dropping-particle":"","family":"Hayashida","given":"Noriko","non-dropping-particle":"","parse-names":false,"suffix":""},{"dropping-particle":"","family":"Yamaoka","given":"Rika","non-dropping-particle":"","parse-names":false,"suffix":""},{"dropping-particle":"","family":"Yamada","given":"Seishi","non-dropping-particle":"","parse-names":false,"suffix":""},{"dropping-particle":"","family":"Muramatsu","given":"Shinichi","non-dropping-particle":"","parse-names":false,"suffix":""},{"dropping-particle":"","family":"Hayasaka","given":"Shinya","non-dropping-particle":"","parse-names":false,"suffix":""},{"dropping-particle":"","family":"Ishikawa","given":"Shizukiyo","non-dropping-particle":"","parse-names":false,"suffix":""},{"dropping-particle":"","family":"Takuma","given":"Shuzo","non-dropping-particle":"","parse-names":false,"suffix":""},{"dropping-particle":"","family":"Gotoh","given":"Tadao","non-dropping-particle":"","parse-names":false,"suffix":""},{"dropping-particle":"","family":"Natsume","given":"Takafumi","non-dropping-particle":"","parse-names":false,"suffix":""},{"dropping-particle":"","family":"Yamada","given":"Takashi","non-dropping-particle":"","parse-names":false,"suffix":""},{"dropping-particle":"","family":"Miyamoto","given":"Takeshi","non-dropping-particle":"","parse-names":false,"suffix":""},{"dropping-particle":"","family":"Deguchi","given":"Tomohiro","non-dropping-particle":"","parse-names":false,"suffix":""},{"dropping-particle":"","family":"Saegusa","given":"Tomohiro","non-dropping-particle":"","parse-names":false,"suffix":""},{"dropping-particle":"","family":"Shibano","given":"Yoshihiro","non-dropping-particle":"","parse-names":false,"suffix":""},{"dropping-particle":"","family":"Ito","given":"Yoshihisa","non-dropping-particle":"","parse-names":false,"suffix":""},{"dropping-particle":"","family":"Nakamura","given":"Yosikazu","non-dropping-particle":"","parse-names":false,"suffix":""}],"container-title":"Journal of Epidemiology","id":"ITEM-1","issue":"2","issued":{"date-parts":[["2008"]]},"page":"58-67","title":"Dietary patterns and levels of blood pressure and serum lipids in a Japanese population","type":"article-journal","volume":"18"},"uris":["http://www.mendeley.com/documents/?uuid=ebbaddc8-1ef9-47f6-9d0b-51e862e37b94"]}],"mendeley":{"formattedCitation":"(Sadakane et al., 2008)","plainTextFormattedCitation":"(Sadakane et al., 2008)","previouslyFormattedCitation":"(Sadakane et al., 2008)"},"properties":{"noteIndex":0},"schema":"https://github.com/citation-style-language/schema/raw/master/csl-citation.json"}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(Sadakane et al., 2008)</w:t>
      </w:r>
      <w:r w:rsidR="005E429F">
        <w:rPr>
          <w:rFonts w:ascii="Times New Roman" w:hAnsi="Times New Roman" w:cs="Times New Roman"/>
        </w:rPr>
        <w:fldChar w:fldCharType="end"/>
      </w:r>
      <w:r w:rsidRPr="00087C6B">
        <w:rPr>
          <w:rFonts w:ascii="Times New Roman" w:hAnsi="Times New Roman" w:cs="Times New Roman"/>
        </w:rPr>
        <w:t xml:space="preserve">. These disorders, if unrecognized or poorly managed, can negatively influence maternal metabolic balance and </w:t>
      </w:r>
      <w:proofErr w:type="spellStart"/>
      <w:r w:rsidRPr="00087C6B">
        <w:rPr>
          <w:rFonts w:ascii="Times New Roman" w:hAnsi="Times New Roman" w:cs="Times New Roman"/>
        </w:rPr>
        <w:t>fetal</w:t>
      </w:r>
      <w:proofErr w:type="spellEnd"/>
      <w:r w:rsidRPr="00087C6B">
        <w:rPr>
          <w:rFonts w:ascii="Times New Roman" w:hAnsi="Times New Roman" w:cs="Times New Roman"/>
        </w:rPr>
        <w:t xml:space="preserve"> neurodevelopment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{"citationItems":[{"id":"ITEM-1","itemData":{"DOI":"10.1111/aogs.12467","ISSN":"16000412","PMID":"25138651","abstract":"Objective. To evaluate the effect of dietary and lifestyle interventions with the potential to modify metabolic risk factors on the risk of preeclampsia. Data sources. We searched MEDLINE, EMBASE and Cochrane from inception until February 2013. Randomized trials in pregnant women evaluating the effect of dietary and lifestyle interventions with the potential to modify metabolic risks such as obesity, hyperlipidemia, hyperglycemia and hypertension on the risk of preeclampsia were included. Study selection. Two independent reviewers selected studies, extracted data and assessed quality. Results were summarized as pooled relative risks (RR) for dichotomous data. Results. Eighteen studies (8712 women) met our search criteria for inclusion. Six studies evaluated diet (2695 women), six studied mixed interventions with diet, physical activity and lifestyle (1438 women) and six assessed essential fatty acid supplementation (4579 women). The interventions overall reduced the risk of preeclampsia (RR 0.81, 95% CI 0.69-0.94; p = 0.006 I2 = 0%) compared with the control group. Dietary interventions reduced the risk of preeclampsia by 33% (RR 0.67, 95% CI 0.53-0.85; p = 0.001; I2 = 0%). There was no reduction in the risk of preeclampsia with mixed interventions (RR 0.93, 95% CI 0.66-1.32, p = 0.68, I2 = 0%) or fatty acid supplementation (RR 0.92, 95% CI 0.71-1.18; p = 0.49, I2 = 15%). Meta-regression showed a borderline impact of gestational diabetes status (p = 0.05) on the observed effect. Conclusion. Dietary and lifestyle interventions have the potential to reduce the risk of preeclampsia. The effect of additional therapeutic interventions in women with gestational diabetes mellitus on preeclampsia is not known.","author":[{"dropping-particle":"","family":"Allen","given":"Rebecca","non-dropping-particle":"","parse-names":false,"suffix":""},{"dropping-particle":"","family":"Rogozinska","given":"Ewelina","non-dropping-particle":"","parse-names":false,"suffix":""},{"dropping-particle":"","family":"Sivarajasingam","given":"Priya","non-dropping-particle":"","parse-names":false,"suffix":""},{"dropping-particle":"","family":"Khan","given":"Khalid S.","non-dropping-particle":"","parse-names":false,"suffix":""},{"dropping-particle":"","family":"Thangaratinam","given":"Shakila","non-dropping-particle":"","parse-names":false,"suffix":""}],"container-title":"Acta Obstetricia et Gynecologica Scandinavica","id":"ITEM-1","issue":"10","issued":{"date-parts":[["2014"]]},"page":"973-985","title":"Effect of diet- And lifestyle-based metabolic risk-modifying interventions on preeclampsia: A meta-analysis","type":"article-journal","volume":"93"},"uris":["http://www.mendeley.com/documents/?uuid=a33fff72-7f4b-4959-b2a3-ac081da79ed7"]}],"mendeley":{"formattedCitation":"(Allen et al., 2014)","plainTextFormattedCitation":"(Allen et al., 2014)","previouslyFormattedCitation":"(Allen et al., 2014)"},"properties":{"noteIndex":0},"schema":"https://github.com/citation-style-language/schema/raw/master/csl-citation.json"}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(Allen et al., 2014)</w:t>
      </w:r>
      <w:r w:rsidR="005E429F">
        <w:rPr>
          <w:rFonts w:ascii="Times New Roman" w:hAnsi="Times New Roman" w:cs="Times New Roman"/>
        </w:rPr>
        <w:fldChar w:fldCharType="end"/>
      </w:r>
      <w:r w:rsidRPr="00087C6B">
        <w:rPr>
          <w:rFonts w:ascii="Times New Roman" w:hAnsi="Times New Roman" w:cs="Times New Roman"/>
        </w:rPr>
        <w:t xml:space="preserve">. Maternal hypothyroidism has been associated with miscarriage, preterm birth, and impaired cognitive development in the offspring (Sari, 2024). Conversely, uncontrolled hyperthyroidism may increase the risk of gestational hypertension and intrauterine growth restriction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{"citationItems":[{"id":"ITEM-1","itemData":{"DOI":"10.3390/nu11061210","ISSN":"20726643","PMID":"31141972","abstract":"Abstract: We reported that a Mediterranean Diet (MedDiet), supplemented with extra-virgin olive oil (EVOO) and pistachios, reduces GDM incidence and several other adverse outcomes. In order to assess its translational effects in the real world we evaluated the effect of MedDiet from 1st gestational visit in GDM rate compared with control (CG) and intervention (IG) groups from the previously referred trial. As secondary objective we also compared adverse perinatal outcomes between normoglycemic and diabetic women. This trial is a prospective, clinic-based, interventional study with a single group. 1066 eligible normoglycaemic women before 12 gestational weeks were assessed. 932 women (32.4 ± 5.2 years old, pre-gestational BMI 22.5 ± 3.5 kg/m2) received a motivational lifestyle interview with emphasis on daily consumption of EVOO and nuts, were followed-up and analysed. Binary regression analyses were used to examine the risk for each pregnancy outcome, pregnancy-induced hypertension, preeclampsia, gestational weight gain (GWG), caesarean-section, perineal trauma, preterm delivery, small (SGA) and large for gestational age (LGA), and Neonatal Intensive Care Unit admissions. GDM was diagnosed in 13.9%. This rate was significantly lower than the CG: RR 0.81 (0.73–0.93), p &lt; 0.001 and no different from the IG: RR 0.96 (0.85–1.07), p = 0.468. GWG was lower in diabetic women (10.88 ± 6.46 vs. 12.30 ± 5.42 Kg; p = 0.013). Excessive weight gain (EWG) was also lower in GDM [RR 0.91 (0.86–0.96); p &lt; 0.001] without a significant increase of insufficient weight gain. LGA were also lower (1 (0.8%) vs. 31 (3.9%); p &lt; 0.05)), and SGA were similar (5 (3.8%) vs. 30 (3.7%)). LGA were associated to EWG (RR 1.61 (1.35–1.91), p &lt; 0.001). Differences in other maternal-foetal outcomes were not found. In conclusions an early MedDiet nutritional intervention reduces GDM incidence and maternal-foetal adverse outcomes and should be universally applied as 1st line therapy. GDM might not be consider as a high risk pregnancy any longer.","author":[{"dropping-particle":"","family":"La Torre","given":"Nuria García","non-dropping-particle":"De","parse-names":false,"suffix":""},{"dropping-particle":"","family":"Assaf-Balut","given":"Carla","non-dropping-particle":"","parse-names":false,"suffix":""},{"dropping-particle":"","family":"Varas","given":"Inés Jiménez","non-dropping-particle":"","parse-names":false,"suffix":""},{"dropping-particle":"","family":"Valle","given":"Laura","non-dropping-particle":"Del","parse-names":false,"suffix":""},{"dropping-particle":"","family":"Durán","given":"Alejandra","non-dropping-particle":"","parse-names":false,"suffix":""},{"dropping-particle":"","family":"Fuentes","given":"Manuel","non-dropping-particle":"","parse-names":false,"suffix":""},{"dropping-particle":"","family":"Prado","given":"Náyade","non-dropping-particle":"Del","parse-names":false,"suffix":""},{"dropping-particle":"","family":"Bordiú","given":"Elena","non-dropping-particle":"","parse-names":false,"suffix":""},{"dropping-particle":"","family":"Valerio","given":"Johanna Josefina","non-dropping-particle":"","parse-names":false,"suffix":""},{"dropping-particle":"","family":"Herraiz","given":"Miguel A.","non-dropping-particle":"","parse-names":false,"suffix":""},{"dropping-particle":"","family":"Izquierdo","given":"Nuria","non-dropping-particle":"","parse-names":false,"suffix":""},{"dropping-particle":"","family":"Torrejón","given":"Maria José","non-dropping-particle":"","parse-names":false,"suffix":""},{"dropping-particle":"","family":"Cuadrado","given":"Maria Angeles","non-dropping-particle":"","parse-names":false,"suffix":""},{"dropping-particle":"","family":"Miguel","given":"Paz","non-dropping-particle":"De","parse-names":false,"suffix":""},{"dropping-particle":"","family":"Familiar","given":"Cristina","non-dropping-particle":"","parse-names":false,"suffix":""},{"dropping-particle":"","family":"Runkle","given":"Isabelle","non-dropping-particle":"","parse-names":false,"suffix":""},{"dropping-particle":"","family":"Barabash","given":"Ana","non-dropping-particle":"","parse-names":false,"suffix":""},{"dropping-particle":"","family":"Rubio","given":"Miguel A.","non-dropping-particle":"","parse-names":false,"suffix":""},{"dropping-particle":"","family":"Calle-Pascual","given":"Alfonso L.","non-dropping-particle":"","parse-names":false,"suffix":""}],"container-title":"Nutrients","id":"ITEM-1","issue":"6","issued":{"date-parts":[["2019"]]},"title":"Effectiveness of following mediterranean diet recommendations in the real world in the incidence of gestational diabetes mellitus (Gdm) and adverse maternal-foetal outcomes: A prospective, universal, interventional study with a single group. the st carlos","type":"article-journal","volume":"11"},"uris":["http://www.mendeley.com/documents/?uuid=56bc8c21-6c7f-484f-8a45-7e9a054f9f77"]}],"mendeley":{"formattedCitation":"(De La Torre et al., 2019)","plainTextFormattedCitation":"(De La Torre et al., 2019)","previouslyFormattedCitation":"(De La Torre et al., 2019)"},"properties":{"noteIndex":0},"schema":"https://github.com/citation-style-language/schema/raw/master/csl-citation.json"}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(De La Torre et al., 2019)</w:t>
      </w:r>
      <w:r w:rsidR="005E429F">
        <w:rPr>
          <w:rFonts w:ascii="Times New Roman" w:hAnsi="Times New Roman" w:cs="Times New Roman"/>
        </w:rPr>
        <w:fldChar w:fldCharType="end"/>
      </w:r>
      <w:r w:rsidRPr="00087C6B">
        <w:rPr>
          <w:rFonts w:ascii="Times New Roman" w:hAnsi="Times New Roman" w:cs="Times New Roman"/>
        </w:rPr>
        <w:t>.</w:t>
      </w:r>
    </w:p>
    <w:p w14:paraId="187188CF" w14:textId="07E52678" w:rsidR="004E073D" w:rsidRPr="00087C6B" w:rsidRDefault="004E073D" w:rsidP="00EF0802">
      <w:pPr>
        <w:spacing w:line="360" w:lineRule="auto"/>
        <w:jc w:val="both"/>
        <w:rPr>
          <w:rFonts w:ascii="Times New Roman" w:hAnsi="Times New Roman" w:cs="Times New Roman"/>
        </w:rPr>
      </w:pPr>
      <w:r w:rsidRPr="00087C6B">
        <w:rPr>
          <w:rFonts w:ascii="Times New Roman" w:hAnsi="Times New Roman" w:cs="Times New Roman"/>
        </w:rPr>
        <w:t xml:space="preserve">Studies have increasingly emphasized the interrelationship between thyroid function and blood pressure regulation. Subclinical hypothyroidism has been associated with an increased risk of preeclampsia and gestational hypertension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{"citationItems":[{"id":"ITEM-1","itemData":{"DOI":"10.1080/00952990.2017.1355921","ISSN":"10979891","PMID":"28806102","abstract":"Background: Problem drinking carries significant health burdens, including an increased risk of hypertension. The effect of chronic alcohol intake on blood pressure (BP) in women is understudied and poorly understood. Objectives: We sought to examine the relationships between drinking habits and BP in hypertensive women. Methods: We analyzed drinking habits in 113 women followed in the Brigham and Women's Hospital Hypertension Clinic for at least one year. Results: Among these women with well-controlled hypertension, baseline diastolic BP was significantly lower in moderate drinkers compared with women who rarely or never drank. Changes in both systolic and diastolic BP over 12 months showed a significant negative association with changes in percent drinking days. In contrast, there was a trend toward higher baseline systolic BP among those women who consumed more drinks per drinking day. Conclusions: Among these women with controlled hypertension, our data failed to demonstrate an association between drinking beyond recommended limits and higher disease burden. These findings parallel the widely reported difference between drinking frequency, associated with a host of positive health outcomes, and drinking intensity, associated with negative outcomes. Novel to this report is an observed reduction in blood pressure over the one-year follow-up period accompanying an increased drinking frequency in treated hypertensive women. Cautions include the suggestion that a greater number of drinks per drinking day was associated with higher baseline pressure. These data imply that drinking within sensible limits has no negative impact on chronic hypertension. In fact, for women with well-controlled hypertension, such a habit may impart benefit.","author":[{"dropping-particle":"","family":"Fisher","given":"Naomi Deirdre Lakshmi","non-dropping-particle":"","parse-names":false,"suffix":""},{"dropping-particle":"","family":"Orav","given":"Endel John","non-dropping-particle":"","parse-names":false,"suffix":""},{"dropping-particle":"","family":"Chang","given":"Grace","non-dropping-particle":"","parse-names":false,"suffix":""}],"container-title":"American Journal of Drug and Alcohol Abuse","id":"ITEM-1","issue":"2","issued":{"date-parts":[["2018"]]},"page":"200-205","publisher":"Taylor &amp; Francis","title":"Effects of alcohol consumption on blood pressure in hypertensive women","type":"article-journal","volume":"44"},"uris":["http://www.mendeley.com/documents/?uuid=3dfd3e30-57f4-4cae-b938-ccda2618e145"]}],"mendeley":{"formattedCitation":"(Fisher et al., 2018)","plainTextFormattedCitation":"(Fisher et al., 2018)","previouslyFormattedCitation":"(Fisher et al., 2018)"},"properties":{"noteIndex":0},"schema":"https://github.com/citation-style-language/schema/raw/master/csl-citation.json"}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(Fisher et al., 2018)</w:t>
      </w:r>
      <w:r w:rsidR="005E429F">
        <w:rPr>
          <w:rFonts w:ascii="Times New Roman" w:hAnsi="Times New Roman" w:cs="Times New Roman"/>
        </w:rPr>
        <w:fldChar w:fldCharType="end"/>
      </w:r>
      <w:r w:rsidRPr="00087C6B">
        <w:rPr>
          <w:rFonts w:ascii="Times New Roman" w:hAnsi="Times New Roman" w:cs="Times New Roman"/>
        </w:rPr>
        <w:t xml:space="preserve">, while early pregnancy hyperthyroidism has been linked to vascular complications including elevated blood pressure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{"citationItems":[{"id":"ITEM-1","itemData":{"DOI":"10.1097/01.TME.0000319923.74602.9c","ISSN":"19314485","abstract":"Asthma is a complex airway disorder affecting an estimated 32.6 million Americans sometime within their lifetime, and costing the healthcare system an estimated $19.7 billion annually (American Lung Association (ALA), 2007). Allergens and irritants trigger exacerbations, leading to an inflammatory cascade that results in airway obstruction. This disease process is both a chronic life-altering and a potential life-threatening condition impacting both the patient and the family. It is essential for practitioners to be informed, educated, and updated on the most recent guidelines and recommendations for the treatment of asthma exacerbations. In 1989, the first National Asthma Education and Prevention Program (NAEPP) Expert Panel Report (EPR) was convened to develop guidelines for the diagnosis and management of asthma on the basis of current research (NAEPP, 1989). An update on these guidelines is the third NAEPP EPR (EPR-3), which was released last year (NAEPP, 2007). This article examines the pathophysiology and epidemiology of asthma and the presentation, differential diagnoses, diagnostic tests, and treatment modalities as proposed by the 2007 NAEPP EPR-3. © 2008 Wolters Kluwer Health Lippincott Williams &amp; Wilkins.","author":[{"dropping-particle":"","family":"House","given":"David T.","non-dropping-particle":"","parse-names":false,"suffix":""},{"dropping-particle":"","family":"Ramirez","given":"Elda G.","non-dropping-particle":"","parse-names":false,"suffix":""}],"container-title":"Advanced Emergency Nursing Journal","id":"ITEM-1","issue":"2","issued":{"date-parts":[["2008"]]},"page":"122-138","title":"Emergency management of asthma exacerbations","type":"article-journal","volume":"30"},"uris":["http://www.mendeley.com/documents/?uuid=f8912b17-e506-4f7d-bce6-c35f37baa5c7"]}],"mendeley":{"formattedCitation":"(House &amp; Ramirez, 2008)","plainTextFormattedCitation":"(House &amp; Ramirez, 2008)","previouslyFormattedCitation":"(House &amp; Ramirez, 2008)"},"properties":{"noteIndex":0},"schema":"https://github.com/citation-style-language/schema/raw/master/csl-citation.json"}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(House &amp; Ramirez, 2008)</w:t>
      </w:r>
      <w:r w:rsidR="005E429F">
        <w:rPr>
          <w:rFonts w:ascii="Times New Roman" w:hAnsi="Times New Roman" w:cs="Times New Roman"/>
        </w:rPr>
        <w:fldChar w:fldCharType="end"/>
      </w:r>
      <w:r w:rsidRPr="00087C6B">
        <w:rPr>
          <w:rFonts w:ascii="Times New Roman" w:hAnsi="Times New Roman" w:cs="Times New Roman"/>
        </w:rPr>
        <w:t>. These interdependencies underscore the need for holistic and proactive strategies to manage maternal health during pregnancy.</w:t>
      </w:r>
    </w:p>
    <w:p w14:paraId="569A2CE3" w14:textId="55D866CF" w:rsidR="004E073D" w:rsidRPr="00087C6B" w:rsidRDefault="004E073D" w:rsidP="00EF0802">
      <w:pPr>
        <w:spacing w:line="360" w:lineRule="auto"/>
        <w:jc w:val="both"/>
        <w:rPr>
          <w:rFonts w:ascii="Times New Roman" w:hAnsi="Times New Roman" w:cs="Times New Roman"/>
        </w:rPr>
      </w:pPr>
      <w:r w:rsidRPr="00087C6B">
        <w:rPr>
          <w:rFonts w:ascii="Times New Roman" w:hAnsi="Times New Roman" w:cs="Times New Roman"/>
        </w:rPr>
        <w:t xml:space="preserve">One such strategy is lifestyle modification, which encompasses changes in dietary habits, physical activity, stress management, and sleep hygiene. Lifestyle medicine has become a cornerstone in the prevention and control of chronic diseases, including gestational complications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{"citationItems":[{"id":"ITEM-1","itemData":{"DOI":"10.1016/B978-0-323-82592-4.00039-0","ISBN":"9780323825924","abstract":"In primary aldosteronism, aldosterone secretion from adrenal glands is inappropriately high in view of the stimuli from outside the adrenal gland (i.e., it is autonomous). This autonomous aldosterone secretion typically leads to hypertension, which may be severe and in many cases is resistant to many commonly used antihypertensive medications. In addition, it is associated with increased risk of numerous end-organ complications that are out of proportion to the associated hypertension. Primary aldosteronism may result from either unilateral disease, typically an aldosterone producing adenoma (APA), or from bilateral disease, typically bilateral adrenal hyperplasia. Most cases of APA result from acquired somatic mutations that lead to adrenal cell hyperplasia and that directly increase aldosterone secretion. Excessive unilateral aldosterone secretion is effectively treated with adrenalectomy, with excellent chances of either correction of the hypertension or dramatic improvement in its control. Bilateral adrenal hyperplasia is effectively treated with mineralocorticoid receptor blockers with often dramatic improvements in blood pressure control. Effective treatment can dramatically improve blood pressure, and evidence suggests that such treatment is associated with abrogation of the increased cardiovascular risk associated with primary aldosteronism.","author":[{"dropping-particle":"","family":"Weiner","given":"I. David","non-dropping-particle":"","parse-names":false,"suffix":""},{"dropping-particle":"","family":"Wingo","given":"Charles S.","non-dropping-particle":"","parse-names":false,"suffix":""}],"container-title":"Comprehensive Clinical Nephrology","id":"ITEM-1","issued":{"date-parts":[["2023"]]},"page":"460-470.e2","publisher":"Current Hypertension Reports","title":"Endocrine Causes of Hypertension: Aldosterone","type":"article-journal"},"uris":["http://www.mendeley.com/documents/?uuid=76dba618-a0e1-4fec-a113-2ffb01774cbc"]}],"mendeley":{"formattedCitation":"(Weiner &amp; Wingo, 2023)","plainTextFormattedCitation":"(Weiner &amp; Wingo, 2023)","previouslyFormattedCitation":"(Weiner &amp; Wingo, 2023)"},"properties":{"noteIndex":0},"schema":"https://github.com/citation-style-language/schema/raw/master/csl-citation.json"}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(Weiner &amp; Wingo, 2023)</w:t>
      </w:r>
      <w:r w:rsidR="005E429F">
        <w:rPr>
          <w:rFonts w:ascii="Times New Roman" w:hAnsi="Times New Roman" w:cs="Times New Roman"/>
        </w:rPr>
        <w:fldChar w:fldCharType="end"/>
      </w:r>
      <w:r w:rsidRPr="00087C6B">
        <w:rPr>
          <w:rFonts w:ascii="Times New Roman" w:hAnsi="Times New Roman" w:cs="Times New Roman"/>
        </w:rPr>
        <w:t>. According to</w:t>
      </w:r>
      <w:r w:rsidR="005E429F">
        <w:rPr>
          <w:rFonts w:ascii="Times New Roman" w:hAnsi="Times New Roman" w:cs="Times New Roman"/>
        </w:rPr>
        <w:t xml:space="preserve">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{"citationItems":[{"id":"ITEM-1","itemData":{"DOI":"10.1001/archinte.166.4.399","ISSN":"15383679","abstract":"Background: Clinical trials of conjugated equine estrogen (CEE) or estradiol vs placebo in postmenopausal women have found no effect or an elevated risk of myocardial infarction (MI) and stroke. The association of these end points with the use of esterified estrogen (EE) is unknown. Methods: We examined the risk of MI and stroke associated with current use of CEE, use of EE, or nonuse of hormones in a population-based case-control study in a health maintenance organization. Cases were all postmenopausal women with an incident MI (n=1644) or stroke (n=1080). Controls (n=4205) consisted of a random sample of postmenopausal women without MI or stroke. Current use of postmenopausal hormones was assessed using a computerized pharmacy database. Results: There was no difference in risk of MI or stroke associated with current use of CEE or EE compared with nonuse or for current use of CEE compared with EE. In analyses restricted to hormone users, there was a suggestion of higher ischemic stroke risk associated with CEE alone (without progestin) compared with EE alone (odds ratio, 1.57; 95% confidence interval, 0.98-2.53). There was also a suggestion that when initiated in the previous 6 months, CEE was associated with a higher risk of MI than EE (odds ratio, 2.33; 95% confidence interval, 0.93-5.82). Conclusion: Further study may be warranted of the effects of EE on the risk of cardiovascular end points. ©2006 American Medical Association. All rights reserved.","author":[{"dropping-particle":"","family":"Lemaitre","given":"Rozenn N.","non-dropping-particle":"","parse-names":false,"suffix":""},{"dropping-particle":"","family":"Weiss","given":"Noel S.","non-dropping-particle":"","parse-names":false,"suffix":""},{"dropping-particle":"","family":"Smith","given":"Nicholas L.","non-dropping-particle":"","parse-names":false,"suffix":""},{"dropping-particle":"","family":"Psaty","given":"Bruce M.","non-dropping-particle":"","parse-names":false,"suffix":""},{"dropping-particle":"","family":"Lumley","given":"Thomas","non-dropping-particle":"","parse-names":false,"suffix":""},{"dropping-particle":"","family":"Larson","given":"Eric B.","non-dropping-particle":"","parse-names":false,"suffix":""},{"dropping-particle":"","family":"Heckbert","given":"Susan R.","non-dropping-particle":"","parse-names":false,"suffix":""}],"container-title":"Archives of Internal Medicine","id":"ITEM-1","issue":"4","issued":{"date-parts":[["2006"]]},"page":"399-404","title":"Esterified estrogen and conjugated equine estrogen and the risk of incident myocardial infarction and stroke","type":"article-journal","volume":"166"},"uris":["http://www.mendeley.com/documents/?uuid=97489273-cd8d-4f83-84ed-c6bd8a802122"]}],"mendeley":{"formattedCitation":"(Lemaitre et al., 2006)","manualFormatting":"Lemaitre et al. (2006)","plainTextFormattedCitation":"(Lemaitre et al., 2006)","previouslyFormattedCitation":"(Lemaitre et al., 2006)"},"properties":{"noteIndex":0},"schema":"https://github.com/citation-style-language/schema/raw/master/csl-citation.json"}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Lemaitre et al.</w:t>
      </w:r>
      <w:r w:rsidR="005E429F">
        <w:rPr>
          <w:rFonts w:ascii="Times New Roman" w:hAnsi="Times New Roman" w:cs="Times New Roman"/>
          <w:noProof/>
        </w:rPr>
        <w:t xml:space="preserve"> (</w:t>
      </w:r>
      <w:r w:rsidR="005E429F" w:rsidRPr="005E429F">
        <w:rPr>
          <w:rFonts w:ascii="Times New Roman" w:hAnsi="Times New Roman" w:cs="Times New Roman"/>
          <w:noProof/>
        </w:rPr>
        <w:t>2006)</w:t>
      </w:r>
      <w:r w:rsidR="005E429F">
        <w:rPr>
          <w:rFonts w:ascii="Times New Roman" w:hAnsi="Times New Roman" w:cs="Times New Roman"/>
        </w:rPr>
        <w:fldChar w:fldCharType="end"/>
      </w:r>
      <w:r w:rsidRPr="00087C6B">
        <w:rPr>
          <w:rFonts w:ascii="Times New Roman" w:hAnsi="Times New Roman" w:cs="Times New Roman"/>
        </w:rPr>
        <w:t>, lifestyle interventions improve vascular health, insulin sensitivity, and hormonal balance—factors that are highly relevant to both hypertension and thyroid health.</w:t>
      </w:r>
    </w:p>
    <w:p w14:paraId="73B8E970" w14:textId="3751C2ED" w:rsidR="004E073D" w:rsidRPr="00087C6B" w:rsidRDefault="004E073D" w:rsidP="00EF0802">
      <w:pPr>
        <w:spacing w:line="360" w:lineRule="auto"/>
        <w:jc w:val="both"/>
        <w:rPr>
          <w:rFonts w:ascii="Times New Roman" w:hAnsi="Times New Roman" w:cs="Times New Roman"/>
        </w:rPr>
      </w:pPr>
      <w:r w:rsidRPr="00087C6B">
        <w:rPr>
          <w:rFonts w:ascii="Times New Roman" w:hAnsi="Times New Roman" w:cs="Times New Roman"/>
        </w:rPr>
        <w:t>The significance of lifestyle-based approaches during pregnancy has been validated by numerous studies.</w:t>
      </w:r>
      <w:r w:rsidR="005E429F">
        <w:rPr>
          <w:rFonts w:ascii="Times New Roman" w:hAnsi="Times New Roman" w:cs="Times New Roman"/>
        </w:rPr>
        <w:t xml:space="preserve">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{"citationItems":[{"id":"ITEM-1","itemData":{"DOI":"10.1161/01.hyp.33.1.323","ISSN":"0194911X","PMID":"9931124","abstract":"Estrogen replacement therapy is cardioprotective in postmenopausal women; however, the precise molecular mechanisms for this modulation are not fully elucidated. We previously showed that chronic estrogen replacement therapy reduced angiotensin-converting enzyme (ACE) activity in tissue extracts and serum with an associated reduction in plasma angiotensin II. A reverse transcriptase-polymerase chain reaction assay was developed to determine whether estrogen treatment regulates tissue ACE mRNA concentration. Total RNA was isolated from kidney cortex, kidney medulla, lung, and aorta of ovariectomized Sprague-Dawley rats after 21 days of chronic 17β-estradiol replacement therapy (5 mg pellet per rat SC) or placebo. A marked decrease in densitometric intensity ratios of amplified ACE cDNA to elongation factor- 1α control cDNA was observed in all tissues from placebo-treated rats compared with the estradiol-treated rats (renal cortex: 0.29±0.04 versus 0.14±0.02; renal medulla: 0.37±0.04 versus 0.24±0.03; lung: 4.49±0.37 versus 2.49±0.59; and aorta: 0.41±0.04 versus 0.29±0.02; all P&lt;0.05). A comparable reduction in ACE activity was detected in tissue extracts from kidney cortex, kidney medulla, and lung of hormone-treated animals. Incubation of purified rat lung ACE with 1 or 10 μmol/L 17β-estradiol had no effect on enzyme activity. These results suggest that estrogen treatment regulates tissue ACE activity by reducing ACE mRNA concentrations. Thus, the beneficial cardiovascular effects of estrogen may be mediated in part by downregulation of ACE with a consequent reduction in the circulating levels of the vasoconstrictor angiotensin II, a decrease in the metabolism of the vasodilator bradykinin, and an increase in the production of the vasorelaxant angiotensin-(1-7).","author":[{"dropping-particle":"","family":"Gallagher","given":"Patricia E.","non-dropping-particle":"","parse-names":false,"suffix":""},{"dropping-particle":"","family":"Li","given":"Ping","non-dropping-particle":"","parse-names":false,"suffix":""},{"dropping-particle":"","family":"Lenhart","given":"John R.","non-dropping-particle":"","parse-names":false,"suffix":""},{"dropping-particle":"","family":"Chappell","given":"Mark C.","non-dropping-particle":"","parse-names":false,"suffix":""},{"dropping-particle":"","family":"Brosnihan","given":"K. Bridget","non-dropping-particle":"","parse-names":false,"suffix":""}],"container-title":"Hypertension","id":"ITEM-1","issue":"1 II","issued":{"date-parts":[["1999"]]},"page":"323-328","title":"Estrogen regulation of angiotensin-converting enzyme mRNA","type":"article-journal","volume":"33"},"uris":["http://www.mendeley.com/documents/?uuid=07ccc4e3-4cb2-4cf5-83f8-767f2b5c8d10"]}],"mendeley":{"formattedCitation":"(Gallagher et al., 1999)","manualFormatting":"Gallagher et al. (1999)","plainTextFormattedCitation":"(Gallagher et al., 1999)","previouslyFormattedCitation":"(Gallagher et al., 1999)"},"properties":{"noteIndex":0},"schema":"https://github.com/citation-style-language/schema/raw/master/csl-citation.json"}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 xml:space="preserve">Gallagher et al. </w:t>
      </w:r>
      <w:r w:rsidR="005E429F">
        <w:rPr>
          <w:rFonts w:ascii="Times New Roman" w:hAnsi="Times New Roman" w:cs="Times New Roman"/>
          <w:noProof/>
        </w:rPr>
        <w:t>(</w:t>
      </w:r>
      <w:r w:rsidR="005E429F" w:rsidRPr="005E429F">
        <w:rPr>
          <w:rFonts w:ascii="Times New Roman" w:hAnsi="Times New Roman" w:cs="Times New Roman"/>
          <w:noProof/>
        </w:rPr>
        <w:t>1999)</w:t>
      </w:r>
      <w:r w:rsidR="005E429F">
        <w:rPr>
          <w:rFonts w:ascii="Times New Roman" w:hAnsi="Times New Roman" w:cs="Times New Roman"/>
        </w:rPr>
        <w:fldChar w:fldCharType="end"/>
      </w:r>
      <w:r w:rsidRPr="00087C6B">
        <w:rPr>
          <w:rFonts w:ascii="Times New Roman" w:hAnsi="Times New Roman" w:cs="Times New Roman"/>
        </w:rPr>
        <w:t xml:space="preserve"> demonstrated that regular physical activity during pregnancy, such as walking or yoga, significantly reduces the risk of gestational </w:t>
      </w:r>
      <w:r w:rsidRPr="00087C6B">
        <w:rPr>
          <w:rFonts w:ascii="Times New Roman" w:hAnsi="Times New Roman" w:cs="Times New Roman"/>
        </w:rPr>
        <w:lastRenderedPageBreak/>
        <w:t>hypertension. Likewise,</w:t>
      </w:r>
      <w:r w:rsidR="005E429F">
        <w:rPr>
          <w:rFonts w:ascii="Times New Roman" w:hAnsi="Times New Roman" w:cs="Times New Roman"/>
        </w:rPr>
        <w:t xml:space="preserve">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{"citationItems":[{"id":"ITEM-1","itemData":{"DOI":"10.1186/s13293-020-00306-7","ISSN":"20426410","PMID":"32487164","abstract":"Hypertension (HTN) is a primary risk factor for cardiovascular (CV) events, target organ damage (TOD), premature death and disability worldwide. The pathophysiology of HTN is complex and influenced by many factors including biological sex. Studies show that the prevalence of HTN is higher among adults aged 60 and over, highlighting the increase of HTN after menopause in women. Estrogen (E2) plays an important role in the development of systemic HTN and TOD, exerting several modulatory effects. The influence of E2 leads to alterations in mechanisms regulating the sympathetic nervous system, renin-angiotensin-aldosterone system, body mass, oxidative stress, endothelial function and salt sensitivity; all associated with a crucial inflammatory state and influenced by genetic factors, ultimately resulting in cardiac, vascular and renal damage in HTN. In the present article, we discuss the role of E2 in mechanisms accounting for the development of HTN and TOD in a sex-specific manner. The identification of targets with therapeutic potential would contribute to the development of more efficient treatments according to individual needs.","author":[{"dropping-particle":"","family":"Sabbatini","given":"Andrea Rodrigues","non-dropping-particle":"","parse-names":false,"suffix":""},{"dropping-particle":"","family":"Kararigas","given":"Georgios","non-dropping-particle":"","parse-names":false,"suffix":""}],"container-title":"Biology of Sex Differences","id":"ITEM-1","issue":"1","issued":{"date-parts":[["2020"]]},"page":"1-17","publisher":"Biology of Sex Differences","title":"Estrogen-related mechanisms in sex differences of hypertension and target organ damage","type":"article-journal","volume":"11"},"uris":["http://www.mendeley.com/documents/?uuid=a9c163f4-1325-46b3-aa92-1a3da522e07f"]}],"mendeley":{"formattedCitation":"(Sabbatini &amp; Kararigas, 2020)","manualFormatting":"Sabbatini &amp; Kararigas (2020)","plainTextFormattedCitation":"(Sabbatini &amp; Kararigas, 2020)","previouslyFormattedCitation":"(Sabbatini &amp; Kararigas, 2020)"},"properties":{"noteIndex":0},"schema":"https://github.com/citation-style-language/schema/raw/master/csl-citation.json"}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 xml:space="preserve">Sabbatini &amp; Kararigas </w:t>
      </w:r>
      <w:r w:rsidR="005E429F">
        <w:rPr>
          <w:rFonts w:ascii="Times New Roman" w:hAnsi="Times New Roman" w:cs="Times New Roman"/>
          <w:noProof/>
        </w:rPr>
        <w:t>(</w:t>
      </w:r>
      <w:r w:rsidR="005E429F" w:rsidRPr="005E429F">
        <w:rPr>
          <w:rFonts w:ascii="Times New Roman" w:hAnsi="Times New Roman" w:cs="Times New Roman"/>
          <w:noProof/>
        </w:rPr>
        <w:t>2020)</w:t>
      </w:r>
      <w:r w:rsidR="005E429F">
        <w:rPr>
          <w:rFonts w:ascii="Times New Roman" w:hAnsi="Times New Roman" w:cs="Times New Roman"/>
        </w:rPr>
        <w:fldChar w:fldCharType="end"/>
      </w:r>
      <w:r w:rsidRPr="00087C6B">
        <w:rPr>
          <w:rFonts w:ascii="Times New Roman" w:hAnsi="Times New Roman" w:cs="Times New Roman"/>
        </w:rPr>
        <w:t xml:space="preserve"> highlighted the importance of moderate aerobic exercise in lowering the risk of gestational diabetes and improving postpartum health. Nutritional interventions, including reduced salt intake and increased consumption of iodine-rich and micronutrient-dense foods, have also been found to improve thyroid function and reduce hypertension-related symptoms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{"citationItems":[{"id":"ITEM-1","itemData":{"DOI":"10.3390/nu10020252","ISSN":"20726643","PMID":"29473892","abstract":"We examined gender differences in the association between dietary patterns and the risk of hypertension, using the Korean Genome and Epidemiology Study data. A total of 5090 participants (2457 men and 2633 women) aged 40–69 years without hypertension at baseline were selected. Dietary patterns were obtained using factor analysis based on 26 food groups, evaluated by a validated semi-quantitative food frequency questionnaire at baseline. Hypertension was defined as systolic blood pressure ≥ 140 mmHg or diastolic blood pressure ≥ 90 mmHg, or the use of antihypertensive medication using the biennial measurements. Multivariate Cox proportional hazards models were used to examine the associations between dietary patterns and hypertension. Four dietary patterns were extracted: coffee, fat, and sweets; prudent; whole grains and legumes; and traditional (men)/Western (women). Women in the highest tertile of the whole grains and legumes pattern scores showed a lower risk of incident hypertension compared with those in the lowest tertile (hazard ratio = 0.77, 95% confidence interval = 0.59–1.00, p-trend = 0.048). Other dietary patterns were not associated with hypertension in either men or women. A diet rich in whole grains and legumes is inversely associated with the risk of hypertension in Korean women, suggesting a gender difference in the association between diet and hypertension.","author":[{"dropping-particle":"","family":"Song","given":"Sujin","non-dropping-particle":"","parse-names":false,"suffix":""},{"dropping-particle":"","family":"Kim","given":"Jiwon","non-dropping-particle":"","parse-names":false,"suffix":""},{"dropping-particle":"","family":"Kim","given":"Jihye","non-dropping-particle":"","parse-names":false,"suffix":""}],"container-title":"Nutrients","id":"ITEM-1","issue":"2","issued":{"date-parts":[["2018"]]},"title":"Gender differences in the association between dietary pattern and the incidence of hypertension in middle-aged and older adults","type":"article-journal","volume":"10"},"uris":["http://www.mendeley.com/documents/?uuid=75722083-21c4-4396-a8bb-6da36f42a7e8"]},{"id":"ITEM-2","itemData":{"DOI":"10.1097/AOG.0000000000003892","ISSN":"1873233X","PMID":"32443077","abstract":"Hypertensive disorders of pregnancy constitute one of the leading causes of maternal and perinatal mortality worldwide. It has been estimated that preeclampsia complicates 2-8% of pregnancies globally (1). In Latin America and the Caribbean, hypertensive disorders are responsible for almost 26% of maternal deaths, whereas in Africa and Asia they contribute to 9% of deaths. Although maternal mortality is much lower in high-income countries than in developing countries, 16% of maternal deaths can be attributed to hypertensive disorders (1, 2). In the United States, the rate of preeclampsia increased by 25% between 1987 and 2004 (3). Moreover, in comparison with women giving birth in 1980, those giving birth in 2003 were at 6.7-fold increased risk of severe preeclampsia (4). This complication is costly: one study reported that in 2012 in the United States, the estimated cost of preeclampsia within the first 12 months of delivery was $2.18 billion ($1.03 billion for women and $1.15 billion for infants), which was disproportionately borne by premature births (5). This Practice Bulletin will provide guidelines for the diagnosis and management of gestational hypertension and preeclampsia.","author":[{"dropping-particle":"","family":"Hypertension","given":"Gestational","non-dropping-particle":"","parse-names":false,"suffix":""}],"container-title":"Obstetrics and Gynecology","id":"ITEM-2","issue":"6","issued":{"date-parts":[["2020"]]},"page":"1492-1495","title":"Gestational Hypertension and Preeclampsia: ACOG Practice Bulletin Summary, Number 222","type":"article-journal","volume":"135"},"uris":["http://www.mendeley.com/documents/?uuid=d2eb436f-3bf8-4a1c-a098-ef82f8e9a9e8"]}],"mendeley":{"formattedCitation":"(Hypertension, 2020; Song et al., 2018)","plainTextFormattedCitation":"(Hypertension, 2020; Song et al., 2018)","previouslyFormattedCitation":"(Hypertension, 2020; Song et al., 2018)"},"properties":{"noteIndex":0},"schema":"https://github.com/citation-style-language/schema/raw/master/csl-citation.json"}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(Hypertension, 2020; Song et al., 2018)</w:t>
      </w:r>
      <w:r w:rsidR="005E429F">
        <w:rPr>
          <w:rFonts w:ascii="Times New Roman" w:hAnsi="Times New Roman" w:cs="Times New Roman"/>
        </w:rPr>
        <w:fldChar w:fldCharType="end"/>
      </w:r>
      <w:r w:rsidRPr="00087C6B">
        <w:rPr>
          <w:rFonts w:ascii="Times New Roman" w:hAnsi="Times New Roman" w:cs="Times New Roman"/>
        </w:rPr>
        <w:t>.</w:t>
      </w:r>
    </w:p>
    <w:p w14:paraId="17E059E3" w14:textId="05434E2C" w:rsidR="004E073D" w:rsidRPr="00087C6B" w:rsidRDefault="004E073D" w:rsidP="00EF0802">
      <w:pPr>
        <w:spacing w:line="360" w:lineRule="auto"/>
        <w:jc w:val="both"/>
        <w:rPr>
          <w:rFonts w:ascii="Times New Roman" w:hAnsi="Times New Roman" w:cs="Times New Roman"/>
        </w:rPr>
      </w:pPr>
      <w:r w:rsidRPr="00087C6B">
        <w:rPr>
          <w:rFonts w:ascii="Times New Roman" w:hAnsi="Times New Roman" w:cs="Times New Roman"/>
        </w:rPr>
        <w:t>Despite this growing body of evidence, awareness and adoption of lifestyle modifications among pregnant women remain low, particularly in low-resource settings.</w:t>
      </w:r>
      <w:r w:rsidR="005E429F">
        <w:rPr>
          <w:rFonts w:ascii="Times New Roman" w:hAnsi="Times New Roman" w:cs="Times New Roman"/>
        </w:rPr>
        <w:t xml:space="preserve">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{"citationItems":[{"id":"ITEM-1","itemData":{"DOI":"10.1016/j.tjog.2015.06.010","ISSN":"18756263","PMID":"26384063","abstract":"Objective: To investigate perinatal outcomes according to the 2009 Institute of Medicine (IOM) gestational weight gain (GWG) guidelines. Materials and methods: A retrospective cohort study was conducted among all term, singleton, live births to women who delivered at the Taipei Chang Gung Memorial Hospital, Taipei, Taiwan between 2009 and 2014. Women were categorized into three groups based on prepregnancy body mass index and GWG relative to the IOM guidelines. Multivariable logistic regression analysis was used to assess the associations between GWG outside the IOM guidelines and adverse perinatal outcomes. Women with GWG within the guidelines served as the reference group. Results: Of 9301 pregnancies, 2574 (27.7%), 4189 (45.0%), and 2538 (27.3%) women had GWG below, within, and above the IOM guidelines. Women with GWG above the IOM guidelines were at risk for preeclampsia [adjusted odds ratio (OR) 3.0, 95% confidence interval (CI) 1.9-4.7], primary cesarean delivery (adjusted OR 1.4, 95% CI 1.2-1.6) due to dysfunctional labor and cephalopelvic disproportion, large-for-gestational age (adjusted OR 1.8, 95% CI 1.5-2.1), and macrosomic neonates (adjusted OR 2.2, 95% CI 1.6-3.1). Women with GWG below the IOM guidelines were more likely to be diagnosed with gestational diabetes mellitus (adjusted OR 1.5, 95% CI 1.3-1.8) and were at higher risk for placental abruption (adjusted OR 1.7, 95% CI 1.1-2.5), small-for-gestational age (adjusted OR 1.6, 95% CI 1.4-1.9), and low birth weight neonates (adjusted OR 1.9, 95% CI 1.4-2.4). Conclusion: Women with GWG outside the 2009 IOM guidelines were at risk for adverse maternal and neonatal outcomes.","author":[{"dropping-particle":"","family":"Hung","given":"Tai Ho","non-dropping-particle":"","parse-names":false,"suffix":""},{"dropping-particle":"","family":"Chen","given":"Szu Fu","non-dropping-particle":"","parse-names":false,"suffix":""},{"dropping-particle":"","family":"Hsu","given":"Jenn Jeih","non-dropping-particle":"","parse-names":false,"suffix":""},{"dropping-particle":"","family":"Hsieh","given":"T'sang T.ang","non-dropping-particle":"","parse-names":false,"suffix":""}],"container-title":"Taiwanese Journal of Obstetrics and Gynecology","id":"ITEM-1","issue":"4","issued":{"date-parts":[["2015"]]},"page":"421-425","publisher":"Elsevier Ltd","title":"Gestational weight gain and risks for adverse perinatal outcomes: A retrospective cohort study based on the 2009 Institute of Medicine guidelines","type":"article-journal","volume":"54"},"uris":["http://www.mendeley.com/documents/?uuid=7419d9a8-4196-4ae7-ab0f-dd913f3c5c1d"]}],"mendeley":{"formattedCitation":"(Hung et al., 2015)","manualFormatting":"Hung et al. (2015)","plainTextFormattedCitation":"(Hung et al., 2015)","previouslyFormattedCitation":"(Hung et al., 2015)"},"properties":{"noteIndex":0},"schema":"https://github.com/citation-style-language/schema/raw/master/csl-citation.json"}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 xml:space="preserve">Hung et al. </w:t>
      </w:r>
      <w:r w:rsidR="005E429F">
        <w:rPr>
          <w:rFonts w:ascii="Times New Roman" w:hAnsi="Times New Roman" w:cs="Times New Roman"/>
          <w:noProof/>
        </w:rPr>
        <w:t>(</w:t>
      </w:r>
      <w:r w:rsidR="005E429F" w:rsidRPr="005E429F">
        <w:rPr>
          <w:rFonts w:ascii="Times New Roman" w:hAnsi="Times New Roman" w:cs="Times New Roman"/>
          <w:noProof/>
        </w:rPr>
        <w:t>2015)</w:t>
      </w:r>
      <w:r w:rsidR="005E429F">
        <w:rPr>
          <w:rFonts w:ascii="Times New Roman" w:hAnsi="Times New Roman" w:cs="Times New Roman"/>
        </w:rPr>
        <w:fldChar w:fldCharType="end"/>
      </w:r>
      <w:r w:rsidRPr="00087C6B">
        <w:rPr>
          <w:rFonts w:ascii="Times New Roman" w:hAnsi="Times New Roman" w:cs="Times New Roman"/>
        </w:rPr>
        <w:t xml:space="preserve"> found that a significant proportion of pregnant women in North India were unaware of the symptoms and consequences of pregnancy-induced hypertension. Similarly,</w:t>
      </w:r>
      <w:r w:rsidR="005E429F">
        <w:rPr>
          <w:rFonts w:ascii="Times New Roman" w:hAnsi="Times New Roman" w:cs="Times New Roman"/>
        </w:rPr>
        <w:t xml:space="preserve">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{"citationItems":[{"id":"ITEM-1","itemData":{"DOI":"10.1002/14651858.CD002229.pub4","ISSN":"1469493X","PMID":"25754617","abstract":"Background: Evidence from systematic reviews of observational studies suggests that hormone therapy may have beneficial effects in reducing the incidence of cardiovascular disease events in post-menopausal women, however the results of randomised controlled trials (RCTs) have had mixed results. This is an updated version of a Cochrane review published in 2013. Objectives: To assess the effects of hormone therapy for the prevention of cardiovascular disease in post-menopausal women, and whether there are differential effects between use in primary or secondary prevention.Secondary aims were to undertake exploratory analyses to (i) assess the impact of time since menopause that treatment was commenced (≥ 10 years versus &lt; 10 years), and where these data were not available, use age of trial participants at baseline as a proxy (≥ 60 years of age versus &lt; 60 years of age); and (ii) assess the effects of length of time on treatment. Search methods: We searched the following databases on 25 February 2014: Cochrane Central Register of Controlled Trials (CENTRAL) in The Cochrane Library, MEDLINE, EMBASE and LILACS. We also searched research and trials registers, and conducted reference checking of relevant studies and related systematic reviews to identify additional studies. Selection criteria: RCTs of women comparing orally administered hormone therapy with placebo or a no treatment control, with a minimum of six months follow-up. Data collection and analysis: Two authors independently assessed study quality and extracted data. We calculated risk ratios (RRs) with 95% confidence intervals (CIs) for each outcome. We combined results using random effects meta-analyses, and undertook further analyses to assess the effects of treatment as primary or secondary prevention, and whether treatment was commenced more than or less than 10 years after menopause. Main results: We identified six new trials through this update. Therefore the review includes 19 trials with a total of 40,410 post-menopausal women. On the whole, study quality was good and generally at low risk of bias; the findings are dominated by the three largest trials. We found high quality evidence that hormone therapy in both primary and secondary prevention conferred no protective effects for all-cause mortality, cardiovascular death, non-fatal myocardial infarction, angina, or revascularisation. However, there was an increased risk of stroke in those in the hormone therapy arm for combined primary and …","author":[{"dropping-particle":"","family":"Boardman","given":"Henry M.P.","non-dropping-particle":"","parse-names":false,"suffix":""},{"dropping-particle":"","family":"Hartley","given":"Louise","non-dropping-particle":"","parse-names":false,"suffix":""},{"dropping-particle":"","family":"Eisinga","given":"Anne","non-dropping-particle":"","parse-names":false,"suffix":""},{"dropping-particle":"","family":"Main","given":"Caroline","non-dropping-particle":"","parse-names":false,"suffix":""},{"dropping-particle":"","family":"Roqué i Figuls","given":"Marta","non-dropping-particle":"","parse-names":false,"suffix":""},{"dropping-particle":"","family":"Bonfill Cosp","given":"Xavier","non-dropping-particle":"","parse-names":false,"suffix":""},{"dropping-particle":"","family":"Gabriel Sanchez","given":"Rafael","non-dropping-particle":"","parse-names":false,"suffix":""},{"dropping-particle":"","family":"Knight","given":"Beatrice","non-dropping-particle":"","parse-names":false,"suffix":""}],"container-title":"Cochrane Database of Systematic Reviews","id":"ITEM-1","issue":"3","issued":{"date-parts":[["2015"]]},"title":"Hormone therapy for preventing cardiovascular disease in post-menopausal women","type":"article-journal","volume":"2015"},"uris":["http://www.mendeley.com/documents/?uuid=d24c803e-8837-4bc9-a5a9-7d5ff2e13977"]}],"mendeley":{"formattedCitation":"(Boardman et al., 2015)","manualFormatting":"Boardman et al. (2015)","plainTextFormattedCitation":"(Boardman et al., 2015)","previouslyFormattedCitation":"(Boardman et al., 2015)"},"properties":{"noteIndex":0},"schema":"https://github.com/citation-style-language/schema/raw/master/csl-citation.json"}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 xml:space="preserve">Boardman et al. </w:t>
      </w:r>
      <w:r w:rsidR="005E429F">
        <w:rPr>
          <w:rFonts w:ascii="Times New Roman" w:hAnsi="Times New Roman" w:cs="Times New Roman"/>
          <w:noProof/>
        </w:rPr>
        <w:t>(</w:t>
      </w:r>
      <w:r w:rsidR="005E429F" w:rsidRPr="005E429F">
        <w:rPr>
          <w:rFonts w:ascii="Times New Roman" w:hAnsi="Times New Roman" w:cs="Times New Roman"/>
          <w:noProof/>
        </w:rPr>
        <w:t>2015)</w:t>
      </w:r>
      <w:r w:rsidR="005E429F">
        <w:rPr>
          <w:rFonts w:ascii="Times New Roman" w:hAnsi="Times New Roman" w:cs="Times New Roman"/>
        </w:rPr>
        <w:fldChar w:fldCharType="end"/>
      </w:r>
      <w:r w:rsidRPr="00087C6B">
        <w:rPr>
          <w:rFonts w:ascii="Times New Roman" w:hAnsi="Times New Roman" w:cs="Times New Roman"/>
        </w:rPr>
        <w:t xml:space="preserve"> reported inadequate follow-up and treatment adherence for thyroid dysfunction during and after pregnancy due to limited health education and poor antenatal </w:t>
      </w:r>
      <w:proofErr w:type="spellStart"/>
      <w:r w:rsidRPr="00087C6B">
        <w:rPr>
          <w:rFonts w:ascii="Times New Roman" w:hAnsi="Times New Roman" w:cs="Times New Roman"/>
        </w:rPr>
        <w:t>counseling</w:t>
      </w:r>
      <w:proofErr w:type="spellEnd"/>
      <w:r w:rsidRPr="00087C6B">
        <w:rPr>
          <w:rFonts w:ascii="Times New Roman" w:hAnsi="Times New Roman" w:cs="Times New Roman"/>
        </w:rPr>
        <w:t>.</w:t>
      </w:r>
    </w:p>
    <w:p w14:paraId="14E51808" w14:textId="4A13409C" w:rsidR="004E073D" w:rsidRPr="00087C6B" w:rsidRDefault="004E073D" w:rsidP="00EF0802">
      <w:pPr>
        <w:spacing w:line="360" w:lineRule="auto"/>
        <w:jc w:val="both"/>
        <w:rPr>
          <w:rFonts w:ascii="Times New Roman" w:hAnsi="Times New Roman" w:cs="Times New Roman"/>
        </w:rPr>
      </w:pPr>
      <w:r w:rsidRPr="00087C6B">
        <w:rPr>
          <w:rFonts w:ascii="Times New Roman" w:hAnsi="Times New Roman" w:cs="Times New Roman"/>
        </w:rPr>
        <w:t xml:space="preserve">India presents unique challenges due to its vast socio-economic disparities, cultural beliefs, and unequal access to quality antenatal care. Many pregnant women—especially in rural areas—lack exposure to accurate information regarding preventive health practices. Factors such as illiteracy, financial constraints, lack of women’s agency, and cultural taboos surrounding pregnancy-related decisions further inhibit healthy </w:t>
      </w:r>
      <w:proofErr w:type="spellStart"/>
      <w:r w:rsidRPr="00087C6B">
        <w:rPr>
          <w:rFonts w:ascii="Times New Roman" w:hAnsi="Times New Roman" w:cs="Times New Roman"/>
        </w:rPr>
        <w:t>behavioral</w:t>
      </w:r>
      <w:proofErr w:type="spellEnd"/>
      <w:r w:rsidRPr="00087C6B">
        <w:rPr>
          <w:rFonts w:ascii="Times New Roman" w:hAnsi="Times New Roman" w:cs="Times New Roman"/>
        </w:rPr>
        <w:t xml:space="preserve"> choices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{"citationItems":[{"id":"ITEM-1","itemData":{"DOI":"10.1001/jama.2017.16952","ISSN":"15383598","PMID":"29234813","abstract":"IMPORTANCE: Postmenopausal status coincides with increased risks for chronic conditions such as heart disease, osteoporosis, cognitive impairment, or some types of cancers. Previously, hormone therapy was used for the primary prevention of these chronic conditions. OBJECTIVE: To update evidence for the US Preventive Services Task Force on the benefits and harms of hormone therapy in reducing risks for chronic conditions. DATA SOURCES: MEDLINE, Cochrane Library, EMBASE, and trial registries from June 1, 2011, through August 1, 2016. Surveillance for new evidence in targeted publications was conducted through July 1, 2017. STUDY SELECTION: English-language randomized clinical trials reporting health outcomes. DATA EXTRACTION AND SYNTHESIS: Dual review of abstracts, full-text articles, and study quality; meta-analyses when at least 3 similar studies were available. MAINOUTCOMES ANDMEASURES: Beneficial or harmful changes in risks for various chronic conditions. RESULTS: Eighteen trials (n = 40 058; range, 142-16 608; mean age, 53-79 years) were included. Women using estrogen-only therapy compared with placebo had significantly lower risks, per 10 000 person-years, for diabetes (-19 cases [95% CI, -34 to -3]) and fractures (-53 cases [95% CI, -69 to -39]). Risks were statistically significantly increased, per 10 000 person-years, for gallbladder disease (30 more cases [95% CI, 16 to 48]), stroke (11 more cases [95% CI, 2 to 23]), venous thromboembolism (11 more cases [95% CI, 3 to 22]), and urinary incontinence (1261 more cases [95% CI, 880 to 1689]). Women using estrogen plus progestin compared with placebo experienced significantly lower risks, per 10 000 person-years, for colorectal cancer (-6 cases [95% CI, -9 to -1]), diabetes (-14 cases [95% CI, -24 to -3), and fractures (-44 cases [95% CI, -71 to -13). Risks, per 10 000 person-years, were significantly increased for invasive breast cancer (9 more cases [95% CI, 1 to 19]), probable dementia (22 more cases [95% CI, 4 to 53]), gallbladder disease (21 more cases [95% CI, 10 to 34]), stroke (9 more cases [95% CI, 2 to 19]), urinary incontinence (876 more cases [95% CI, 606 to 1168]), and venous thromboembolism (21 more cases [95% CI, 12 to 33]). CONCLUSIONS AND RELEVANCE: Hormone therapy for the primary prevention of chronic conditions in menopausal women is associated with some beneficial effects but also with a substantial increase of risks for harms. The available evidence regarding benefits and harms o…","author":[{"dropping-particle":"","family":"Gartlehner","given":"Gerald","non-dropping-particle":"","parse-names":false,"suffix":""},{"dropping-particle":"V.","family":"Patel","given":"Sheila","non-dropping-particle":"","parse-names":false,"suffix":""},{"dropping-particle":"","family":"Feltner","given":"Cynthia","non-dropping-particle":"","parse-names":false,"suffix":""},{"dropping-particle":"","family":"Weber","given":"Rachel Palmieri","non-dropping-particle":"","parse-names":false,"suffix":""},{"dropping-particle":"","family":"Long","given":"Rachel","non-dropping-particle":"","parse-names":false,"suffix":""},{"dropping-particle":"","family":"Mullican","given":"Kelly","non-dropping-particle":"","parse-names":false,"suffix":""},{"dropping-particle":"","family":"Boland","given":"Erin","non-dropping-particle":"","parse-names":false,"suffix":""},{"dropping-particle":"","family":"Lux","given":"Linda","non-dropping-particle":"","parse-names":false,"suffix":""},{"dropping-particle":"","family":"Viswanathan","given":"Meera","non-dropping-particle":"","parse-names":false,"suffix":""}],"container-title":"JAMA - Journal of the American Medical Association","id":"ITEM-1","issue":"22","issued":{"date-parts":[["2017"]]},"page":"2234-2249","title":"Hormone therapy for the primary prevention of chronic conditions in postmenopausal women evidence report and systematic review for the US preventive services task force","type":"article-journal","volume":"318"},"uris":["http://www.mendeley.com/documents/?uuid=d75d12ce-ce4b-425c-9fe6-f39bd4639c75"]},{"id":"ITEM-2","itemData":{"DOI":"10.1016/j.jacc.2018.02.033","ISSN":"15583597","PMID":"29673470","abstract":"Hypertension accounts for 1 in 5 deaths among American women, posing a greater burden for women than men, and is among their most important risk factors for death and development of cardiovascular and other diseases. Hypertension affects women in all phases of life, with specific characteristics relating to risk factors and management for primary prevention of hypertension in teenage and young adult women; hypertension in pregnancy; hypertension during use of oral contraceptives and assisted reproductive technologies, lactation, menopause, or hormone replacement; hypertension in elderly women; and issues of race and ethnicity. All are detailed in this review, as is information relative to women in clinical trials of hypertension and medication issues. The overarching message is that effective treatment and control of hypertension improves cardiovascular outcomes. But many knowledge gaps persist, including the contribution of hypertensive disorders of pregnancy to cardiovascular disease risk, the role of hormone replacement, blood pressure targets for elderly women, and so on.","author":[{"dropping-particle":"","family":"Wenger","given":"Nanette K.","non-dropping-particle":"","parse-names":false,"suffix":""},{"dropping-particle":"","family":"Arnold","given":"Anita","non-dropping-particle":"","parse-names":false,"suffix":""},{"dropping-particle":"","family":"Bairey Merz","given":"C. Noel","non-dropping-particle":"","parse-names":false,"suffix":""},{"dropping-particle":"","family":"Cooper-DeHoff","given":"Rhonda M.","non-dropping-particle":"","parse-names":false,"suffix":""},{"dropping-particle":"","family":"Ferdinand","given":"Keith C.","non-dropping-particle":"","parse-names":false,"suffix":""},{"dropping-particle":"","family":"Fleg","given":"Jerome L.","non-dropping-particle":"","parse-names":false,"suffix":""},{"dropping-particle":"","family":"Gulati","given":"Martha","non-dropping-particle":"","parse-names":false,"suffix":""},{"dropping-particle":"","family":"Isiadinso","given":"Ijeoma","non-dropping-particle":"","parse-names":false,"suffix":""},{"dropping-particle":"","family":"Itchhaporia","given":"Dipti","non-dropping-particle":"","parse-names":false,"suffix":""},{"dropping-particle":"","family":"Light-McGroary","given":"Kelly Ann","non-dropping-particle":"","parse-names":false,"suffix":""},{"dropping-particle":"","family":"Lindley","given":"Kathryn J.","non-dropping-particle":"","parse-names":false,"suffix":""},{"dropping-particle":"","family":"Mieres","given":"Jennifer H.","non-dropping-particle":"","parse-names":false,"suffix":""},{"dropping-particle":"","family":"Rosser","given":"Mary L.","non-dropping-particle":"","parse-names":false,"suffix":""},{"dropping-particle":"","family":"Saade","given":"George R.","non-dropping-particle":"","parse-names":false,"suffix":""},{"dropping-particle":"","family":"Walsh","given":"Mary Norine","non-dropping-particle":"","parse-names":false,"suffix":""},{"dropping-particle":"","family":"Pepine","given":"Carl J.","non-dropping-particle":"","parse-names":false,"suffix":""}],"container-title":"Journal of the American College of Cardiology","id":"ITEM-2","issue":"16","issued":{"date-parts":[["2018"]]},"page":"1797-1813","title":"Hypertension Across a Woman's Life Cycle","type":"article-journal","volume":"71"},"uris":["http://www.mendeley.com/documents/?uuid=2ab5e236-ad17-4569-a82f-ad801a13ab81"]}],"mendeley":{"formattedCitation":"(Gartlehner et al., 2017; Wenger et al., 2018)","plainTextFormattedCitation":"(Gartlehner et al., 2017; Wenger et al., 2018)","previouslyFormattedCitation":"(Gartlehner et al., 2017; Wenger et al., 2018)"},"properties":{"noteIndex":0},"schema":"https://github.com/citation-style-language/schema/raw/master/csl-citation.json"}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(Gartlehner et al., 2017; Wenger et al., 2018)</w:t>
      </w:r>
      <w:r w:rsidR="005E429F">
        <w:rPr>
          <w:rFonts w:ascii="Times New Roman" w:hAnsi="Times New Roman" w:cs="Times New Roman"/>
        </w:rPr>
        <w:fldChar w:fldCharType="end"/>
      </w:r>
      <w:r w:rsidRPr="00087C6B">
        <w:rPr>
          <w:rFonts w:ascii="Times New Roman" w:hAnsi="Times New Roman" w:cs="Times New Roman"/>
        </w:rPr>
        <w:t xml:space="preserve">. Moreover, frontline healthcare providers often focus primarily on medical management, with limited emphasis on </w:t>
      </w:r>
      <w:proofErr w:type="spellStart"/>
      <w:r w:rsidRPr="00087C6B">
        <w:rPr>
          <w:rFonts w:ascii="Times New Roman" w:hAnsi="Times New Roman" w:cs="Times New Roman"/>
        </w:rPr>
        <w:t>behavior</w:t>
      </w:r>
      <w:proofErr w:type="spellEnd"/>
      <w:r w:rsidRPr="00087C6B">
        <w:rPr>
          <w:rFonts w:ascii="Times New Roman" w:hAnsi="Times New Roman" w:cs="Times New Roman"/>
        </w:rPr>
        <w:t xml:space="preserve"> change </w:t>
      </w:r>
      <w:proofErr w:type="spellStart"/>
      <w:r w:rsidRPr="00087C6B">
        <w:rPr>
          <w:rFonts w:ascii="Times New Roman" w:hAnsi="Times New Roman" w:cs="Times New Roman"/>
        </w:rPr>
        <w:t>counseling</w:t>
      </w:r>
      <w:proofErr w:type="spellEnd"/>
      <w:r w:rsidRPr="00087C6B">
        <w:rPr>
          <w:rFonts w:ascii="Times New Roman" w:hAnsi="Times New Roman" w:cs="Times New Roman"/>
        </w:rPr>
        <w:t>.</w:t>
      </w:r>
    </w:p>
    <w:p w14:paraId="33D7B815" w14:textId="43988206" w:rsidR="004E073D" w:rsidRPr="00087C6B" w:rsidRDefault="004E073D" w:rsidP="00EF0802">
      <w:pPr>
        <w:spacing w:line="360" w:lineRule="auto"/>
        <w:jc w:val="both"/>
        <w:rPr>
          <w:rFonts w:ascii="Times New Roman" w:hAnsi="Times New Roman" w:cs="Times New Roman"/>
        </w:rPr>
      </w:pPr>
      <w:r w:rsidRPr="00087C6B">
        <w:rPr>
          <w:rFonts w:ascii="Times New Roman" w:hAnsi="Times New Roman" w:cs="Times New Roman"/>
        </w:rPr>
        <w:t xml:space="preserve">This research is driven by the gap between clinical evidence and community-level awareness, particularly concerning the dual burden of thyroid dysfunction and hypertension during pregnancy. Although medical therapy remains essential for managing severe conditions, lifestyle interventions provide a low-cost, scalable, and sustainable approach to improving maternal and </w:t>
      </w:r>
      <w:proofErr w:type="spellStart"/>
      <w:r w:rsidRPr="00087C6B">
        <w:rPr>
          <w:rFonts w:ascii="Times New Roman" w:hAnsi="Times New Roman" w:cs="Times New Roman"/>
        </w:rPr>
        <w:t>fetal</w:t>
      </w:r>
      <w:proofErr w:type="spellEnd"/>
      <w:r w:rsidRPr="00087C6B">
        <w:rPr>
          <w:rFonts w:ascii="Times New Roman" w:hAnsi="Times New Roman" w:cs="Times New Roman"/>
        </w:rPr>
        <w:t xml:space="preserve"> health. For example, the implementation of </w:t>
      </w:r>
      <w:proofErr w:type="spellStart"/>
      <w:r w:rsidRPr="00087C6B">
        <w:rPr>
          <w:rFonts w:ascii="Times New Roman" w:hAnsi="Times New Roman" w:cs="Times New Roman"/>
        </w:rPr>
        <w:t>behavior</w:t>
      </w:r>
      <w:proofErr w:type="spellEnd"/>
      <w:r w:rsidRPr="00087C6B">
        <w:rPr>
          <w:rFonts w:ascii="Times New Roman" w:hAnsi="Times New Roman" w:cs="Times New Roman"/>
        </w:rPr>
        <w:t xml:space="preserve"> change strategies involving dietary </w:t>
      </w:r>
      <w:proofErr w:type="spellStart"/>
      <w:r w:rsidRPr="00087C6B">
        <w:rPr>
          <w:rFonts w:ascii="Times New Roman" w:hAnsi="Times New Roman" w:cs="Times New Roman"/>
        </w:rPr>
        <w:t>counseling</w:t>
      </w:r>
      <w:proofErr w:type="spellEnd"/>
      <w:r w:rsidRPr="00087C6B">
        <w:rPr>
          <w:rFonts w:ascii="Times New Roman" w:hAnsi="Times New Roman" w:cs="Times New Roman"/>
        </w:rPr>
        <w:t xml:space="preserve">, structured exercise, and stress management has been associated with reduced medication dependence and better pregnancy outcomes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{"citationItems":[{"id":"ITEM-1","itemData":{"DOI":"10.1097/GME.0000000000001304","ISBN":"0000000000","ISSN":"15300374","PMID":"30889094","abstract":"States of estrogen imbalance or deprivation are associated with higher risks of hypertension and cardiovascular disease in women; however, the effects of estrogen on hypertension are multifactorial, complex, and not completely understood. Although controversial, hormone therapy may improve cardiovascular outcomes when initiated by recently menopausal women. Improved screening for hypertension, especially in specific groups of younger women at higher risk, is recommended. Further study is needed to determine whether sex-specific differences exist in therapeutic response to pharmacologic management of hypertension.","author":[{"dropping-particle":"","family":"Srivaratharajah","given":"Kajenny","non-dropping-particle":"","parse-names":false,"suffix":""},{"dropping-particle":"","family":"Abramson","given":"Beth L.","non-dropping-particle":"","parse-names":false,"suffix":""}],"container-title":"Menopause","id":"ITEM-1","issue":"4","issued":{"date-parts":[["2019"]]},"page":"428-430","title":"Hypertension in menopausal women: The effect and role of estrogen","type":"article-journal","volume":"26"},"uris":["http://www.mendeley.com/documents/?uuid=5c0255a2-bd2b-4ebf-a2e6-cd60da2dc003"]},{"id":"ITEM-2","itemData":{"DOI":"10.1038/hr.2011.190","ISSN":"09169636","PMID":"22129517","abstract":"Hypertension is an important modifiable risk factor for cardiovascular (CV) morbidity and mortality, and a highly prevalent condition in both men and women. However, the prevalence of hypertension is predicted to increase more among women than men. Combined oral contraceptives (COCs) can induce hypertension in a small group of women and, increase CV risk especially among those with hypertension. Both COC-related increased CV risk and blood pressure (BP) returns to pretreatment levels by 3 months of its discontinuation. The effects of menopause and hormone replacement therapy (HRT) on BP are controversial, and COCs and HRT containing the new generation progestin drospirenone are preferred in women with established hypertension. Despite the high incidence of cancer in women, CV disease remains the major cause of death in women and comparable benefit of antihypertensive treatment have been demonstrated in both women and men. © 2012 The Japanese Society of Hypertension All rights reserved.","author":[{"dropping-particle":"","family":"Pimenta","given":"Eduardo","non-dropping-particle":"","parse-names":false,"suffix":""}],"container-title":"Hypertension Research","id":"ITEM-2","issue":"2","issued":{"date-parts":[["2012"]]},"page":"148-152","publisher":"Nature Publishing Group","title":"Hypertension in women","type":"article-journal","volume":"35"},"uris":["http://www.mendeley.com/documents/?uuid=b77cd062-af9c-4025-a80e-5db1e8dbc807"]}],"mendeley":{"formattedCitation":"(Pimenta, 2012; Srivaratharajah &amp; Abramson, 2019)","plainTextFormattedCitation":"(Pimenta, 2012; Srivaratharajah &amp; Abramson, 2019)","previouslyFormattedCitation":"(Pimenta, 2012; Srivaratharajah &amp; Abramson, 2019)"},"properties":{"noteIndex":0},"schema":"https://github.com/citation-style-language/schema/raw/master/csl-citation.json"}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(Pimenta, 2012; Srivaratharajah &amp; Abramson, 2019)</w:t>
      </w:r>
      <w:r w:rsidR="005E429F">
        <w:rPr>
          <w:rFonts w:ascii="Times New Roman" w:hAnsi="Times New Roman" w:cs="Times New Roman"/>
        </w:rPr>
        <w:fldChar w:fldCharType="end"/>
      </w:r>
      <w:r w:rsidRPr="00087C6B">
        <w:rPr>
          <w:rFonts w:ascii="Times New Roman" w:hAnsi="Times New Roman" w:cs="Times New Roman"/>
        </w:rPr>
        <w:t>.</w:t>
      </w:r>
    </w:p>
    <w:p w14:paraId="75BDDAE9" w14:textId="77777777" w:rsidR="004E073D" w:rsidRPr="00087C6B" w:rsidRDefault="004E073D" w:rsidP="00EF0802">
      <w:pPr>
        <w:spacing w:line="360" w:lineRule="auto"/>
        <w:jc w:val="both"/>
        <w:rPr>
          <w:rFonts w:ascii="Times New Roman" w:hAnsi="Times New Roman" w:cs="Times New Roman"/>
        </w:rPr>
      </w:pPr>
      <w:r w:rsidRPr="00087C6B">
        <w:rPr>
          <w:rFonts w:ascii="Times New Roman" w:hAnsi="Times New Roman" w:cs="Times New Roman"/>
        </w:rPr>
        <w:t xml:space="preserve">Furthermore, national health initiatives like POSHAN Abhiyaan, Janani Suraksha Yojana, and the School Health and Wellness Programme recognize the need for </w:t>
      </w:r>
      <w:r w:rsidRPr="00087C6B">
        <w:rPr>
          <w:rFonts w:ascii="Times New Roman" w:hAnsi="Times New Roman" w:cs="Times New Roman"/>
        </w:rPr>
        <w:lastRenderedPageBreak/>
        <w:t xml:space="preserve">promoting maternal nutrition and health education. However, the practical integration of lifestyle </w:t>
      </w:r>
      <w:proofErr w:type="spellStart"/>
      <w:r w:rsidRPr="00087C6B">
        <w:rPr>
          <w:rFonts w:ascii="Times New Roman" w:hAnsi="Times New Roman" w:cs="Times New Roman"/>
        </w:rPr>
        <w:t>counseling</w:t>
      </w:r>
      <w:proofErr w:type="spellEnd"/>
      <w:r w:rsidRPr="00087C6B">
        <w:rPr>
          <w:rFonts w:ascii="Times New Roman" w:hAnsi="Times New Roman" w:cs="Times New Roman"/>
        </w:rPr>
        <w:t xml:space="preserve"> into routine antenatal care remains underdeveloped in many settings. This study seeks to contribute empirical data on how targeted lifestyle modification interventions can improve not only knowledge and awareness but also clinical indicators such as blood pressure and thyroid hormone levels in pregnant women.</w:t>
      </w:r>
    </w:p>
    <w:p w14:paraId="0F842252" w14:textId="6D6BEF8A" w:rsidR="004E073D" w:rsidRPr="00087C6B" w:rsidRDefault="004E073D" w:rsidP="00EF0802">
      <w:pPr>
        <w:spacing w:line="360" w:lineRule="auto"/>
        <w:jc w:val="both"/>
        <w:rPr>
          <w:rFonts w:ascii="Times New Roman" w:hAnsi="Times New Roman" w:cs="Times New Roman"/>
        </w:rPr>
      </w:pPr>
      <w:r w:rsidRPr="00087C6B">
        <w:rPr>
          <w:rFonts w:ascii="Times New Roman" w:hAnsi="Times New Roman" w:cs="Times New Roman"/>
        </w:rPr>
        <w:t xml:space="preserve">By employing a pre-post interventional design, this study explores how </w:t>
      </w:r>
      <w:proofErr w:type="spellStart"/>
      <w:r w:rsidRPr="00087C6B">
        <w:rPr>
          <w:rFonts w:ascii="Times New Roman" w:hAnsi="Times New Roman" w:cs="Times New Roman"/>
        </w:rPr>
        <w:t>behavior</w:t>
      </w:r>
      <w:proofErr w:type="spellEnd"/>
      <w:r w:rsidRPr="00087C6B">
        <w:rPr>
          <w:rFonts w:ascii="Times New Roman" w:hAnsi="Times New Roman" w:cs="Times New Roman"/>
        </w:rPr>
        <w:t xml:space="preserve"> change communication and structured lifestyle interventions influence health </w:t>
      </w:r>
      <w:proofErr w:type="spellStart"/>
      <w:r w:rsidRPr="00087C6B">
        <w:rPr>
          <w:rFonts w:ascii="Times New Roman" w:hAnsi="Times New Roman" w:cs="Times New Roman"/>
        </w:rPr>
        <w:t>behavior</w:t>
      </w:r>
      <w:proofErr w:type="spellEnd"/>
      <w:r w:rsidRPr="00087C6B">
        <w:rPr>
          <w:rFonts w:ascii="Times New Roman" w:hAnsi="Times New Roman" w:cs="Times New Roman"/>
        </w:rPr>
        <w:t xml:space="preserve"> and physiological outcomes. The methodology includes measurement of anthropometric data, blood pressure, and biochemical markers like TSH, T3, and T4 levels, along with assessment of awareness levels using structured questionnaires. These outcomes will inform strategies for enhancing antenatal education and reducing the burden of preventable pregnancy complications.</w:t>
      </w:r>
    </w:p>
    <w:p w14:paraId="5B255910" w14:textId="77777777" w:rsidR="004E073D" w:rsidRPr="00087C6B" w:rsidRDefault="004E073D" w:rsidP="00EF0802">
      <w:pPr>
        <w:spacing w:line="360" w:lineRule="auto"/>
        <w:jc w:val="both"/>
        <w:rPr>
          <w:rFonts w:ascii="Times New Roman" w:hAnsi="Times New Roman" w:cs="Times New Roman"/>
        </w:rPr>
      </w:pPr>
      <w:r w:rsidRPr="00087C6B">
        <w:rPr>
          <w:rFonts w:ascii="Times New Roman" w:hAnsi="Times New Roman" w:cs="Times New Roman"/>
        </w:rPr>
        <w:t>In summary, the prevalence and interlinkage of thyroid dysfunction and hypertension during pregnancy necessitate a multi-pronged and proactive healthcare approach. Lifestyle modification, as a complementary strategy to medical care, offers significant potential for improving awareness, empowering women, and achieving better pregnancy outcomes. However, its impact remains under-researched in the Indian context. This study seeks to bridge that gap by evaluating the real-world implications of lifestyle change on both knowledge enhancement and biomedical improvement among pregnant women.</w:t>
      </w:r>
    </w:p>
    <w:p w14:paraId="09F1F0A9" w14:textId="16FF6EE6" w:rsidR="004E073D" w:rsidRPr="00952CD4" w:rsidRDefault="004E073D" w:rsidP="00EF0802">
      <w:pPr>
        <w:spacing w:line="360" w:lineRule="auto"/>
        <w:jc w:val="both"/>
        <w:rPr>
          <w:rFonts w:ascii="Times New Roman" w:hAnsi="Times New Roman" w:cs="Times New Roman"/>
        </w:rPr>
      </w:pPr>
    </w:p>
    <w:p w14:paraId="21AA3F57" w14:textId="77777777" w:rsidR="004E073D" w:rsidRPr="00952CD4" w:rsidRDefault="004E073D" w:rsidP="00EF0802">
      <w:pPr>
        <w:spacing w:line="360" w:lineRule="auto"/>
        <w:jc w:val="both"/>
        <w:rPr>
          <w:rFonts w:ascii="Times New Roman" w:hAnsi="Times New Roman" w:cs="Times New Roman"/>
          <w:b/>
          <w:bCs/>
        </w:rPr>
      </w:pPr>
      <w:r w:rsidRPr="00952CD4">
        <w:rPr>
          <w:rFonts w:ascii="Times New Roman" w:hAnsi="Times New Roman" w:cs="Times New Roman"/>
          <w:b/>
          <w:bCs/>
        </w:rPr>
        <w:t>1.3 Operational Definitions</w:t>
      </w:r>
    </w:p>
    <w:p w14:paraId="1B4CAC13" w14:textId="77777777" w:rsidR="004E073D" w:rsidRPr="00952CD4" w:rsidRDefault="004E073D" w:rsidP="00EF0802">
      <w:pPr>
        <w:spacing w:line="360" w:lineRule="auto"/>
        <w:jc w:val="both"/>
        <w:rPr>
          <w:rFonts w:ascii="Times New Roman" w:hAnsi="Times New Roman" w:cs="Times New Roman"/>
        </w:rPr>
      </w:pPr>
      <w:r w:rsidRPr="00952CD4">
        <w:rPr>
          <w:rFonts w:ascii="Times New Roman" w:hAnsi="Times New Roman" w:cs="Times New Roman"/>
        </w:rPr>
        <w:t>To ensure clarity and consistency throughout the research, the following terms are defined operationally in the context of the present study:</w:t>
      </w:r>
    </w:p>
    <w:p w14:paraId="6772029B" w14:textId="77777777" w:rsidR="004E073D" w:rsidRPr="00952CD4" w:rsidRDefault="004E073D" w:rsidP="00EF0802">
      <w:pPr>
        <w:spacing w:line="360" w:lineRule="auto"/>
        <w:jc w:val="both"/>
        <w:rPr>
          <w:rFonts w:ascii="Times New Roman" w:hAnsi="Times New Roman" w:cs="Times New Roman"/>
          <w:b/>
          <w:bCs/>
        </w:rPr>
      </w:pPr>
      <w:r w:rsidRPr="00952CD4">
        <w:rPr>
          <w:rFonts w:ascii="Times New Roman" w:hAnsi="Times New Roman" w:cs="Times New Roman"/>
          <w:b/>
          <w:bCs/>
        </w:rPr>
        <w:t>1. Lifestyle Modification</w:t>
      </w:r>
    </w:p>
    <w:p w14:paraId="2F7B8B68" w14:textId="07BBE7D7" w:rsidR="000D701E" w:rsidRPr="005E429F" w:rsidRDefault="004E073D" w:rsidP="00EF0802">
      <w:pPr>
        <w:spacing w:line="360" w:lineRule="auto"/>
        <w:jc w:val="both"/>
        <w:rPr>
          <w:rFonts w:ascii="Times New Roman" w:hAnsi="Times New Roman" w:cs="Times New Roman"/>
        </w:rPr>
      </w:pPr>
      <w:r w:rsidRPr="00952CD4">
        <w:rPr>
          <w:rFonts w:ascii="Times New Roman" w:hAnsi="Times New Roman" w:cs="Times New Roman"/>
        </w:rPr>
        <w:t xml:space="preserve">In this study, </w:t>
      </w:r>
      <w:r w:rsidRPr="00952CD4">
        <w:rPr>
          <w:rFonts w:ascii="Times New Roman" w:hAnsi="Times New Roman" w:cs="Times New Roman"/>
          <w:i/>
          <w:iCs/>
        </w:rPr>
        <w:t>lifestyle modification</w:t>
      </w:r>
      <w:r w:rsidRPr="00952CD4">
        <w:rPr>
          <w:rFonts w:ascii="Times New Roman" w:hAnsi="Times New Roman" w:cs="Times New Roman"/>
        </w:rPr>
        <w:t xml:space="preserve"> refers to purposeful changes undertaken by pregnant women in their daily routines, including dietary practices, physical activity, stress management, hydration, and sleep habits. These modifications are introduced through structured educational interventions and measured based on self-reported adherence </w:t>
      </w:r>
      <w:r w:rsidRPr="00952CD4">
        <w:rPr>
          <w:rFonts w:ascii="Times New Roman" w:hAnsi="Times New Roman" w:cs="Times New Roman"/>
        </w:rPr>
        <w:lastRenderedPageBreak/>
        <w:t xml:space="preserve">and changes in health </w:t>
      </w:r>
      <w:proofErr w:type="spellStart"/>
      <w:r w:rsidRPr="00952CD4">
        <w:rPr>
          <w:rFonts w:ascii="Times New Roman" w:hAnsi="Times New Roman" w:cs="Times New Roman"/>
        </w:rPr>
        <w:t>behavior</w:t>
      </w:r>
      <w:proofErr w:type="spellEnd"/>
      <w:r w:rsidRPr="00952CD4">
        <w:rPr>
          <w:rFonts w:ascii="Times New Roman" w:hAnsi="Times New Roman" w:cs="Times New Roman"/>
        </w:rPr>
        <w:t xml:space="preserve">, as captured in the pre- and post-intervention questionnaires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{"citationItems":[{"id":"ITEM-1","itemData":{"DOI":"10.1016/j.mayocp.2024.10.005","ISSN":"19425546","PMID":"39736047","abstract":"Current clinical practice guidelines were established by several organizations to guide the diagnosis and treatment of hypertension in men and women in a similar manner despite data demonstrating differences in underlying mechanisms. Few publications have provided a contemporary and comprehensive review focused on characteristics of hypertension that are unique to women across their life spectrum. We performed a computerized search using PubMed, OVID, EMBASE, and Cochrane library databases between 1995 and 2023 that highlighted relevant clinical studies, challenges to the management of hypertension in women, and multidisciplinary approaches to hypertension control in women, including issues unique to racial and ethnic minority groups. Despite our current understanding of underlying mechanisms and strategies to manage hypertension in women, numerous challenges remain. Here, we discuss potential factors contributing to hypertension in women, differences related to effects of lifestyle modifications and drug therapy between men and women, the impact of sleep, and the importance of recognizing disparities in socioeconomic conditions and access to care. This review outlines several opportunities for future studies to fill gaps in knowledge to achieve optimal control of hypertension in women using a multidisciplinary approach, particularly related to sex-specific treatment approaches while considering socioeconomic conditions and life stages from premenopause through the transition to menopause.","author":[{"dropping-particle":"","family":"Nobakht","given":"Niloofar","non-dropping-particle":"","parse-names":false,"suffix":""},{"dropping-particle":"","family":"Afshar","given":"Yalda","non-dropping-particle":"","parse-names":false,"suffix":""},{"dropping-particle":"","family":"Vaseghi","given":"Marmar","non-dropping-particle":"","parse-names":false,"suffix":""},{"dropping-particle":"","family":"Li","given":"Zhaoping","non-dropping-particle":"","parse-names":false,"suffix":""},{"dropping-particle":"","family":"Donangelo","given":"Ines","non-dropping-particle":"","parse-names":false,"suffix":""},{"dropping-particle":"","family":"Lavretsky","given":"Helen","non-dropping-particle":"","parse-names":false,"suffix":""},{"dropping-particle":"","family":"Mok","given":"Thalia","non-dropping-particle":"","parse-names":false,"suffix":""},{"dropping-particle":"","family":"Han","given":"Christina S.","non-dropping-particle":"","parse-names":false,"suffix":""},{"dropping-particle":"","family":"Nicholas","given":"Susanne B.","non-dropping-particle":"","parse-names":false,"suffix":""}],"container-title":"Mayo Clinic Proceedings","id":"ITEM-1","issue":"3","issued":{"date-parts":[["2025"]]},"page":"514-533","publisher":"The Authors","title":"Hypertension Management in Women With a Multidisciplinary Approach","type":"article-journal","volume":"100"},"uris":["http://www.mendeley.com/documents/?uuid=9fe7ca52-d255-4058-84a3-bc41b4bb2146"]},{"id":"ITEM-2","itemData":{"ISSN":"19414927","PMID":"32487290","abstract":"Hypertension is a major risk factor for cardiovascular disease. Lowering blood pressure has been shown to decrease the incidences of stroke, heart attack, and heart failure (1,2). This report provides 2017-2018 U.S. hypertension prevalence estimates using the 2017 American College of Cardiology and American Heart Association definition of hypertension (3) and new guidelines, which redefine hypertension by lowering the previous threshold levels of 140/90 mmHg to 130/80 mmHg (4). This change categorizes a greater percentage of people as having hypertension.","author":[{"dropping-particle":"","family":"Ostchega","given":"Yechiam","non-dropping-particle":"","parse-names":false,"suffix":""},{"dropping-particle":"","family":"Fryar","given":"Cheryl D.","non-dropping-particle":"","parse-names":false,"suffix":""},{"dropping-particle":"","family":"Nwankwo","given":"Tatiana","non-dropping-particle":"","parse-names":false,"suffix":""},{"dropping-particle":"","family":"Nguyen","given":"Duong T.","non-dropping-particle":"","parse-names":false,"suffix":""}],"container-title":"NCHS data brief","id":"ITEM-2","issue":"364","issued":{"date-parts":[["2020"]]},"page":"1-8","title":"Hypertension Prevalence Among Adults Aged 18 and Over: United States, 2017-2018","type":"article-journal"},"uris":["http://www.mendeley.com/documents/?uuid=39b8998b-7f44-4b80-beb2-c9999f175627"]}],"mendeley":{"formattedCitation":"(Nobakht et al., 2025; Ostchega et al., 2020)","plainTextFormattedCitation":"(Nobakht et al., 2025; Ostchega et al., 2020)","previouslyFormattedCitation":"(Nobakht et al., 2025; Ostchega et al., 2020)"},"properties":{"noteIndex":0},"schema":"https://github.com/citation-style-language/schema/raw/master/csl-citation.json"}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(Nobakht et al., 2025; Ostchega et al., 2020)</w:t>
      </w:r>
      <w:r w:rsidR="005E429F">
        <w:rPr>
          <w:rFonts w:ascii="Times New Roman" w:hAnsi="Times New Roman" w:cs="Times New Roman"/>
        </w:rPr>
        <w:fldChar w:fldCharType="end"/>
      </w:r>
      <w:r w:rsidRPr="00952CD4">
        <w:rPr>
          <w:rFonts w:ascii="Times New Roman" w:hAnsi="Times New Roman" w:cs="Times New Roman"/>
        </w:rPr>
        <w:t>.</w:t>
      </w:r>
    </w:p>
    <w:p w14:paraId="38BDE474" w14:textId="604E1B56" w:rsidR="004E073D" w:rsidRPr="00952CD4" w:rsidRDefault="004E073D" w:rsidP="00EF0802">
      <w:pPr>
        <w:spacing w:line="360" w:lineRule="auto"/>
        <w:jc w:val="both"/>
        <w:rPr>
          <w:rFonts w:ascii="Times New Roman" w:hAnsi="Times New Roman" w:cs="Times New Roman"/>
          <w:b/>
          <w:bCs/>
        </w:rPr>
      </w:pPr>
      <w:r w:rsidRPr="00952CD4">
        <w:rPr>
          <w:rFonts w:ascii="Times New Roman" w:hAnsi="Times New Roman" w:cs="Times New Roman"/>
          <w:b/>
          <w:bCs/>
        </w:rPr>
        <w:t>2. Pregnant Women</w:t>
      </w:r>
    </w:p>
    <w:p w14:paraId="67F20DE1" w14:textId="133926A0" w:rsidR="004E073D" w:rsidRPr="00952CD4" w:rsidRDefault="004E073D" w:rsidP="00EF0802">
      <w:pPr>
        <w:spacing w:line="360" w:lineRule="auto"/>
        <w:jc w:val="both"/>
        <w:rPr>
          <w:rFonts w:ascii="Times New Roman" w:hAnsi="Times New Roman" w:cs="Times New Roman"/>
        </w:rPr>
      </w:pPr>
      <w:r w:rsidRPr="00952CD4">
        <w:rPr>
          <w:rFonts w:ascii="Times New Roman" w:hAnsi="Times New Roman" w:cs="Times New Roman"/>
          <w:i/>
          <w:iCs/>
        </w:rPr>
        <w:t>Pregnant women</w:t>
      </w:r>
      <w:r w:rsidRPr="00952CD4">
        <w:rPr>
          <w:rFonts w:ascii="Times New Roman" w:hAnsi="Times New Roman" w:cs="Times New Roman"/>
        </w:rPr>
        <w:t xml:space="preserve"> are defined as females between the ages of 18 and 45 years who are in any trimester of pregnancy and have been registered for antenatal care at designated healthcare facilities. Eligibility is confirmed through medical documentation, and the sample includes both primigravida and multigravida participants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{"citationItems":[{"id":"ITEM-1","itemData":{"DOI":"10.1016/j.amepre.2023.10.016","ISSN":"18732607","PMID":"37884175","abstract":"Introduction: Hypertension is a risk factor for cardiovascular disease, a leading cause of death among women of reproductive age (women aged 18–44 years). This study estimated hypertension prevalence and control among women of reproductive age at the national and state levels using electronic health record data. Methods: Nonpregnant women of reproductive age were included in this cross-sectional study using 2019 IQVIA Ambulatory Electronic Medical Records – U.S. national data (analyzed in 2023). Suspected hypertension was identified using any of these criteria: ≥1 hypertension diagnosis code, ≥2 blood pressure readings ≥140/90 mmHg on separate days, or ≥1 antihypertensive medication. Among women of reproductive age with hypertension, the latest blood pressure in 2019 was used to identify hypertension control (blood pressure &lt;140/90 mmHg). Estimates were age standardized and stratified by race or Hispanic ethnicity, region, and states with sufficient data. Tukey tests compared estimates by race or Hispanic ethnicity, region, and comorbidities. Results: Among 2,125,084 women of reproductive age (62.1% White, 8.8% Black, and 29.1% other [including Hispanic, Asian, other, or unknown]) with a mean age of 31.7 years, hypertension prevalence was 14.5%. Of those with hypertension, 71.9% had controlled blood pressure. Black women of reproductive age had a higher hypertension prevalence (22.3% vs 14.4%, p&lt;0.05) but lower control (60.6% vs 74.0%, p&lt;0.05) than White women of reproductive age. State-level hypertension prevalence ranged from 13.7% (Massachusetts) to 36% (Alabama), and control ranged from 82.9% (Kansas) to 59.2% (the District of Columbia). Conclusions: This study provides the first state-level estimates of hypertension control among women of reproductive age. Electronic health record data complements traditional hypertension surveillance data and provides further information for efforts to prevent and manage hypertension among women of reproductive age.","author":[{"dropping-particle":"","family":"Weng","given":"Xingran","non-dropping-particle":"","parse-names":false,"suffix":""},{"dropping-particle":"","family":"Woodruff","given":"Rebecca C.","non-dropping-particle":"","parse-names":false,"suffix":""},{"dropping-particle":"","family":"Park","given":"Soyoun","non-dropping-particle":"","parse-names":false,"suffix":""},{"dropping-particle":"","family":"Thompson-Paul","given":"Angela M.","non-dropping-particle":"","parse-names":false,"suffix":""},{"dropping-particle":"","family":"He","given":"Siran","non-dropping-particle":"","parse-names":false,"suffix":""},{"dropping-particle":"","family":"Hayes","given":"Donald","non-dropping-particle":"","parse-names":false,"suffix":""},{"dropping-particle":"V.","family":"Kuklina","given":"Elena","non-dropping-particle":"","parse-names":false,"suffix":""},{"dropping-particle":"","family":"Therrien","given":"Nicole L.","non-dropping-particle":"","parse-names":false,"suffix":""},{"dropping-particle":"","family":"Jackson","given":"Sandra L.","non-dropping-particle":"","parse-names":false,"suffix":""}],"container-title":"American Journal of Preventive Medicine","id":"ITEM-1","issue":"3","issued":{"date-parts":[["2024"]]},"page":"492-502","title":"Hypertension Prevalence and Control Among U.S. Women of Reproductive Age","type":"article-journal","volume":"66"},"uris":["http://www.mendeley.com/documents/?uuid=04f64e44-0eec-4043-883a-3e7d45859d0f"]},{"id":"ITEM-2","itemData":{"DOI":"10.1016/j.jacc.2018.05.077","ISSN":"15583597","PMID":"30190003","abstract":"Background: Hypertensive disorders of pregnancy (HDP) affect 10% to 15% of women and are associated with a 2-fold increased risk of cardiovascular disease (CVD). Objectives: This study sought to determine whether inclusion of HDP in an established CVD risk score improves prediction of CVD events in women. Methods: The analysis comprised 106,230 ≤10-year observations contributed by 67,406 women, age ≥40 years, free of prior CVD, with data available on model covariates in the Nurses’ Health Study II. Participants were followed up for confirmed myocardial infarction, fatal coronary heart disease, or stroke from 1989 to 2013. We fit an established CVD risk prediction model (Model A: age, total cholesterol and high-density lipoprotein cholesterol, systolic blood pressure, antihypertensive medication use, current smoking, diabetes mellitus) and compared it to the same model plus HDP and parity (Model B); Cox proportional hazards models were used to obtain predicted probabilities for 10-year CVD risk. Results: HDP and parity were associated with 10-year CVD risk independent of established CVD risk factors, overall and at ages 40 to 49 years. However, inclusion of HDP and parity in the risk prediction model did not improve discrimination (Model A: C-index = 0.691; Model B: C-index = 0.693; p value for difference = 0.31) or risk reclassification (net reclassification improvement = 0.4%; 95% confidence interval: −0.2 to 1.0%; p = 0.26). Conclusions: In this first test of the clinical utility of HDP and parity in CVD risk prediction, additional inclusion of HDP and parity in an established risk score did not improve discrimination or reclassification in this low-risk population; this might be because of the known associations between HDP and established CVD risk factors in the reference model.","author":[{"dropping-particle":"","family":"Stuart","given":"Jennifer J.","non-dropping-particle":"","parse-names":false,"suffix":""},{"dropping-particle":"","family":"Tanz","given":"Lauren J.","non-dropping-particle":"","parse-names":false,"suffix":""},{"dropping-particle":"","family":"Cook","given":"Nancy R.","non-dropping-particle":"","parse-names":false,"suffix":""},{"dropping-particle":"","family":"Spiegelman","given":"Donna","non-dropping-particle":"","parse-names":false,"suffix":""},{"dropping-particle":"","family":"Missmer","given":"Stacey A.","non-dropping-particle":"","parse-names":false,"suffix":""},{"dropping-particle":"","family":"Rimm","given":"Eric B.","non-dropping-particle":"","parse-names":false,"suffix":""},{"dropping-particle":"","family":"Rexrode","given":"Kathryn M.","non-dropping-particle":"","parse-names":false,"suffix":""},{"dropping-particle":"","family":"Mukamal","given":"Kenneth J.","non-dropping-particle":"","parse-names":false,"suffix":""},{"dropping-particle":"","family":"Rich-Edwards","given":"Janet W.","non-dropping-particle":"","parse-names":false,"suffix":""}],"container-title":"Journal of the American College of Cardiology","id":"ITEM-2","issue":"11","issued":{"date-parts":[["2018"]]},"page":"1252-1263","title":"Hypertensive Disorders of Pregnancy and 10-Year Cardiovascular Risk Prediction","type":"article-journal","volume":"72"},"uris":["http://www.mendeley.com/documents/?uuid=f09e281b-8b0c-4213-a3a0-88ed6f4acbb2"]}],"mendeley":{"formattedCitation":"(Stuart et al., 2018; Weng et al., 2024)","plainTextFormattedCitation":"(Stuart et al., 2018; Weng et al., 2024)","previouslyFormattedCitation":"(Stuart et al., 2018; Weng et al., 2024)"},"properties":{"noteIndex":0},"schema":"https://github.com/citation-style-language/schema/raw/master/csl-citation.json"}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(Stuart et al., 2018; Weng et al., 2024)</w:t>
      </w:r>
      <w:r w:rsidR="005E429F">
        <w:rPr>
          <w:rFonts w:ascii="Times New Roman" w:hAnsi="Times New Roman" w:cs="Times New Roman"/>
        </w:rPr>
        <w:fldChar w:fldCharType="end"/>
      </w:r>
      <w:r w:rsidRPr="00952CD4">
        <w:rPr>
          <w:rFonts w:ascii="Times New Roman" w:hAnsi="Times New Roman" w:cs="Times New Roman"/>
        </w:rPr>
        <w:t>.</w:t>
      </w:r>
    </w:p>
    <w:p w14:paraId="4C0B657A" w14:textId="77777777" w:rsidR="004E073D" w:rsidRPr="00952CD4" w:rsidRDefault="004E073D" w:rsidP="00EF0802">
      <w:pPr>
        <w:spacing w:line="360" w:lineRule="auto"/>
        <w:jc w:val="both"/>
        <w:rPr>
          <w:rFonts w:ascii="Times New Roman" w:hAnsi="Times New Roman" w:cs="Times New Roman"/>
          <w:b/>
          <w:bCs/>
        </w:rPr>
      </w:pPr>
      <w:r w:rsidRPr="00952CD4">
        <w:rPr>
          <w:rFonts w:ascii="Times New Roman" w:hAnsi="Times New Roman" w:cs="Times New Roman"/>
          <w:b/>
          <w:bCs/>
        </w:rPr>
        <w:t>3. Thyroid Dysfunction</w:t>
      </w:r>
    </w:p>
    <w:p w14:paraId="6C40D302" w14:textId="144D4104" w:rsidR="004E073D" w:rsidRPr="00952CD4" w:rsidRDefault="004E073D" w:rsidP="00EF0802">
      <w:pPr>
        <w:spacing w:line="360" w:lineRule="auto"/>
        <w:jc w:val="both"/>
        <w:rPr>
          <w:rFonts w:ascii="Times New Roman" w:hAnsi="Times New Roman" w:cs="Times New Roman"/>
        </w:rPr>
      </w:pPr>
      <w:r w:rsidRPr="00952CD4">
        <w:rPr>
          <w:rFonts w:ascii="Times New Roman" w:hAnsi="Times New Roman" w:cs="Times New Roman"/>
          <w:i/>
          <w:iCs/>
        </w:rPr>
        <w:t>Thyroid dysfunction</w:t>
      </w:r>
      <w:r w:rsidRPr="00952CD4">
        <w:rPr>
          <w:rFonts w:ascii="Times New Roman" w:hAnsi="Times New Roman" w:cs="Times New Roman"/>
        </w:rPr>
        <w:t xml:space="preserve"> in this study refers to abnormal levels of thyroid hormones (TSH, T3, T4) as con</w:t>
      </w:r>
      <w:r w:rsidRPr="00087C6B">
        <w:rPr>
          <w:rFonts w:ascii="Times New Roman" w:hAnsi="Times New Roman" w:cs="Times New Roman"/>
        </w:rPr>
        <w:t xml:space="preserve">firmed through laboratory reports. It includes both hypothyroidism and hyperthyroidism, regardless of clinical presentation, and is assessed based on diagnostic thresholds outlined </w:t>
      </w:r>
      <w:r w:rsidRPr="00952CD4">
        <w:rPr>
          <w:rFonts w:ascii="Times New Roman" w:hAnsi="Times New Roman" w:cs="Times New Roman"/>
        </w:rPr>
        <w:t xml:space="preserve">in current obstetric and endocrinological guidelines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{"citationItems":[{"id":"ITEM-1","itemData":{"DOI":"10.1161/HYPERTENSIONAHA.114.03382","ISSN":"15244563","PMID":"24777978","author":[{"dropping-particle":"","family":"Lindsey","given":"Sarah H.","non-dropping-particle":"","parse-names":false,"suffix":""}],"container-title":"Hypertension","id":"ITEM-1","issue":"1","issued":{"date-parts":[["2014"]]},"page":"21-22","title":"Importance of estrogen metabolites","type":"article-journal","volume":"64"},"uris":["http://www.mendeley.com/documents/?uuid=9d6293aa-1e86-4b1a-9b23-0f8eb349765a"]},{"id":"ITEM-2","itemData":{"DOI":"10.1007/s11102-014-0569-6","ISSN":"15737403","PMID":"24803324","abstract":"Purpose: To estimate the incidence of Cushing’s syndrome (CS) and Cushing’s disease (CD) in the US. Methods: MarketScan Commercial database 2007–2010 (age &lt;65 years) was used. CS patients were defined with ≥2 claims of CS diagnosis, while CD patients were defined with CS plus a benign pituitary adenoma diagnosis or hypophysectomy in the same calendar year. Annual incidence was calculated by dividing the number of CS or CD cases by the total number of members with the same enrollment requirement during the calendar years. Results: CS incidence rates per million person-years were 48.6 in 2009 and 39.5 in 2010. The lowest rates of CS were in ≤17-year-olds and highest rates were in 35 to 44-year-olds. CD incidence rates were 7.6 in 2009 and 6.2 in 2010. The lowest rates of CD were in ≤17-year-olds and highest rates were in 18 to 24-year-olds. The rates varied by sex (2.3–2.7 in males, 9.8–12.1 in females). In females, lowest rates ranged 2.5–4.0 in ≤17-year-olds and highest 16.7–27.2 in 18–24 year olds. In males, there were too few cases to report estimates by age. Conclusions: In the first large US-based study, the annual incidence of CS in individuals &lt;65 years old was nearly 49 cases per million, substantially higher than previous estimates, which were based primarily on European data. Using similar methods, we estimated the incidence of CD at nearly 8 cases per million US population. These estimates, if confirmed in other epidemiologic databases, represent a new data reference in these rare conditions.","author":[{"dropping-particle":"","family":"Broder","given":"Michael S.","non-dropping-particle":"","parse-names":false,"suffix":""},{"dropping-particle":"","family":"Neary","given":"Maureen P.","non-dropping-particle":"","parse-names":false,"suffix":""},{"dropping-particle":"","family":"Chang","given":"Eunice","non-dropping-particle":"","parse-names":false,"suffix":""},{"dropping-particle":"","family":"Cherepanov","given":"Dasha","non-dropping-particle":"","parse-names":false,"suffix":""},{"dropping-particle":"","family":"Ludlam","given":"William H.","non-dropping-particle":"","parse-names":false,"suffix":""}],"container-title":"Pituitary","id":"ITEM-2","issue":"3","issued":{"date-parts":[["2015"]]},"page":"283-289","title":"Incidence of Cushing’s syndrome and Cushing’s disease in commercially-insured patients &lt;65 years old in the United States","type":"article-journal","volume":"18"},"uris":["http://www.mendeley.com/documents/?uuid=3b040750-7d40-4abe-a780-4340e0d3d66f"]}],"mendeley":{"formattedCitation":"(Broder et al., 2015; Lindsey, 2014)","plainTextFormattedCitation":"(Broder et al., 2015; Lindsey, 2014)","previouslyFormattedCitation":"(Broder et al., 2015; Lindsey, 2014)"},"properties":{"noteIndex":0},"schema":"https://github.com/citation-style-language/schema/raw/master/csl-citation.json"}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(Broder et al., 2015; Lindsey, 2014)</w:t>
      </w:r>
      <w:r w:rsidR="005E429F">
        <w:rPr>
          <w:rFonts w:ascii="Times New Roman" w:hAnsi="Times New Roman" w:cs="Times New Roman"/>
        </w:rPr>
        <w:fldChar w:fldCharType="end"/>
      </w:r>
      <w:r w:rsidRPr="00952CD4">
        <w:rPr>
          <w:rFonts w:ascii="Times New Roman" w:hAnsi="Times New Roman" w:cs="Times New Roman"/>
        </w:rPr>
        <w:t>.</w:t>
      </w:r>
    </w:p>
    <w:p w14:paraId="0DEBDDD4" w14:textId="77777777" w:rsidR="004E073D" w:rsidRPr="00952CD4" w:rsidRDefault="004E073D" w:rsidP="00EF0802">
      <w:pPr>
        <w:spacing w:line="360" w:lineRule="auto"/>
        <w:jc w:val="both"/>
        <w:rPr>
          <w:rFonts w:ascii="Times New Roman" w:hAnsi="Times New Roman" w:cs="Times New Roman"/>
          <w:b/>
          <w:bCs/>
        </w:rPr>
      </w:pPr>
      <w:r w:rsidRPr="00952CD4">
        <w:rPr>
          <w:rFonts w:ascii="Times New Roman" w:hAnsi="Times New Roman" w:cs="Times New Roman"/>
          <w:b/>
          <w:bCs/>
        </w:rPr>
        <w:t>4. Hypertension</w:t>
      </w:r>
    </w:p>
    <w:p w14:paraId="2CA9C949" w14:textId="2AD6FA7E" w:rsidR="004E073D" w:rsidRPr="00952CD4" w:rsidRDefault="004E073D" w:rsidP="00EF0802">
      <w:pPr>
        <w:spacing w:line="360" w:lineRule="auto"/>
        <w:jc w:val="both"/>
        <w:rPr>
          <w:rFonts w:ascii="Times New Roman" w:hAnsi="Times New Roman" w:cs="Times New Roman"/>
        </w:rPr>
      </w:pPr>
      <w:r w:rsidRPr="00952CD4">
        <w:rPr>
          <w:rFonts w:ascii="Times New Roman" w:hAnsi="Times New Roman" w:cs="Times New Roman"/>
          <w:i/>
          <w:iCs/>
        </w:rPr>
        <w:t>Hypertension</w:t>
      </w:r>
      <w:r w:rsidRPr="00952CD4">
        <w:rPr>
          <w:rFonts w:ascii="Times New Roman" w:hAnsi="Times New Roman" w:cs="Times New Roman"/>
        </w:rPr>
        <w:t xml:space="preserve"> is operationally defined as systolic blood pressure (SBP) ≥ 140 mmHg and/or diastolic blood pressure (DBP) ≥ 90 mmHg on two or more separate occasions during pregnancy, as per WHO and ACOG criteria. It includes gestational hypertension and preeclampsia and is confirmed through blood pressure monitoring at antenatal visits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{"citationItems":[{"id":"ITEM-1","itemData":{"DOI":"10.1038/s41440-022-01067-z","ISSN":"13484214","PMID":"36229533","abstract":"In order to assess the risk of hypertension development, we performed a retrospective analysis of the clinical records of consecutive transgender patients who began gender-affirming hormonal therapy in our Outpatient Gender Identity Clinic with &lt;30 years of age and had a follow-up &gt;5 years. 149 transgender women treated with estradiol and 153 transgender men treated with testosterone were included; 129 of the transgender women received also androgen blockers (54 spironolactone, 49 cyproterone acetate and 26 LHRH agonists). The annual incidence of hypertension in young transgender men (1.18%) seemed comparable to that of the general population. In young transgender women, it seemed higher (2.14%); we found that the choice of androgen blocker had a remarkable effect, with a highly significant increase in patients treated with cyproterone acetate (4.90%) vs. the rest (0.80%); the adjusted hazard-ratio was 0.227 (p = 0.001). Correlation, logistic regression and mediation analyses were performed for the associations of the available clinical variables with the increase in systolic blood pressure and the onset of hypertension, but besides the use of cyproterone acetate, only the ponderal gain was found significant (Spearman’s r: 0.361, p &lt; 0.001); with a 36.7% mediation effect (31.2–42.3%). Cyproterone acetate has additional known risks, such as meningioma; although we cannot conclusively prove that it has a role in the development of hypertension, we conclude that the use of cyproterone acetate for this indication should be reconsidered.","author":[{"dropping-particle":"","family":"Martinez-Martin","given":"Francisco Javier","non-dropping-particle":"","parse-names":false,"suffix":""},{"dropping-particle":"","family":"Kuzior","given":"Agnieszka","non-dropping-particle":"","parse-names":false,"suffix":""},{"dropping-particle":"","family":"Hernandez-Lazaro","given":"Alba","non-dropping-particle":"","parse-names":false,"suffix":""},{"dropping-particle":"","family":"Leon-Durango","given":"Ricardo Jose","non-dropping-particle":"de","parse-names":false,"suffix":""},{"dropping-particle":"","family":"Rios-Gomez","given":"Carlos","non-dropping-particle":"","parse-names":false,"suffix":""},{"dropping-particle":"","family":"Santana-Ojeda","given":"Borja","non-dropping-particle":"","parse-names":false,"suffix":""},{"dropping-particle":"","family":"Perez-Rivero","given":"Jennifer Maria","non-dropping-particle":"","parse-names":false,"suffix":""},{"dropping-particle":"","family":"Fernandez-Trujillo-Comenge","given":"Paula Maria","non-dropping-particle":"","parse-names":false,"suffix":""},{"dropping-particle":"","family":"Gonzalez-Diaz","given":"Paula","non-dropping-particle":"","parse-names":false,"suffix":""},{"dropping-particle":"","family":"Arnas-Leon","given":"Claudia","non-dropping-particle":"","parse-names":false,"suffix":""},{"dropping-particle":"","family":"Acosta-Calero","given":"Carmen","non-dropping-particle":"","parse-names":false,"suffix":""},{"dropping-particle":"","family":"Perdomo-Herrera","given":"Esperanza","non-dropping-particle":"","parse-names":false,"suffix":""},{"dropping-particle":"","family":"Tocino-Hernandez","given":"Alba Lucia","non-dropping-particle":"","parse-names":false,"suffix":""},{"dropping-particle":"","family":"Sol Sanchez-Bacaicoa","given":"Maria","non-dropping-particle":"del","parse-names":false,"suffix":""},{"dropping-particle":"","family":"Pino Perez-Garcia","given":"Maria","non-dropping-particle":"del","parse-names":false,"suffix":""}],"container-title":"Hypertension Research","id":"ITEM-1","issue":"1","issued":{"date-parts":[["2023"]]},"page":"219-225","publisher":"Springer US","title":"Incidence of hypertension in young transgender people after a 5-year follow-up: association with gender-affirming hormonal therapy","type":"article-journal","volume":"46"},"uris":["http://www.mendeley.com/documents/?uuid=45c49fe3-0b2a-4872-834d-0e93fa1ca646"]},{"id":"ITEM-2","itemData":{"DOI":"10.1016/j.ijcard.2019.01.039","ISSN":"18741754","PMID":"30685102","abstract":"Cardiovascular disease (CVD) is the leading cause of death in women in developed countries. The traditional modifiable risk factors are able to explain the majority of CVD mortality. The aim of this review is to analyze gender-specific aspects of major conventional cardiovascular risk factors and to assess whether they have the same impact on CVD in women. Cigarette smoking remains the single largest preventable cause of cardiovascular morbidity and premature death worldwide. Women smoke less than men; however, smoking seems to be more harmful in women, particularly in oral contraceptive users. Obesity in the general population is more prevalent in women. Visceral adiposity is associated with insulin resistance and a higher risk of developing cardiovascular disease. Life expectancy in female diabetic patients is shorter than in men with diabetes; women with diabetes are also at higher risk of developing cardiovascular events. Changes of main lipid parameters in women are frequently associated with their hormonal status and/or hormonal treatment. Hypertension is highly prevalent in post-menopausal women and carries a higher risk of developing left ventricular hypertrophy, which, together with a greater increase in vascular and myocardial stiffness, results in a higher incidence of heart failure with preserved ejection fraction and a higher risk of developing stroke. The risk of abdominal aortic rupture is substantially higher in women. In conclusion, smoking, diabetes and hypertension seem to be more harmful in women. Therefore, the question is whether there should not be lower thresholds for initiating drug treatment in women with diabetes and hypertension.","author":[{"dropping-particle":"","family":"Cifkova","given":"Renata","non-dropping-particle":"","parse-names":false,"suffix":""},{"dropping-particle":"","family":"Pitha","given":"Jan","non-dropping-particle":"","parse-names":false,"suffix":""},{"dropping-particle":"","family":"Krajcoviechova","given":"Alena","non-dropping-particle":"","parse-names":false,"suffix":""},{"dropping-particle":"","family":"Kralikova","given":"Eva","non-dropping-particle":"","parse-names":false,"suffix":""}],"container-title":"International Journal of Cardiology","id":"ITEM-2","issued":{"date-parts":[["2019"]]},"page":"214-219","publisher":"Elsevier B.V.","title":"Is the impact of conventional risk factors the same in men and women? Plea for a more gender-specific approach","type":"article-journal","volume":"286"},"uris":["http://www.mendeley.com/documents/?uuid=8a0a91e8-a42d-4cad-ad9e-b661e9a80592"]}],"mendeley":{"formattedCitation":"(Cifkova et al., 2019; Martinez-Martin et al., 2023)","plainTextFormattedCitation":"(Cifkova et al., 2019; Martinez-Martin et al., 2023)","previouslyFormattedCitation":"(Cifkova et al., 2019; Martinez-Martin et al., 2023)"},"properties":{"noteIndex":0},"schema":"https://github.com/citation-style-language/schema/raw/master/csl-citation.json"}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(Cifkova et al., 2019; Martinez-Martin et al., 2023)</w:t>
      </w:r>
      <w:r w:rsidR="005E429F">
        <w:rPr>
          <w:rFonts w:ascii="Times New Roman" w:hAnsi="Times New Roman" w:cs="Times New Roman"/>
        </w:rPr>
        <w:fldChar w:fldCharType="end"/>
      </w:r>
      <w:r w:rsidRPr="00952CD4">
        <w:rPr>
          <w:rFonts w:ascii="Times New Roman" w:hAnsi="Times New Roman" w:cs="Times New Roman"/>
        </w:rPr>
        <w:t>.</w:t>
      </w:r>
    </w:p>
    <w:p w14:paraId="089BC300" w14:textId="77777777" w:rsidR="004E073D" w:rsidRPr="00952CD4" w:rsidRDefault="004E073D" w:rsidP="00EF0802">
      <w:pPr>
        <w:spacing w:line="360" w:lineRule="auto"/>
        <w:jc w:val="both"/>
        <w:rPr>
          <w:rFonts w:ascii="Times New Roman" w:hAnsi="Times New Roman" w:cs="Times New Roman"/>
          <w:b/>
          <w:bCs/>
        </w:rPr>
      </w:pPr>
      <w:r w:rsidRPr="00952CD4">
        <w:rPr>
          <w:rFonts w:ascii="Times New Roman" w:hAnsi="Times New Roman" w:cs="Times New Roman"/>
          <w:b/>
          <w:bCs/>
        </w:rPr>
        <w:t>5. Awareness</w:t>
      </w:r>
    </w:p>
    <w:p w14:paraId="5A94836E" w14:textId="07453BC2" w:rsidR="004E073D" w:rsidRPr="00952CD4" w:rsidRDefault="004E073D" w:rsidP="00EF0802">
      <w:pPr>
        <w:spacing w:line="360" w:lineRule="auto"/>
        <w:jc w:val="both"/>
        <w:rPr>
          <w:rFonts w:ascii="Times New Roman" w:hAnsi="Times New Roman" w:cs="Times New Roman"/>
        </w:rPr>
      </w:pPr>
      <w:r w:rsidRPr="00952CD4">
        <w:rPr>
          <w:rFonts w:ascii="Times New Roman" w:hAnsi="Times New Roman" w:cs="Times New Roman"/>
          <w:i/>
          <w:iCs/>
        </w:rPr>
        <w:t>Awareness</w:t>
      </w:r>
      <w:r w:rsidRPr="00952CD4">
        <w:rPr>
          <w:rFonts w:ascii="Times New Roman" w:hAnsi="Times New Roman" w:cs="Times New Roman"/>
        </w:rPr>
        <w:t xml:space="preserve"> refers to the degree of knowledge and understanding that pregnant women possess regarding thyroid and hypertension-related risks, symptoms, causes, prevention strategies, and the role of lifestyle modification. It is measured using structured questionnaires developed and validated for this study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10.1136/jech.52.2.131","ISSN":"0143005X","PMID":"9578864","author":[{"dropping-particle":"","family":"Prescott","given":"Eva","non-dropping-particle":"","parse-names":false,"suffix":""},{"dropping-particle":"","family":"Osler","given":"Merete","non-dropping-particle":"","parse-names":false,"suffix":""},{"dropping-particle":"","family":"Hein","given":"Hans Ole","non-dropping-particle":"","parse-names":false,"suffix":""},{"dropping-particle":"","family":"Borch-Johnsen","given":"Knut","non-dropping-particle":"","parse-names":false,"suffix":""},{"dropping-particle":"","family":"Schnohr","given":"Peter","non-dropping-particle":"","parse-names":false,"suffix":""},{"dropping-particle":"","family":"Vestbo","given":"Jörgen","non-dropping-particle":"","parse-names":false,"suffix":""}],"container-title":"Journal of Epidemiology and Community Health","id":"ITEM-1","issue":"2","issued":{"date-parts":[["1998"]]},"page":"131-132","title":"Life expectancy in Danish women and men related to smoking habits: Smoking may affect women more","type":"article-journal","volume":"52"},"uris":["http://www.mendeley.com/documents/?uuid=27fee6a9-f294-4600-a128-c42a56801ad3"]},{"id":"ITEM-2","itemData":{"DOI":"10.3389/fpubh.2025.1495281","ISSN":"22962565","abstract":"Background: Digital health technologies have the potential to empower patients and enhance the management of chronic diseases, such as hypertension, which often suffers from low awareness and control rates in developing countries. This study aims to investigate the effectiveness of a lifestyle intervention tailored for hypertensive pregnant women, employing strategies derived from self-determination theory through a mobile health program. Methods: The study utilized an experimental pre-test/post-test design with a two-month follow-up period. It examined the impact of an educational intervention on pregnant women with hypertension in Kermanshah, Iran, from 2021 to 2023. Sixty pregnant women with hypertensive disorders were recruited from medical centers and randomly assigned to either the intervention group (N = 30) or the control group (N = 30). A mobile app was employed to deliver the educational intervention, addressing lifestyle factors such as nutrition, physical activity, and stress management. The app’s effectiveness was assessed based on multiple criteria, including content quality, data accuracy, decision support, language and cultural sensitivity, user feedback interpretation, and personalized recommendations. Results: After the intervention, repeated measures ANOVA indicated that the intervention resulted in statistically significant improvements in all study variables within the intervention group compared to the control group (p &lt; 0.05), with the exception of blood pressure (p &gt; 0.05). These changes remained significant during the follow-up period, except for relatedness, moderate physical activity, sitting time, and total physical activity (p &gt; 0.05). The intervention significantly enhanced both controlled autonomy (p &lt; 0.001, η2 = 0.21) and autonomous autonomy (p &lt; 0.001, η2 = 0.30), as well as competence (p &lt; 0.001, η2 = 0.27). The effect on relatedness was marginally non-significant (p = 0.053, η2 = 0.053). Improvements in nutrition, physical activity, and perceived stress were significant across between-group, within-group, and interaction effects (p &lt; 0.05). All levels of physical activity showed significant improvements (p &lt; 0.05), except for low physical activity (p &gt; 0.05). There were significant between-group differences in both systolic and diastolic blood pressure (p &lt; 0.05), but no significant within-group or interaction effects were observed. Conclusion: The M-Health intervention led to improvements in lifestyle factors and sel…","author":[{"dropping-particle":"","family":"Heidari","given":"Negar","non-dropping-particle":"","parse-names":false,"suffix":""},{"dropping-particle":"","family":"Rajati","given":"Fatemeh","non-dropping-particle":"","parse-names":false,"suffix":""},{"dropping-particle":"","family":"Heidari","given":"Paria","non-dropping-particle":"","parse-names":false,"suffix":""},{"dropping-particle":"","family":"Rajati","given":"Mojgan","non-dropping-particle":"","parse-names":false,"suffix":""}],"container-title":"Frontiers in Public Health","id":"ITEM-2","issue":"June","issued":{"date-parts":[["2025"]]},"title":"Lifestyle modification intervention among pregnant women with hypertension based on the self-determination theory using M-Health","type":"article-journal","volume":"13"},"uris":["http://www.mendeley.com/documents/?uuid=1cb7f990-8351-4307-adae-d285cee7b243"]}],"mendeley":{"formattedCitation":"(Heidari et al., 2025; Prescott et al., 1998)","plainTextFormattedCitation":"(Heidari et al., 2025; Prescott et al., 1998)","previouslyFormattedCitation":"(Heidari et al., 2025; Prescott et al., 1998)"},"properties":{"noteIndex":0},"schema":"https://github.com/citation-style-language/schema/raw/master/csl-citation.json"}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(Heidari et al., 2025; Prescott et al., 1998)</w:t>
      </w:r>
      <w:r w:rsidR="005E429F">
        <w:rPr>
          <w:rFonts w:ascii="Times New Roman" w:hAnsi="Times New Roman" w:cs="Times New Roman"/>
        </w:rPr>
        <w:fldChar w:fldCharType="end"/>
      </w:r>
      <w:r w:rsidRPr="00952CD4">
        <w:rPr>
          <w:rFonts w:ascii="Times New Roman" w:hAnsi="Times New Roman" w:cs="Times New Roman"/>
        </w:rPr>
        <w:t>.</w:t>
      </w:r>
    </w:p>
    <w:p w14:paraId="0E830827" w14:textId="77777777" w:rsidR="004E073D" w:rsidRPr="00952CD4" w:rsidRDefault="004E073D" w:rsidP="00EF0802">
      <w:pPr>
        <w:spacing w:line="360" w:lineRule="auto"/>
        <w:jc w:val="both"/>
        <w:rPr>
          <w:rFonts w:ascii="Times New Roman" w:hAnsi="Times New Roman" w:cs="Times New Roman"/>
          <w:b/>
          <w:bCs/>
        </w:rPr>
      </w:pPr>
      <w:r w:rsidRPr="00952CD4">
        <w:rPr>
          <w:rFonts w:ascii="Times New Roman" w:hAnsi="Times New Roman" w:cs="Times New Roman"/>
          <w:b/>
          <w:bCs/>
        </w:rPr>
        <w:t>6. Intervention</w:t>
      </w:r>
    </w:p>
    <w:p w14:paraId="008BE193" w14:textId="584BF19B" w:rsidR="00EF0802" w:rsidRPr="005E429F" w:rsidRDefault="004E073D" w:rsidP="00EF0802">
      <w:pPr>
        <w:spacing w:line="360" w:lineRule="auto"/>
        <w:jc w:val="both"/>
        <w:rPr>
          <w:rFonts w:ascii="Times New Roman" w:hAnsi="Times New Roman" w:cs="Times New Roman"/>
        </w:rPr>
      </w:pPr>
      <w:r w:rsidRPr="00952CD4">
        <w:rPr>
          <w:rFonts w:ascii="Times New Roman" w:hAnsi="Times New Roman" w:cs="Times New Roman"/>
          <w:i/>
          <w:iCs/>
        </w:rPr>
        <w:t>Intervention</w:t>
      </w:r>
      <w:r w:rsidRPr="00952CD4">
        <w:rPr>
          <w:rFonts w:ascii="Times New Roman" w:hAnsi="Times New Roman" w:cs="Times New Roman"/>
        </w:rPr>
        <w:t xml:space="preserve"> denotes the structured lifestyle modification program provided to the experimental group, which includes educational sessions, demonstrations, and follow-ups related to diet, exercise, and stress management. The duration and frequency of the </w:t>
      </w:r>
      <w:r w:rsidRPr="00952CD4">
        <w:rPr>
          <w:rFonts w:ascii="Times New Roman" w:hAnsi="Times New Roman" w:cs="Times New Roman"/>
        </w:rPr>
        <w:lastRenderedPageBreak/>
        <w:t xml:space="preserve">intervention are standardized across participants, and effectiveness is evaluated through post-intervention assessments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{"citationItems":[{"id":"ITEM-1","itemData":{"DOI":"10.1038/s41598-021-93846-w","ISBN":"0123456789","ISSN":"20452322","PMID":"34282168","abstract":"Long-Chain Polyunsaturated Fatty Acid (LCPUFA) is essential throughout pregnancy, since deficiency of LPUFA may linked to obstetrical complications. This study aimed to investigate LCPUFA status in severe preeclampsia and preterm birth. A cross sectional study was conducted in 104 pregnant women, which divided into normal pregnancy, severe preeclampsia and preterm birth groups. Serum percentage and concentration of total LCPUFA, omega-3, alpha-linolenic acid (ALA), eicosapentaenoic acid (EPA), docosahexaenoic acid (DHA), omega-6, linoleic acid (LA), and arachidonic acid (AA) were measured using gas chromatography/mass spectrometry. Receiver operating characteristic (ROC), bivariate and multivariate analysis were performed. Severe preeclampsia showed the highest concentration of total PUFA and the lowest DHA percentage, with significantly higher Omega-6/Omega-3 ratio (p = 0.004) and lower omega-3 index (p &lt; 0.002) compared to control. Preterm birth showed the least omega-3 concentrations, with significantly low omega-6 derivates (LA (p = 0.014) and AA (p = 0.025)) compared to control. LCPUFA parameters have shown to increase the risk in both conditions, particularly ALA ≤ 53 µmol/L in preeclampsia with OR 5.44, 95%CI 1.16–25.42 and preterm birth with OR 4.68, 95%CI 1.52–14.38. These findings suggest that severe preeclampsia and preterm birth have an imbalance in LCPUFA status.","author":[{"dropping-particle":"","family":"Irwinda","given":"Rima","non-dropping-particle":"","parse-names":false,"suffix":""},{"dropping-particle":"","family":"Hiksas","given":"Rabbania","non-dropping-particle":"","parse-names":false,"suffix":""},{"dropping-particle":"","family":"Siregar","given":"Aprilia Asthasari","non-dropping-particle":"","parse-names":false,"suffix":""},{"dropping-particle":"","family":"Saroyo","given":"Yudianto Budi","non-dropping-particle":"","parse-names":false,"suffix":""},{"dropping-particle":"","family":"Wibowo","given":"Noroyono","non-dropping-particle":"","parse-names":false,"suffix":""}],"container-title":"Scientific Reports","id":"ITEM-1","issue":"1","issued":{"date-parts":[["2021"]]},"page":"1-11","publisher":"Nature Publishing Group UK","title":"Long-chain polyunsaturated fatty acid (LC-PUFA) status in severe preeclampsia and preterm birth: a cross sectional study","type":"article-journal","volume":"11"},"uris":["http://www.mendeley.com/documents/?uuid=caca0eca-03d0-469a-bf12-e30162d9c676"]}],"mendeley":{"formattedCitation":"(Irwinda et al., 2021)","plainTextFormattedCitation":"(Irwinda et al., 2021)","previouslyFormattedCitation":"(Irwinda et al., 2021)"},"properties":{"noteIndex":0},"schema":"https://github.com/citation-style-language/schema/raw/master/csl-citation.json"}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(Irwinda et al., 2021)</w:t>
      </w:r>
      <w:r w:rsidR="005E429F">
        <w:rPr>
          <w:rFonts w:ascii="Times New Roman" w:hAnsi="Times New Roman" w:cs="Times New Roman"/>
        </w:rPr>
        <w:fldChar w:fldCharType="end"/>
      </w:r>
      <w:r w:rsidRPr="00952CD4">
        <w:rPr>
          <w:rFonts w:ascii="Times New Roman" w:hAnsi="Times New Roman" w:cs="Times New Roman"/>
        </w:rPr>
        <w:t>.</w:t>
      </w:r>
    </w:p>
    <w:p w14:paraId="4BCBCCEC" w14:textId="0CD91F21" w:rsidR="004E073D" w:rsidRPr="00952CD4" w:rsidRDefault="004E073D" w:rsidP="00EF0802">
      <w:pPr>
        <w:spacing w:line="360" w:lineRule="auto"/>
        <w:jc w:val="both"/>
        <w:rPr>
          <w:rFonts w:ascii="Times New Roman" w:hAnsi="Times New Roman" w:cs="Times New Roman"/>
          <w:b/>
          <w:bCs/>
        </w:rPr>
      </w:pPr>
      <w:r w:rsidRPr="00952CD4">
        <w:rPr>
          <w:rFonts w:ascii="Times New Roman" w:hAnsi="Times New Roman" w:cs="Times New Roman"/>
          <w:b/>
          <w:bCs/>
        </w:rPr>
        <w:t>7. Physical Activity</w:t>
      </w:r>
    </w:p>
    <w:p w14:paraId="64815D9D" w14:textId="54E43337" w:rsidR="004E073D" w:rsidRPr="00952CD4" w:rsidRDefault="004E073D" w:rsidP="00EF0802">
      <w:pPr>
        <w:spacing w:line="360" w:lineRule="auto"/>
        <w:jc w:val="both"/>
        <w:rPr>
          <w:rFonts w:ascii="Times New Roman" w:hAnsi="Times New Roman" w:cs="Times New Roman"/>
        </w:rPr>
      </w:pPr>
      <w:r w:rsidRPr="00952CD4">
        <w:rPr>
          <w:rFonts w:ascii="Times New Roman" w:hAnsi="Times New Roman" w:cs="Times New Roman"/>
          <w:i/>
          <w:iCs/>
        </w:rPr>
        <w:t>Physical activity</w:t>
      </w:r>
      <w:r w:rsidRPr="00952CD4">
        <w:rPr>
          <w:rFonts w:ascii="Times New Roman" w:hAnsi="Times New Roman" w:cs="Times New Roman"/>
        </w:rPr>
        <w:t xml:space="preserve"> refers to any bodily movement initiated by skeletal muscles that require energy expenditure, including walking, yoga, or supervised exercise sessions recommended for pregnant women. Frequency (e.g., 3–5 times per week) and duration (e.g., 20–30 minutes per session) are assessed via self-report and monitoring logs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{"citationItems":[{"id":"ITEM-1","itemData":{"DOI":"10.1080/14767058.2019.1686474","ISSN":"14764954","PMID":"31736380","abstract":"Background: Preeclampsia is a pregnancy disorder that increases the risk of prenatal and maternal complications. Therefore, prevention of preeclampsia requires identifying its preventable risk factors such as dietary patterns. Objective: This study aimed to investigate the relationship between the major dietary patterns and preeclampsia. Study design: In this case–control study, the dietary patterns of a total of 510 pregnant women were investigated. Data on their dietary intake, sociodemographics, and daily physical activity levels were collected using a 198 item semi-quantitative food frequency questionnaire, a sociodemographic questionnaire, and a physical activity questionnaire, respectively. To identify the major dietary patterns and to model the relationship between dietary patterns and preeclampsia, factor analysis and unconditional logistic regression were employed, respectively. The three major dietary patterns identified were as follows: healthy dietary pattern (i.e. high in fruits, low-fat dairy, dried fruits, nuts, vegetables, fruit juice, liquid oil, and tomatoes), western dietary pattern (i.e. high in red meat, processed meat, fried potatoes, and pickles), and Iranian traditional dietary pattern (i.e. high in eggs, potatoes, and legumes). Results: After adjustment for confounding factors, we found that with an increase in the healthy dietary pattern score, the odds of preeclampsia were reduced to 87.5% (OR = 0.125, 95%CI: 0.070–0.221, p &lt;.001); with an increase in the western dietary pattern score, the odds of preeclampsia were increased 5.99 times (OR = 5.99, 95%CI: 3.414–10.53, p &lt;.001); and with an increase in the Iranian traditional dietary pattern score, the odds of preeclampsia were reduced to 81.7% (OR = 0.183, 95%CI: 0.109–0.308, p &lt;.001). Conclusion: The findings showed that the western dietary pattern had a direct relationship and the healthy and Iranian traditional patterns had a reverse relationship with preeclampsia.","author":[{"dropping-particle":"","family":"Abbasi","given":"Reza","non-dropping-particle":"","parse-names":false,"suffix":""},{"dropping-particle":"","family":"Bakhshimoghaddam","given":"Farnush","non-dropping-particle":"","parse-names":false,"suffix":""},{"dropping-particle":"","family":"Alizadeh","given":"Mohammad","non-dropping-particle":"","parse-names":false,"suffix":""}],"container-title":"Journal of Maternal-Fetal and Neonatal Medicine","id":"ITEM-1","issue":"21","issued":{"date-parts":[["2021"]]},"page":"3529-3536","publisher":"Taylor &amp; Francis","title":"Major dietary patterns in relation to preeclampsia among Iranian pregnant women: a case–control study","type":"article-journal","volume":"34"},"uris":["http://www.mendeley.com/documents/?uuid=ba084fcb-bc71-4c22-8fa6-a1965164620d"]}],"mendeley":{"formattedCitation":"(Abbasi et al., 2021)","plainTextFormattedCitation":"(Abbasi et al., 2021)","previouslyFormattedCitation":"(Abbasi et al., 2021)"},"properties":{"noteIndex":0},"schema":"https://github.com/citation-style-language/schema/raw/master/csl-citation.json"}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(Abbasi et al., 2021)</w:t>
      </w:r>
      <w:r w:rsidR="005E429F">
        <w:rPr>
          <w:rFonts w:ascii="Times New Roman" w:hAnsi="Times New Roman" w:cs="Times New Roman"/>
        </w:rPr>
        <w:fldChar w:fldCharType="end"/>
      </w:r>
      <w:r w:rsidRPr="00952CD4">
        <w:rPr>
          <w:rFonts w:ascii="Times New Roman" w:hAnsi="Times New Roman" w:cs="Times New Roman"/>
        </w:rPr>
        <w:t>.</w:t>
      </w:r>
    </w:p>
    <w:p w14:paraId="51F12EBE" w14:textId="77777777" w:rsidR="004E073D" w:rsidRPr="00952CD4" w:rsidRDefault="004E073D" w:rsidP="00EF0802">
      <w:pPr>
        <w:spacing w:line="360" w:lineRule="auto"/>
        <w:jc w:val="both"/>
        <w:rPr>
          <w:rFonts w:ascii="Times New Roman" w:hAnsi="Times New Roman" w:cs="Times New Roman"/>
          <w:b/>
          <w:bCs/>
        </w:rPr>
      </w:pPr>
      <w:r w:rsidRPr="00952CD4">
        <w:rPr>
          <w:rFonts w:ascii="Times New Roman" w:hAnsi="Times New Roman" w:cs="Times New Roman"/>
          <w:b/>
          <w:bCs/>
        </w:rPr>
        <w:t xml:space="preserve">8. Dietary </w:t>
      </w:r>
      <w:proofErr w:type="spellStart"/>
      <w:r w:rsidRPr="00952CD4">
        <w:rPr>
          <w:rFonts w:ascii="Times New Roman" w:hAnsi="Times New Roman" w:cs="Times New Roman"/>
          <w:b/>
          <w:bCs/>
        </w:rPr>
        <w:t>Behavior</w:t>
      </w:r>
      <w:proofErr w:type="spellEnd"/>
    </w:p>
    <w:p w14:paraId="2C9B1FA4" w14:textId="766F71FF" w:rsidR="004E073D" w:rsidRPr="00952CD4" w:rsidRDefault="004E073D" w:rsidP="00EF0802">
      <w:pPr>
        <w:spacing w:line="360" w:lineRule="auto"/>
        <w:jc w:val="both"/>
        <w:rPr>
          <w:rFonts w:ascii="Times New Roman" w:hAnsi="Times New Roman" w:cs="Times New Roman"/>
        </w:rPr>
      </w:pPr>
      <w:r w:rsidRPr="00952CD4">
        <w:rPr>
          <w:rFonts w:ascii="Times New Roman" w:hAnsi="Times New Roman" w:cs="Times New Roman"/>
          <w:i/>
          <w:iCs/>
        </w:rPr>
        <w:t xml:space="preserve">Dietary </w:t>
      </w:r>
      <w:proofErr w:type="spellStart"/>
      <w:r w:rsidRPr="00952CD4">
        <w:rPr>
          <w:rFonts w:ascii="Times New Roman" w:hAnsi="Times New Roman" w:cs="Times New Roman"/>
          <w:i/>
          <w:iCs/>
        </w:rPr>
        <w:t>behavior</w:t>
      </w:r>
      <w:proofErr w:type="spellEnd"/>
      <w:r w:rsidRPr="00952CD4">
        <w:rPr>
          <w:rFonts w:ascii="Times New Roman" w:hAnsi="Times New Roman" w:cs="Times New Roman"/>
        </w:rPr>
        <w:t xml:space="preserve"> is defined as participants’ intake patterns of food and nutrients, especially regarding salt consumption, fluid intake, and nutrient-dense foods (fruits, vegetables, iodine sources). Changes in dietary </w:t>
      </w:r>
      <w:proofErr w:type="spellStart"/>
      <w:r w:rsidRPr="00952CD4">
        <w:rPr>
          <w:rFonts w:ascii="Times New Roman" w:hAnsi="Times New Roman" w:cs="Times New Roman"/>
        </w:rPr>
        <w:t>behavior</w:t>
      </w:r>
      <w:proofErr w:type="spellEnd"/>
      <w:r w:rsidRPr="00952CD4">
        <w:rPr>
          <w:rFonts w:ascii="Times New Roman" w:hAnsi="Times New Roman" w:cs="Times New Roman"/>
        </w:rPr>
        <w:t xml:space="preserve"> are tracked pre- and post-intervention using a checklist developed from national dietary guidelines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{"citationItems":[{"id":"ITEM-1","itemData":{"DOI":"10.1111/1471-0528.18088","ISSN":"14710528","PMID":"40240075","author":[{"dropping-particle":"","family":"Chan","given":"Shiao Yng","non-dropping-particle":"","parse-names":false,"suffix":""},{"dropping-particle":"","family":"Marsh","given":"Michael S.","non-dropping-particle":"","parse-names":false,"suffix":""},{"dropping-particle":"","family":"Gilbert","given":"Jackie","non-dropping-particle":"","parse-names":false,"suffix":""},{"dropping-particle":"","family":"Boelaert","given":"Kristien","non-dropping-particle":"","parse-names":false,"suffix":""},{"dropping-particle":"","family":"Evans","given":"Carol","non-dropping-particle":"","parse-names":false,"suffix":""},{"dropping-particle":"","family":"Dhillon-Smith","given":"Rima","non-dropping-particle":"","parse-names":false,"suffix":""}],"container-title":"BJOG: An International Journal of Obstetrics and Gynaecology","id":"ITEM-1","issue":"8","issued":{"date-parts":[["2025"]]},"page":"e130-e161","title":"Management of Thyroid Disorders in Pregnancy","type":"article-journal","volume":"132"},"uris":["http://www.mendeley.com/documents/?uuid=72e032fa-1276-40b2-b6d0-bb713b98abc5"]},{"id":"ITEM-2","itemData":{"DOI":"10.1007/s11883-017-0649-y","ISSN":"15346242","PMID":"28210974","abstract":"Purpose of Review: Hypertension and hyperlipidemia represent two major risk factors for atherosclerotic cardiovascular disease. Mobile health or mHealth is defined as the use of mobile phone and wireless technologies to support the achievement of health objectives. Management of hypertension, and to some extent hyperlipidemia, has often employed mHealth interventions given lower cost and greater patient engagement compared to traditional methods. These interventions include the use of text messaging, wireless devices, and mobile phone applications. This review considers recent studies evaluating the effectiveness of mHealth interventions in the management of hypertension and hyperlipidemia. Recent Findings: Numerous studies have evaluated the role of mHealth interventions in the management of hypertension, while very few have evaluated their role in hyperlipidemia. Text messaging has been used most frequently. However, the trend is shifting towards the use of mobile phone applications and wireless devices. Interventions in developing countries have been modified for greater applicability to local settings. mHealth interventions were found to be frequently effective. However, studies comparing the relative efficacy of various mHealth strategies are scarce. Long-term cardiovascular outcomes data and analyses relating to cost effectiveness are also lacking. Summary: mHealth interventions may be effective in improving hypertension management. More studies are needed to evaluate the role of mHealth strategies in hyperlipidemia management, particularly in identifying high-risk individuals and improving medication adherence. Studies assessing the long-term impact of these interventions, comparing different interventions and analyzing their relative cost effectiveness, are also needed. Following recently published guidelines on reporting results of mHealth interventions will provide a more meaningful context for interpreting these promising early studies.","author":[{"dropping-particle":"","family":"Rehman","given":"Hasan","non-dropping-particle":"","parse-names":false,"suffix":""},{"dropping-particle":"","family":"Kamal","given":"Ayeesha K.","non-dropping-particle":"","parse-names":false,"suffix":""},{"dropping-particle":"","family":"Morris","given":"Pamela B.","non-dropping-particle":"","parse-names":false,"suffix":""},{"dropping-particle":"","family":"Sayani","given":"Saleem","non-dropping-particle":"","parse-names":false,"suffix":""},{"dropping-particle":"","family":"Merchant","given":"Anwar T.","non-dropping-particle":"","parse-names":false,"suffix":""},{"dropping-particle":"","family":"Virani","given":"Salim S.","non-dropping-particle":"","parse-names":false,"suffix":""}],"container-title":"Current Atherosclerosis Reports","id":"ITEM-2","issue":"3","issued":{"date-parts":[["2017"]]},"publisher":"Current Atherosclerosis Reports","title":"Mobile Health (mHealth) Technology for the Management of Hypertension and Hyperlipidemia: Slow Start but Loads of Potential","type":"article-journal","volume":"19"},"uris":["http://www.mendeley.com/documents/?uuid=574ad80f-73a0-47c1-acaa-dc83049d50a6"]}],"mendeley":{"formattedCitation":"(Chan et al., 2025; Rehman et al., 2017)","plainTextFormattedCitation":"(Chan et al., 2025; Rehman et al., 2017)","previouslyFormattedCitation":"(Chan et al., 2025; Rehman et al., 2017)"},"properties":{"noteIndex":0},"schema":"https://github.com/citation-style-language/schema/raw/master/csl-citation.json"}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(Chan et al., 2025; Rehman et al., 2017)</w:t>
      </w:r>
      <w:r w:rsidR="005E429F">
        <w:rPr>
          <w:rFonts w:ascii="Times New Roman" w:hAnsi="Times New Roman" w:cs="Times New Roman"/>
        </w:rPr>
        <w:fldChar w:fldCharType="end"/>
      </w:r>
      <w:r w:rsidRPr="00952CD4">
        <w:rPr>
          <w:rFonts w:ascii="Times New Roman" w:hAnsi="Times New Roman" w:cs="Times New Roman"/>
        </w:rPr>
        <w:t>.</w:t>
      </w:r>
    </w:p>
    <w:p w14:paraId="60725158" w14:textId="77777777" w:rsidR="000D701E" w:rsidRPr="00952CD4" w:rsidRDefault="000D701E" w:rsidP="00EF0802">
      <w:pPr>
        <w:spacing w:line="360" w:lineRule="auto"/>
        <w:jc w:val="both"/>
        <w:rPr>
          <w:rFonts w:ascii="Times New Roman" w:hAnsi="Times New Roman" w:cs="Times New Roman"/>
          <w:b/>
          <w:bCs/>
        </w:rPr>
      </w:pPr>
    </w:p>
    <w:p w14:paraId="3E873687" w14:textId="319FF477" w:rsidR="000D701E" w:rsidRPr="00952CD4" w:rsidRDefault="000D701E" w:rsidP="00EF0802">
      <w:pPr>
        <w:spacing w:line="360" w:lineRule="auto"/>
        <w:jc w:val="both"/>
        <w:rPr>
          <w:rFonts w:ascii="Times New Roman" w:hAnsi="Times New Roman" w:cs="Times New Roman"/>
          <w:b/>
          <w:bCs/>
        </w:rPr>
      </w:pPr>
      <w:r w:rsidRPr="00952CD4">
        <w:rPr>
          <w:rFonts w:ascii="Times New Roman" w:hAnsi="Times New Roman" w:cs="Times New Roman"/>
          <w:b/>
          <w:bCs/>
        </w:rPr>
        <w:t>1.4 Statement of the Problem</w:t>
      </w:r>
    </w:p>
    <w:p w14:paraId="64439C40" w14:textId="6D9C0C95"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 xml:space="preserve">Thyroid dysfunction and hypertensive disorders are among the most prevalent medical conditions complicating pregnancy, posing serious risks to both maternal and </w:t>
      </w:r>
      <w:proofErr w:type="spellStart"/>
      <w:r w:rsidRPr="00952CD4">
        <w:rPr>
          <w:rFonts w:ascii="Times New Roman" w:hAnsi="Times New Roman" w:cs="Times New Roman"/>
        </w:rPr>
        <w:t>fetal</w:t>
      </w:r>
      <w:proofErr w:type="spellEnd"/>
      <w:r w:rsidRPr="00952CD4">
        <w:rPr>
          <w:rFonts w:ascii="Times New Roman" w:hAnsi="Times New Roman" w:cs="Times New Roman"/>
        </w:rPr>
        <w:t xml:space="preserve"> health. In India, where maternal morbidity and mortality remain significant public health concerns, these conditions are often diagnosed late or inadequately managed due to insufficient awareness, limited antenatal screening, and lack of preventive education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{"citationItems":[{"id":"ITEM-1","itemData":{"DOI":"10.1038/hr.2012.26","ISSN":"09169636","PMID":"22378470","abstract":"The accurate measurement, prediction and treatment of high blood pressure (BP) are essential issues in the management of hypertension. Ambulatory blood pressure monitoring (ABPM) has been shown to be superior to clinic BP measurements as ABPM can provide the following important information: (i) the mean BP levels, (ii) the diurnal variation in BP and (iii) the short-term BP variability. Among these parameters, there is increasing evidence that the mean nocturnal BP level is the most sensitive predictor of cardiovascular morbidity and mortality. Furthermore, several studies have shown that less nocturnal BP dipping, defined as less nocturnal BP decline relative to daytime BP, or a high night-day BP ratio was associated with poor prognosis irrespective of the 24-hour BP levels. These findings can be interpreted in at least two ways: namely, high nocturnal BP or less nocturnal BP dipping might be not only a potent risk factor for cardiovascular disease (CVD), but also a marker of pre-existing or concurrent diseases that can lead to nocturnal BP elevation. In this review, we consider the clinical utility of ABPM and in particular focus on the nocturnal BP levels or nocturnal BP dipping as a potent risk factor for CVD. In addition, the clinical management of high nocturnal BP and blunted nocturnal BP dipping with antihypertensive medications is discussed. © 2012 The Japanese Society of Hypertension All rights reserved.","author":[{"dropping-particle":"","family":"Yano","given":"Yuichiro","non-dropping-particle":"","parse-names":false,"suffix":""},{"dropping-particle":"","family":"Kario","given":"Kazuomi","non-dropping-particle":"","parse-names":false,"suffix":""}],"container-title":"Hypertension Research","id":"ITEM-1","issue":"7","issued":{"date-parts":[["2012"]]},"page":"695-701","publisher":"Nature Publishing Group","title":"Nocturnal blood pressure and cardiovascular disease: A review of recent advances","type":"article-journal","volume":"35"},"uris":["http://www.mendeley.com/documents/?uuid=fc5f6646-02f1-4a69-9365-f5fa87019c2e"]},{"id":"ITEM-2","itemData":{"DOI":"10.1097/MCO.0000000000000462","ISBN":"0000000000000","ISSN":"14736519","PMID":"29465424","abstract":"Purpose of review: Although not fully understood, the physiopathology of preeclampsia is thought to involve an abnormal placentation, diffuse endothelial cell dysfunction and increased systemic inflammation. As micronutrients play a key role in placental endothelial function, oxidative stress and expression of angiogenic factors, periconceptional micronutrient supplementation has been proposed to reduce the risk of preeclampsia. However, recent studies reported conflicting results. Recent findings: Calcium intake (&gt;1 g/day) may reduce the risk of preeclampsia in women with low-calcium diet. Data from recently updated Cochrane reviews did not support routine supplementation of vitamins C, E or D for either the prevention or treatment of preeclampsia. Evidences are also poor to support zinc or folic acid supplementation for preeclampsia prevention. Dark chocolate, flavonoid-rich food, and long-chain polyunsaturated fatty acids might also be candidates for prevention of preeclampsia. Summary: Through antioxidant, anti-inflammatory or vasoactive proprieties, micronutrients are good candidates for preeclampsia prevention. Calcium supplementation is recommended to prevent preeclampsia in women with low-calcium intake. Despite positive clinical and in-vitro data, strong evidence to support periconceptional supplementation of other micronutrients for preeclampsia risk-reduction is still lacking. Further studies are also needed to evaluate the benefit of nutritional supplementation such as chocolate and long-chain polyunsaturated fatty acids.","author":[{"dropping-particle":"","family":"Achamrah","given":"Najate","non-dropping-particle":"","parse-names":false,"suffix":""},{"dropping-particle":"","family":"Ditisheim","given":"Agnès","non-dropping-particle":"","parse-names":false,"suffix":""}],"container-title":"Current Opinion in Clinical Nutrition and Metabolic Care","id":"ITEM-2","issue":"3","issued":{"date-parts":[["2018"]]},"page":"168-173","title":"Nutritional approach to preeclampsia prevention","type":"article-journal","volume":"21"},"uris":["http://www.mendeley.com/documents/?uuid=cb4f29a8-f3c5-4a50-81c7-376f3193caa5"]}],"mendeley":{"formattedCitation":"(Achamrah &amp; Ditisheim, 2018; Yano &amp; Kario, 2012)","plainTextFormattedCitation":"(Achamrah &amp; Ditisheim, 2018; Yano &amp; Kario, 2012)","previouslyFormattedCitation":"(Achamrah &amp; Ditisheim, 2018; Yano &amp; Kario, 2012)"},"properties":{"noteIndex":0},"schema":"https://github.com/citation-style-language/schema/raw/master/csl-citation.json"}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(Achamrah &amp; Ditisheim, 2018; Yano &amp; Kario, 2012)</w:t>
      </w:r>
      <w:r w:rsidR="005E429F">
        <w:rPr>
          <w:rFonts w:ascii="Times New Roman" w:hAnsi="Times New Roman" w:cs="Times New Roman"/>
        </w:rPr>
        <w:fldChar w:fldCharType="end"/>
      </w:r>
      <w:r w:rsidRPr="00952CD4">
        <w:rPr>
          <w:rFonts w:ascii="Times New Roman" w:hAnsi="Times New Roman" w:cs="Times New Roman"/>
        </w:rPr>
        <w:t>. Despite the growing body of clinical evidence highlighting the benefits of lifestyle interventions—such as dietary regulation, physical activity, and stress management—these non-pharmacological strategies remain underutilized in antenatal care protocols.</w:t>
      </w:r>
    </w:p>
    <w:p w14:paraId="10CE40D5" w14:textId="2FE1337B"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 xml:space="preserve">Several studies have shown that subclinical hypothyroidism and gestational hypertension can be effectively prevented or managed through timely lifestyle adjustments, yet the majority of pregnant women do not receive structured guidance or </w:t>
      </w:r>
      <w:proofErr w:type="spellStart"/>
      <w:r w:rsidRPr="00952CD4">
        <w:rPr>
          <w:rFonts w:ascii="Times New Roman" w:hAnsi="Times New Roman" w:cs="Times New Roman"/>
        </w:rPr>
        <w:t>counseling</w:t>
      </w:r>
      <w:proofErr w:type="spellEnd"/>
      <w:r w:rsidRPr="00952CD4">
        <w:rPr>
          <w:rFonts w:ascii="Times New Roman" w:hAnsi="Times New Roman" w:cs="Times New Roman"/>
        </w:rPr>
        <w:t xml:space="preserve"> on these aspects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{"citationItems":[{"id":"ITEM-1","itemData":{"DOI":"10.1378/chest.14-0097","ISSN":"19313543","PMID":"24743835","abstract":"BACKGROUND: Perimenopause is associated with increased cardiovascular risk. OSA is an emerging risk factor for cardiovascular disease, particularly among men, but the independent contribution of OSA to cardiovascular risk in climacteric women is not clear. M ETHODS: We evaluated 277 consecutive women (age, 56 [52-61] years; BMI, 28 [25-32] kg/m2 ) without manifest cardiovascular disease (heart failure, coronary disease, or stroke). All women underwent 24-h ambulatory BP monitoring, arterial stiff ness evaluation (pulse wave velocity), and portable sleep study. RESULTS: OSA (apnea-hypopnea index ≥ 5 events/h) and moderate to severe OSA (apneahypopnea index ≥ 15 events/h) were diagnosed in 111 (40.1%) and 31 (11.1%) women, respectively. None of the participants had received a previous diagnosis of OSA. Women with moderate to severe OSA vs those without OSA had a higher prevalence of hypertension, were prescribed more medications for hypertension, had higher awake BP (systolic, 133 [125-142] vs 126 [119-134] mm Hg [ P&lt;.01]; diastolic, 82 [78-88] vs 79 [74-85] mm Hg [ P &lt; .07]), higher nocturnal BP (systolic, 125 [118-135] vs 115 [109-124] mm Hg [ P&lt;.01]; diastolic, 73 [69-79] vs 69 [62-75] mm Hg [ P&lt;.01]), and more arterial stiff ness (pulse wave velocity, 11.5 [10.1-12.3] m/s vs 9.5 [8.6-10.8] m/s, P&lt;.001). Oxy gen desaturation index during the night was independently associated with 24-h arterial BP and arterial stiff ness (per five-unit increase in oxygen desaturation index, β 1.30 [95% CI, 0.02-2.54; P &lt; .04] vs 0.22 [95% CI, 0.03-0.40; P &lt; .02] in women with vs without OSA, respectively). C ONCLUSIONS: OSA is common, underdiagnosed, and independently associated with high BP and increased arterial stiff ness in perimenopausal women. © 2014 AMERICAN COLLEGE OF CHEST PHYSICIANS.","author":[{"dropping-particle":"","family":"Pedrosa","given":"Rodrigo P.","non-dropping-particle":"","parse-names":false,"suffix":""},{"dropping-particle":"","family":"Barros","given":"Isly M.L.","non-dropping-particle":"","parse-names":false,"suffix":""},{"dropping-particle":"","family":"Drager","given":"Luciano F.","non-dropping-particle":"","parse-names":false,"suffix":""},{"dropping-particle":"","family":"Bittencourt","given":"Marcio S.","non-dropping-particle":"","parse-names":false,"suffix":""},{"dropping-particle":"","family":"Medeiros","given":"Ana Kelley L.","non-dropping-particle":"","parse-names":false,"suffix":""},{"dropping-particle":"","family":"Carvalho","given":"Liana L.","non-dropping-particle":"","parse-names":false,"suffix":""},{"dropping-particle":"","family":"Lustosa","given":"Thais C.","non-dropping-particle":"","parse-names":false,"suffix":""},{"dropping-particle":"","family":"Carvalho","given":"Martinha M.B.","non-dropping-particle":"","parse-names":false,"suffix":""},{"dropping-particle":"","family":"Ferreira","given":"Moacir N.L.","non-dropping-particle":"","parse-names":false,"suffix":""},{"dropping-particle":"","family":"Lorenzi-Filho","given":"Geraldo","non-dropping-particle":"","parse-names":false,"suffix":""},{"dropping-particle":"","family":"Costa","given":"Laura O.B.F.","non-dropping-particle":"","parse-names":false,"suffix":""}],"container-title":"Chest","id":"ITEM-1","issue":"1","issued":{"date-parts":[["2014"]]},"page":"66-72","title":"OSA is common and independently associated with hypertension and increased arterial stiffness in consecutive perimenopausal women","type":"article-journal","volume":"146"},"uris":["http://www.mendeley.com/documents/?uuid=4fd97b06-a7b0-480b-905c-cb7cc8ad5d20"]},{"id":"ITEM-2","itemData":{"DOI":"10.1007/BF03327800","ISSN":"15901262","PMID":"19934637","abstract":"BACKGROUND: There is growing interest in the effect of childbearing on the development of chronic medical conditions. In the present study we aim at seeing whether parity is associated with increased waist circumference (WC) and other anthropometric indices of obesity, or not, in a sample of Iraqi women. METHODS: This was a cross sectional study conducted during the period from January 2006 to the end of December 2007. Subjects were women attending two primary health care centers in a rural district population in Basrah (Abu-Al-khasib district), Iraq. RESULTS: A total of 9135 women with a mean age of 46.4±15.5 years were included in the study. The mean weight was 69.9±16.9 kg and the mean WC was 92.7±15.0 cm with 78.9% of women having WC ≥80 cm. The mean and the standard deviation of other anthropometric variables were 27.0±6.25 for body mass index (BMI), 0.57±0.09 for waist-to-height ratio (WHtR) and 0.89±0.08 for waist-to-hip ratio (WHpR). Body weight, WC, BMI, WHpR, and WHtR progressively and significantly increased with increasing parity (p&lt;0.001). Increasing age and higher number of births were associated with a consistent significant increase in the risk of increasing WC. While the reverse was true with respect to education, the risk of increased WC significantly decreased with the increase in education. The risk of increased WC was higher among housewives compared to employed women. On multiple logistic regression analyses of parity and risk of increasing WC, the number of births remained significantly and independently associated with increased WC after adjustment for a range of potential confounders (age, BMI, employment, education, and marital status). However, when parity was analyzed as a dichotomous variable (parous versus nulliparous), no significant association was found (p&gt;0.05). CONCLUSION: Parity was associated with increased WC and other anthropometric indices of obesity in a sample of rural Iraqi women attending two primary health care centers. ©2009, Editrice Kurtis.","author":[{"dropping-particle":"","family":"Mansour","given":"Abbas Ali","non-dropping-particle":"","parse-names":false,"suffix":""},{"dropping-particle":"","family":"Ajeel","given":"N. A.H.","non-dropping-particle":"","parse-names":false,"suffix":""}],"container-title":"Eating and Weight Disorders","id":"ITEM-2","issue":"2-3","issued":{"date-parts":[["2009"]]},"title":"Parity is associated with increased waist circumference and other anthropometric indices of obesity","type":"article-journal","volume":"14"},"uris":["http://www.mendeley.com/documents/?uuid=bcf1ea7c-537e-45a6-a664-de5bb8a3e8d7"]}],"mendeley":{"formattedCitation":"(Mansour &amp; Ajeel, 2009; Pedrosa et al., 2014)","plainTextFormattedCitation":"(Mansour &amp; Ajeel, 2009; Pedrosa et al., 2014)","previouslyFormattedCitation":"(Mansour &amp; Ajeel, 2009; Pedrosa et al., 2014)"},"properties":{"noteIndex":0},"schema":"https://github.com/citation-style-language/schema/raw/master/csl-citation.json"}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(Mansour &amp; Ajeel, 2009; Pedrosa et al., 2014)</w:t>
      </w:r>
      <w:r w:rsidR="005E429F">
        <w:rPr>
          <w:rFonts w:ascii="Times New Roman" w:hAnsi="Times New Roman" w:cs="Times New Roman"/>
        </w:rPr>
        <w:fldChar w:fldCharType="end"/>
      </w:r>
      <w:r w:rsidRPr="00952CD4">
        <w:rPr>
          <w:rFonts w:ascii="Times New Roman" w:hAnsi="Times New Roman" w:cs="Times New Roman"/>
        </w:rPr>
        <w:t xml:space="preserve">. Furthermore, the correlation between awareness levels and actual adoption of healthy </w:t>
      </w:r>
      <w:proofErr w:type="spellStart"/>
      <w:r w:rsidRPr="00952CD4">
        <w:rPr>
          <w:rFonts w:ascii="Times New Roman" w:hAnsi="Times New Roman" w:cs="Times New Roman"/>
        </w:rPr>
        <w:lastRenderedPageBreak/>
        <w:t>behaviors</w:t>
      </w:r>
      <w:proofErr w:type="spellEnd"/>
      <w:r w:rsidRPr="00952CD4">
        <w:rPr>
          <w:rFonts w:ascii="Times New Roman" w:hAnsi="Times New Roman" w:cs="Times New Roman"/>
        </w:rPr>
        <w:t xml:space="preserve"> during pregnancy remains poorly understood, especially in resource-limited settings.</w:t>
      </w:r>
    </w:p>
    <w:p w14:paraId="5399EF57" w14:textId="77777777"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 xml:space="preserve">Current antenatal services in many parts of India continue to emphasize pharmacological management while overlooking </w:t>
      </w:r>
      <w:proofErr w:type="spellStart"/>
      <w:r w:rsidRPr="00952CD4">
        <w:rPr>
          <w:rFonts w:ascii="Times New Roman" w:hAnsi="Times New Roman" w:cs="Times New Roman"/>
        </w:rPr>
        <w:t>behavior</w:t>
      </w:r>
      <w:proofErr w:type="spellEnd"/>
      <w:r w:rsidRPr="00952CD4">
        <w:rPr>
          <w:rFonts w:ascii="Times New Roman" w:hAnsi="Times New Roman" w:cs="Times New Roman"/>
        </w:rPr>
        <w:t xml:space="preserve">-based interventions. There is a lack of empirical data that assesses how educational strategies and lifestyle </w:t>
      </w:r>
      <w:proofErr w:type="spellStart"/>
      <w:r w:rsidRPr="00952CD4">
        <w:rPr>
          <w:rFonts w:ascii="Times New Roman" w:hAnsi="Times New Roman" w:cs="Times New Roman"/>
        </w:rPr>
        <w:t>counseling</w:t>
      </w:r>
      <w:proofErr w:type="spellEnd"/>
      <w:r w:rsidRPr="00952CD4">
        <w:rPr>
          <w:rFonts w:ascii="Times New Roman" w:hAnsi="Times New Roman" w:cs="Times New Roman"/>
        </w:rPr>
        <w:t xml:space="preserve"> can influence both awareness and health outcomes related to thyroid and hypertensive complications during pregnancy. As a result, many women remain unaware of the risks and the role they can play in managing these conditions through daily lifestyle practices.</w:t>
      </w:r>
    </w:p>
    <w:p w14:paraId="537FACC7" w14:textId="77777777"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This gap in maternal health services necessitates a focused study that evaluates the impact of structured lifestyle modification programs on the awareness and management of thyroid and hypertension among pregnant women. It is essential to determine whether such interventions can lead to measurable improvements in health knowledge and physiological parameters such as blood pressure and thyroid hormone levels.</w:t>
      </w:r>
    </w:p>
    <w:p w14:paraId="641435C4" w14:textId="77777777"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Therefore, this study aims to investigate:</w:t>
      </w:r>
    </w:p>
    <w:p w14:paraId="765F9A7C" w14:textId="77777777" w:rsidR="000D701E" w:rsidRPr="00952CD4" w:rsidRDefault="000D701E" w:rsidP="00EF0802">
      <w:pPr>
        <w:numPr>
          <w:ilvl w:val="0"/>
          <w:numId w:val="3"/>
        </w:numPr>
        <w:spacing w:line="360" w:lineRule="auto"/>
        <w:jc w:val="both"/>
        <w:rPr>
          <w:rFonts w:ascii="Times New Roman" w:hAnsi="Times New Roman" w:cs="Times New Roman"/>
        </w:rPr>
      </w:pPr>
      <w:r w:rsidRPr="00952CD4">
        <w:rPr>
          <w:rFonts w:ascii="Times New Roman" w:hAnsi="Times New Roman" w:cs="Times New Roman"/>
        </w:rPr>
        <w:t xml:space="preserve">To what extent does lifestyle modification influence the awareness and preventive </w:t>
      </w:r>
      <w:proofErr w:type="spellStart"/>
      <w:r w:rsidRPr="00952CD4">
        <w:rPr>
          <w:rFonts w:ascii="Times New Roman" w:hAnsi="Times New Roman" w:cs="Times New Roman"/>
        </w:rPr>
        <w:t>behaviors</w:t>
      </w:r>
      <w:proofErr w:type="spellEnd"/>
      <w:r w:rsidRPr="00952CD4">
        <w:rPr>
          <w:rFonts w:ascii="Times New Roman" w:hAnsi="Times New Roman" w:cs="Times New Roman"/>
        </w:rPr>
        <w:t xml:space="preserve"> among pregnant women?</w:t>
      </w:r>
    </w:p>
    <w:p w14:paraId="4CB671AB" w14:textId="77777777" w:rsidR="000D701E" w:rsidRPr="00952CD4" w:rsidRDefault="000D701E" w:rsidP="00EF0802">
      <w:pPr>
        <w:numPr>
          <w:ilvl w:val="0"/>
          <w:numId w:val="3"/>
        </w:numPr>
        <w:spacing w:line="360" w:lineRule="auto"/>
        <w:jc w:val="both"/>
        <w:rPr>
          <w:rFonts w:ascii="Times New Roman" w:hAnsi="Times New Roman" w:cs="Times New Roman"/>
        </w:rPr>
      </w:pPr>
      <w:r w:rsidRPr="00952CD4">
        <w:rPr>
          <w:rFonts w:ascii="Times New Roman" w:hAnsi="Times New Roman" w:cs="Times New Roman"/>
        </w:rPr>
        <w:t>Can educational interventions serve as an effective, scalable strategy to reduce the burden of thyroid and hypertensive complications during pregnancy?</w:t>
      </w:r>
    </w:p>
    <w:p w14:paraId="0E33993F" w14:textId="77777777" w:rsidR="000D701E" w:rsidRDefault="000D701E" w:rsidP="00EF0802">
      <w:pPr>
        <w:spacing w:line="360" w:lineRule="auto"/>
        <w:jc w:val="both"/>
        <w:rPr>
          <w:rFonts w:ascii="Times New Roman" w:hAnsi="Times New Roman" w:cs="Times New Roman"/>
        </w:rPr>
      </w:pPr>
      <w:r w:rsidRPr="00952CD4">
        <w:rPr>
          <w:rFonts w:ascii="Times New Roman" w:hAnsi="Times New Roman" w:cs="Times New Roman"/>
        </w:rPr>
        <w:t>Addressing these questions is critical not only for improving individual pregnancy outcomes but also for informing public health strategies that integrate lifestyle education into routine maternal care.</w:t>
      </w:r>
    </w:p>
    <w:p w14:paraId="719858F6" w14:textId="77777777" w:rsidR="00D81433" w:rsidRPr="00952CD4" w:rsidRDefault="00D81433" w:rsidP="00EF0802">
      <w:pPr>
        <w:spacing w:line="360" w:lineRule="auto"/>
        <w:jc w:val="both"/>
        <w:rPr>
          <w:rFonts w:ascii="Times New Roman" w:hAnsi="Times New Roman" w:cs="Times New Roman"/>
        </w:rPr>
      </w:pPr>
    </w:p>
    <w:p w14:paraId="64F92ECA" w14:textId="77777777" w:rsidR="000D701E" w:rsidRPr="00952CD4" w:rsidRDefault="000D701E" w:rsidP="00EF0802">
      <w:pPr>
        <w:spacing w:line="360" w:lineRule="auto"/>
        <w:jc w:val="both"/>
        <w:rPr>
          <w:rFonts w:ascii="Times New Roman" w:hAnsi="Times New Roman" w:cs="Times New Roman"/>
          <w:b/>
          <w:bCs/>
        </w:rPr>
      </w:pPr>
      <w:r w:rsidRPr="00952CD4">
        <w:rPr>
          <w:rFonts w:ascii="Times New Roman" w:hAnsi="Times New Roman" w:cs="Times New Roman"/>
          <w:b/>
          <w:bCs/>
        </w:rPr>
        <w:t>1.5 Rationale of the Study</w:t>
      </w:r>
    </w:p>
    <w:p w14:paraId="4684DF56" w14:textId="5D3444F1" w:rsidR="000D701E" w:rsidRPr="00087C6B" w:rsidRDefault="000D701E" w:rsidP="00EF0802">
      <w:pPr>
        <w:spacing w:line="360" w:lineRule="auto"/>
        <w:jc w:val="both"/>
        <w:rPr>
          <w:rFonts w:ascii="Times New Roman" w:hAnsi="Times New Roman" w:cs="Times New Roman"/>
        </w:rPr>
      </w:pPr>
      <w:r w:rsidRPr="00952CD4">
        <w:rPr>
          <w:rFonts w:ascii="Times New Roman" w:hAnsi="Times New Roman" w:cs="Times New Roman"/>
        </w:rPr>
        <w:t xml:space="preserve">The increasing prevalence of thyroid dysfunction and hypertensive disorders during pregnancy presents a pressing challenge to maternal healthcare systems, particularly in low- and middle-income countries like India. These conditions are linked to a host of adverse pregnancy outcomes including miscarriage, preterm birth, intrauterine growth restriction, and maternal mortality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{"citationItems":[{"id":"ITEM-1","itemData":{"DOI":"10.1111/jch.13364","ISSN":"17517176","PMID":"30194806","abstract":"Application of the 2017 ACC/AHA Hypertension Guideline expands the number of US adults requiring blood pressure (BP) management. The authors use 2011-2014 NHANES data to describe the population groups most affected by the new guideline, compared with the previous JNC-7 guideline, and describe the previous interaction with the health care sector among those adults recommended new or intensified pharmacologic treatment and/or lifestyle modification. The 2017 Hypertension Guideline reclassifies 32.3 million US adults as newly hypertensive and recommends BP-related treatment of 133.7 million adults, including 57.8 million with uncontrolled BP recommended to initiate or intensify pharmacologic treatment and 50.5 million newly recommended lifestyle modification alone. An estimated 13.1 million (22.7%) adults recommended to initiate or intensify pharmacologic treatment, and 20.6 million (40.8%) adults newly recommended lifestyle modification alone report not having established health care linkages. Among the adults newly recommended lifestyle modification alone, the odds of reclassification from no recommended intervention, under JNC-7, to recommended lifestyle modification alone were lower for adults with established linkages to care (aOR: 0.78 [95% CI: 0.67-0.91]) compared to those without, decreased with increasing age, were greater for men (1.72 [1.52-1.94]) compared to women and were greater for obese adults (1.23 [1.00-1.53]) compared with normal or underweight adults. Application of the 2017 Hypertension Guideline increases the number and alters the distribution of US adults in need of initiating or intensifying BP treatment. This includes identifying millions of US adults who previously had limited interaction with health care and are now recommended new or intensified pharmacologic treatment and/or lifestyle modification.","author":[{"dropping-particle":"","family":"Ritchey","given":"Matthew D.","non-dropping-particle":"","parse-names":false,"suffix":""},{"dropping-particle":"","family":"Gillespie","given":"Cathleen","non-dropping-particle":"","parse-names":false,"suffix":""},{"dropping-particle":"","family":"Wozniak","given":"Gregory","non-dropping-particle":"","parse-names":false,"suffix":""},{"dropping-particle":"","family":"Shay","given":"Christina M.","non-dropping-particle":"","parse-names":false,"suffix":""},{"dropping-particle":"","family":"Thompson-Paul","given":"Angela M.","non-dropping-particle":"","parse-names":false,"suffix":""},{"dropping-particle":"","family":"Loustalot","given":"Fleetwood","non-dropping-particle":"","parse-names":false,"suffix":""},{"dropping-particle":"","family":"Hong","given":"Yuling","non-dropping-particle":"","parse-names":false,"suffix":""}],"container-title":"Journal of Clinical Hypertension","id":"ITEM-1","issue":"10","issued":{"date-parts":[["2018"]]},"page":"1377-1391","title":"Potential need for expanded pharmacologic treatment and lifestyle modification services under the 2017 ACC/AHA Hypertension Guideline","type":"article-journal","volume":"20"},"uris":["http://www.mendeley.com/documents/?uuid=1c90360c-9465-4e82-ba80-8f1101da7f03"]},{"id":"ITEM-2","itemData":{"DOI":"10.1016/j.jacc.2014.02.529","ISSN":"15583597","PMID":"24613324","abstract":"Cardiovascular disease continues to be the leading cause of death in the western world. Due to advancements in diagnosis, prevention, and treatment, cardiovascular mortality has fallen in recent years. Previous studies have evaluated the impact of traditional risk factors such as hypercholesterolemia and smoking. However, limited studies have been conducted to evaluate sex discrepancies among patients with cardiovascular disease. Pre-eclampsia is a multisystem placentally mediated disease, which usually arises after 32 weeks of gestation and classically presents with hypertension and proteinuria. Pre-eclampsia affects 2% to 8% of all pregnancies worldwide and is often complicated by fetal growth restriction. Women with a history of pre-eclampsia are at increased risk of future cardiovascular complications. Therefore, this topic is of significance to the cardiovascular health of over 300 million women worldwide. The goal of this review is to determine the association of pre-eclampsia and future cardiovascular risk and to explore the potential management options for these high-risk women. © 2014 by the American College of Cardiology Foundation.","author":[{"dropping-particle":"","family":"Ahmed","given":"Raheel","non-dropping-particle":"","parse-names":false,"suffix":""},{"dropping-particle":"","family":"Dunford","given":"Joseph","non-dropping-particle":"","parse-names":false,"suffix":""},{"dropping-particle":"","family":"Mehran","given":"Roxana","non-dropping-particle":"","parse-names":false,"suffix":""},{"dropping-particle":"","family":"Robson","given":"Stephen","non-dropping-particle":"","parse-names":false,"suffix":""},{"dropping-particle":"","family":"Kunadian","given":"Vijay","non-dropping-particle":"","parse-names":false,"suffix":""}],"container-title":"Journal of the American College of Cardiology","id":"ITEM-2","issue":"18","issued":{"date-parts":[["2014"]]},"page":"1815-1822","publisher":"Elsevier Ltd","title":"Pre-eclampsia and future cardiovascular risk among women: A review","type":"article-journal","volume":"63"},"uris":["http://www.mendeley.com/documents/?uuid=157e1db5-8073-44eb-a7d4-8450d7d4852d"]}],"mendeley":{"formattedCitation":"(Ahmed et al., 2014; Ritchey et al., 2018)","plainTextFormattedCitation":"(Ahmed et al., 2014; Ritchey et al., 2018)","previouslyFormattedCitation":"(Ahmed et al., 2014; Ritchey et al., 2018)"},"properties":{"noteIndex":0},"schema":"https://github.com/citation-style-language/schema/raw/master/csl-citation.json"}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(Ahmed et al., 2014; Ritchey et al., 2018)</w:t>
      </w:r>
      <w:r w:rsidR="005E429F">
        <w:rPr>
          <w:rFonts w:ascii="Times New Roman" w:hAnsi="Times New Roman" w:cs="Times New Roman"/>
        </w:rPr>
        <w:fldChar w:fldCharType="end"/>
      </w:r>
      <w:r w:rsidRPr="00952CD4">
        <w:rPr>
          <w:rFonts w:ascii="Times New Roman" w:hAnsi="Times New Roman" w:cs="Times New Roman"/>
        </w:rPr>
        <w:t xml:space="preserve">. Despite their significance, awareness and preventive strategies at the community level remain </w:t>
      </w:r>
      <w:r w:rsidRPr="00952CD4">
        <w:rPr>
          <w:rFonts w:ascii="Times New Roman" w:hAnsi="Times New Roman" w:cs="Times New Roman"/>
        </w:rPr>
        <w:lastRenderedPageBreak/>
        <w:t xml:space="preserve">limited. This underscores the need for innovative, low-cost, and sustainable solutions that go beyond pharmacological intervention and </w:t>
      </w:r>
      <w:r w:rsidRPr="00087C6B">
        <w:rPr>
          <w:rFonts w:ascii="Times New Roman" w:hAnsi="Times New Roman" w:cs="Times New Roman"/>
        </w:rPr>
        <w:t xml:space="preserve">prioritize patient education and </w:t>
      </w:r>
      <w:proofErr w:type="spellStart"/>
      <w:r w:rsidRPr="00087C6B">
        <w:rPr>
          <w:rFonts w:ascii="Times New Roman" w:hAnsi="Times New Roman" w:cs="Times New Roman"/>
        </w:rPr>
        <w:t>behavioral</w:t>
      </w:r>
      <w:proofErr w:type="spellEnd"/>
      <w:r w:rsidRPr="00087C6B">
        <w:rPr>
          <w:rFonts w:ascii="Times New Roman" w:hAnsi="Times New Roman" w:cs="Times New Roman"/>
        </w:rPr>
        <w:t xml:space="preserve"> change.</w:t>
      </w:r>
    </w:p>
    <w:p w14:paraId="7278CBEB" w14:textId="765D5359" w:rsidR="000D701E" w:rsidRPr="00952CD4" w:rsidRDefault="000D701E" w:rsidP="00EF0802">
      <w:pPr>
        <w:spacing w:line="360" w:lineRule="auto"/>
        <w:jc w:val="both"/>
        <w:rPr>
          <w:rFonts w:ascii="Times New Roman" w:hAnsi="Times New Roman" w:cs="Times New Roman"/>
        </w:rPr>
      </w:pPr>
      <w:r w:rsidRPr="00087C6B">
        <w:rPr>
          <w:rFonts w:ascii="Times New Roman" w:hAnsi="Times New Roman" w:cs="Times New Roman"/>
        </w:rPr>
        <w:t>Lifestyle modification, encompassing changes in diet, physical activity, and stress management, has been recognized as an effective strategy for preventing and managing a wide range of non-communicable diseases, including</w:t>
      </w:r>
      <w:r w:rsidRPr="00952CD4">
        <w:rPr>
          <w:rFonts w:ascii="Times New Roman" w:hAnsi="Times New Roman" w:cs="Times New Roman"/>
        </w:rPr>
        <w:t xml:space="preserve"> those encountered during pregnancy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{"citationItems":[{"id":"ITEM-1","itemData":{"DOI":"10.1080/14767058.2019.1572737","ISSN":"14764954","PMID":"30704316","abstract":"Preeclampsia is a multisystemic disorder which accounts for the high prevalence of maternal and perinatal morbidity and mortality, especially in middle and low-income countries. Currently, the primary intervention is the urgent delivery of the fetus, hence it would be advantageous to identify those who are likely to develop preeclampsia and the maternal and fetal outcomes. However, an array of risk factors makes these challenging. This review explores the potentials of liver biomarkers in predicting the occurrence and outcome of preeclampsia, which could be beneficial in reducing the burden of the disease. Liver dysfunction in preeclampsia results in a severe condition, hence liver function tests are specific predictors of outcome.","author":[{"dropping-particle":"","family":"Alese","given":"Margaret Olutayo","non-dropping-particle":"","parse-names":false,"suffix":""},{"dropping-particle":"","family":"Moodley","given":"Jagidesa","non-dropping-particle":"","parse-names":false,"suffix":""},{"dropping-particle":"","family":"Naicker","given":"Thajasvarie","non-dropping-particle":"","parse-names":false,"suffix":""}],"container-title":"Journal of Maternal-Fetal and Neonatal Medicine","id":"ITEM-1","issue":"1","issued":{"date-parts":[["2021"]]},"page":"117-123","publisher":"Taylor &amp; Francis","title":"Preeclampsia and HELLP syndrome, the role of the liver","type":"article-journal","volume":"34"},"uris":["http://www.mendeley.com/documents/?uuid=df8cf962-3b0f-4eb6-981e-8a8dd0bafcb4"]},{"id":"ITEM-2","itemData":{"DOI":"10.1042/CS20110627","ISSN":"01435221","PMID":"22455350","abstract":"Pre-eclampsia is increasingly recognized as more than an isolated disease of pregnancy. Women who have had a pregnancy complicated by pre-eclampsia have a 4-fold increased risk of later cardiovascular disease. Intriguingly, the offspring of affected pregnancies also have an increased risk of higher blood pressure and almost double the risk of stroke in later life. Experimental approaches to identify the key features of pre-eclampsia responsible for this programming of offspring cardiovascular health, or the key biological pathways modified in the offspring, have the potential to highlight novel targets for early primary prevention strategies. As pre-eclampsia occurs in 2-5% of all pregnancies, the findings are relevant to the current healthcare of up to 3 million people in the U.K. and 15 million people in the U.S.A. In the present paper, we review the current literature that concerns potential mechanisms for adverse cardiovascular programming in offspring exposed to pre-eclampsia, considering two major areas of investigation: first, experimental models that mimic features of the in utero environment characteristic of pre-eclampsia, and secondly, how, in humans, offspring cardiovascular phenotype is altered after exposure to pre-eclampsia. We compare and contrast the findings from these two bodies of work to develop insights into the likely key pathways of relevance. The present review and analysis highlights the pivotal role of longterm changes in vascular function and identifies areas of growing interest, specifically, response to hypoxia, immune modification, epigenetics and the anti-angiogenic in utero milieu. © 2012 The Author(s).","author":[{"dropping-particle":"","family":"Davis","given":"Esther F.","non-dropping-particle":"","parse-names":false,"suffix":""},{"dropping-particle":"","family":"Newton","given":"Laura","non-dropping-particle":"","parse-names":false,"suffix":""},{"dropping-particle":"","family":"Lewandowski","given":"Adam J.","non-dropping-particle":"","parse-names":false,"suffix":""},{"dropping-particle":"","family":"Lazdam","given":"Merzaka","non-dropping-particle":"","parse-names":false,"suffix":""},{"dropping-particle":"","family":"Kelly","given":"Brenda A.","non-dropping-particle":"","parse-names":false,"suffix":""},{"dropping-particle":"","family":"Kyriakou","given":"Theodosios","non-dropping-particle":"","parse-names":false,"suffix":""},{"dropping-particle":"","family":"Leeson","given":"Paul","non-dropping-particle":"","parse-names":false,"suffix":""}],"container-title":"Clinical Science","id":"ITEM-2","issue":"2","issued":{"date-parts":[["2012"]]},"page":"53-72","title":"Pre-eclampsia and offspring cardiovascular health: Mechanistic insights from experimental studies","type":"article-journal","volume":"123"},"uris":["http://www.mendeley.com/documents/?uuid=23b49bd0-8d3f-4a50-b2b5-7aac9df846aa"]}],"mendeley":{"formattedCitation":"(Alese et al., 2021; Davis, Newton, et al., 2012)","plainTextFormattedCitation":"(Alese et al., 2021; Davis, Newton, et al., 2012)","previouslyFormattedCitation":"(Alese et al., 2021; Davis, Newton, et al., 2012)"},"properties":{"noteIndex":0},"schema":"https://github.com/citation-style-language/schema/raw/master/csl-citation.json"}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(Alese et al., 2021; Davis, Newton, et al., 2012)</w:t>
      </w:r>
      <w:r w:rsidR="005E429F">
        <w:rPr>
          <w:rFonts w:ascii="Times New Roman" w:hAnsi="Times New Roman" w:cs="Times New Roman"/>
        </w:rPr>
        <w:fldChar w:fldCharType="end"/>
      </w:r>
      <w:r w:rsidRPr="00952CD4">
        <w:rPr>
          <w:rFonts w:ascii="Times New Roman" w:hAnsi="Times New Roman" w:cs="Times New Roman"/>
        </w:rPr>
        <w:t>. However, these interventions are not yet fully integrated into the antenatal care framework in many regions of India. Moreover, there is limited empirical research that evaluates the real-world impact of lifestyle education on both knowledge enhancement and clinical outcomes among pregnant women.</w:t>
      </w:r>
    </w:p>
    <w:p w14:paraId="1F33E2DF" w14:textId="77777777"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 xml:space="preserve">Existing antenatal programs tend to focus on clinical screening and medical treatment, often neglecting the critical role of preventive health </w:t>
      </w:r>
      <w:proofErr w:type="spellStart"/>
      <w:r w:rsidRPr="00952CD4">
        <w:rPr>
          <w:rFonts w:ascii="Times New Roman" w:hAnsi="Times New Roman" w:cs="Times New Roman"/>
        </w:rPr>
        <w:t>behavior</w:t>
      </w:r>
      <w:proofErr w:type="spellEnd"/>
      <w:r w:rsidRPr="00952CD4">
        <w:rPr>
          <w:rFonts w:ascii="Times New Roman" w:hAnsi="Times New Roman" w:cs="Times New Roman"/>
        </w:rPr>
        <w:t>. Many pregnant women are unaware of how their daily habits—including dietary choices, sedentary lifestyle, and poor stress regulation—can contribute to the development or worsening of thyroid and hypertensive conditions. This gap between available evidence and actual practice calls for a context-specific investigation that can inform policy and practice.</w:t>
      </w:r>
    </w:p>
    <w:p w14:paraId="24933917" w14:textId="77777777"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This study is therefore driven by several compelling factors:</w:t>
      </w:r>
    </w:p>
    <w:p w14:paraId="3F01E40C" w14:textId="7D7EE071" w:rsidR="000D701E" w:rsidRPr="00952CD4" w:rsidRDefault="000D701E" w:rsidP="00EF0802">
      <w:pPr>
        <w:numPr>
          <w:ilvl w:val="0"/>
          <w:numId w:val="4"/>
        </w:numPr>
        <w:spacing w:line="360" w:lineRule="auto"/>
        <w:jc w:val="both"/>
        <w:rPr>
          <w:rFonts w:ascii="Times New Roman" w:hAnsi="Times New Roman" w:cs="Times New Roman"/>
        </w:rPr>
      </w:pPr>
      <w:r w:rsidRPr="00952CD4">
        <w:rPr>
          <w:rFonts w:ascii="Times New Roman" w:hAnsi="Times New Roman" w:cs="Times New Roman"/>
          <w:b/>
          <w:bCs/>
        </w:rPr>
        <w:t>Scientific Necessity</w:t>
      </w:r>
      <w:r w:rsidRPr="00952CD4">
        <w:rPr>
          <w:rFonts w:ascii="Times New Roman" w:hAnsi="Times New Roman" w:cs="Times New Roman"/>
        </w:rPr>
        <w:t xml:space="preserve">: There is a lack of research that examines the intersection of lifestyle modification, awareness, and clinical outcomes in pregnant women at risk of thyroid and hypertensive disorders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{"citationItems":[{"id":"ITEM-1","itemData":{"DOI":"10.1016/j.jacc.2020.08.014","ISSN":"15583597","PMID":"33004135","abstract":"Preeclampsia is a hypertensive disorder of pregnancy. It affects 2% to 8% of pregnancies worldwide and causes significant maternal and perinatal morbidity and mortality. Hypertension and proteinuria are the cornerstone of the disease, though systemic organ dysfunction may ensue. The clinical syndrome begins with abnormal placentation with subsequent release of antiangiogenic markers, mediated primarily by soluble fms-like tyrosine kinase-1 (sFlt-1) and soluble endoglin (sEng). High levels of sFlt-1 and sEng result in endothelial dysfunction, vasoconstriction, and immune dysregulation, which can negatively impact every maternal organ system and the fetus. This review comprehensively examines the pathogenesis of preeclampsia with a specific focus on the mechanisms underlying the clinical features. Delivery is the only definitive treatment. Low-dose aspirin is recommended for prophylaxis in high-risk populations. Other treatment options are limited. Additional research is needed to clarify the pathophysiology, and thus, identify potential therapeutic targets for improved treatment and, ultimately, outcomes of this prevalent disease.","author":[{"dropping-particle":"","family":"Ives","given":"Christopher W.","non-dropping-particle":"","parse-names":false,"suffix":""},{"dropping-particle":"","family":"Sinkey","given":"Rachel","non-dropping-particle":"","parse-names":false,"suffix":""},{"dropping-particle":"","family":"Rajapreyar","given":"Indranee","non-dropping-particle":"","parse-names":false,"suffix":""},{"dropping-particle":"","family":"Tita","given":"Alan T.N.","non-dropping-particle":"","parse-names":false,"suffix":""},{"dropping-particle":"","family":"Oparil","given":"Suzanne","non-dropping-particle":"","parse-names":false,"suffix":""}],"container-title":"Journal of the American College of Cardiology","id":"ITEM-1","issue":"14","issued":{"date-parts":[["2020"]]},"page":"1690-1702","title":"Preeclampsia—Pathophysiology and Clinical Presentations: JACC State-of-the-Art Review","type":"article-journal","volume":"76"},"uris":["http://www.mendeley.com/documents/?uuid=76507777-68e9-43aa-9f22-1cd924ac01b6"]},{"id":"ITEM-2","itemData":{"DOI":"10.1055/s-0031-1295438","ISSN":"00185043","PMID":"22135219","abstract":"There is an ongoing controversy on the prevalence of primary aldosteronism (PA). We aimed to update a meta-analysis published in 2008, that compiled studies reporting the prevalence of positive ARR screening tests and PA. We therefore reviewed original studies published in 2008 or later to examine whether current reports provide similar, higher or lower prevalences of elevated ARRs or PA than reports included in the original meta-analysis. A systematic review of English articles using PubMed was conducted. Search and extraction of articles were performed by one review author; the second review author checked all extracted data. We identified 11 eligible studies. The updated, weighted mean prevalences of elevated ARRs and PA in primary care (prevalence of high ARRs 16.5%; prevalence of PA 4.3%) and referred patients (prevalence of high ARRs 19.6%; prevalence of PA 9.5%) were only marginally different from the mean values obtained in the original meta-analysis. Among the current studies the maximum values for the prevalence of elevated ARRs and PA were substantially lower than among the older studies. Our results confirm the main conclusions from the original meta-analysis. The prevalence of PA increases with the severity of hypertension and the inclusion of current study results did not alter the mean prevalences of elevated ARRs and PA in primary care and referred patients. Additionally, we found that current studies focus increasingly on patients in referral centers or special subgroups, while the prevalence of PA in the general hypertensive population is yet unknown. © Georg Thieme Verlag KG Stuttgart.","author":[{"dropping-particle":"","family":"Hannemann","given":"A.","non-dropping-particle":"","parse-names":false,"suffix":""},{"dropping-particle":"","family":"Wallaschofski","given":"H.","non-dropping-particle":"","parse-names":false,"suffix":""}],"container-title":"Hormone and Metabolic Research","id":"ITEM-2","issue":"3","issued":{"date-parts":[["2012"]]},"page":"157-162","title":"Prevalence of primary aldosteronism in patient's cohorts and in population-based studies - A review of the current literature","type":"article-journal","volume":"44"},"uris":["http://www.mendeley.com/documents/?uuid=e74802fa-09b0-49b0-8f36-39228cc04e31"]}],"mendeley":{"formattedCitation":"(Hannemann &amp; Wallaschofski, 2012; Ives et al., 2020)","plainTextFormattedCitation":"(Hannemann &amp; Wallaschofski, 2012; Ives et al., 2020)","previouslyFormattedCitation":"(Hannemann &amp; Wallaschofski, 2012; Ives et al., 2020)"},"properties":{"noteIndex":0},"schema":"https://github.com/citation-style-language/schema/raw/master/csl-citation.json"}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(Hannemann &amp; Wallaschofski, 2012; Ives et al., 2020)</w:t>
      </w:r>
      <w:r w:rsidR="005E429F">
        <w:rPr>
          <w:rFonts w:ascii="Times New Roman" w:hAnsi="Times New Roman" w:cs="Times New Roman"/>
        </w:rPr>
        <w:fldChar w:fldCharType="end"/>
      </w:r>
      <w:r w:rsidRPr="00952CD4">
        <w:rPr>
          <w:rFonts w:ascii="Times New Roman" w:hAnsi="Times New Roman" w:cs="Times New Roman"/>
        </w:rPr>
        <w:t>.</w:t>
      </w:r>
    </w:p>
    <w:p w14:paraId="46967F25" w14:textId="77777777" w:rsidR="000D701E" w:rsidRPr="00952CD4" w:rsidRDefault="000D701E" w:rsidP="00EF0802">
      <w:pPr>
        <w:numPr>
          <w:ilvl w:val="0"/>
          <w:numId w:val="4"/>
        </w:numPr>
        <w:spacing w:line="360" w:lineRule="auto"/>
        <w:jc w:val="both"/>
        <w:rPr>
          <w:rFonts w:ascii="Times New Roman" w:hAnsi="Times New Roman" w:cs="Times New Roman"/>
        </w:rPr>
      </w:pPr>
      <w:r w:rsidRPr="00952CD4">
        <w:rPr>
          <w:rFonts w:ascii="Times New Roman" w:hAnsi="Times New Roman" w:cs="Times New Roman"/>
          <w:b/>
          <w:bCs/>
        </w:rPr>
        <w:t>Public Health Relevance</w:t>
      </w:r>
      <w:r w:rsidRPr="00952CD4">
        <w:rPr>
          <w:rFonts w:ascii="Times New Roman" w:hAnsi="Times New Roman" w:cs="Times New Roman"/>
        </w:rPr>
        <w:t xml:space="preserve">: The findings have the potential to inform maternal health policies and contribute to national initiatives such as </w:t>
      </w:r>
      <w:r w:rsidRPr="00952CD4">
        <w:rPr>
          <w:rFonts w:ascii="Times New Roman" w:hAnsi="Times New Roman" w:cs="Times New Roman"/>
          <w:i/>
          <w:iCs/>
        </w:rPr>
        <w:t>POSHAN Abhiyaan</w:t>
      </w:r>
      <w:r w:rsidRPr="00952CD4">
        <w:rPr>
          <w:rFonts w:ascii="Times New Roman" w:hAnsi="Times New Roman" w:cs="Times New Roman"/>
        </w:rPr>
        <w:t xml:space="preserve">, </w:t>
      </w:r>
      <w:r w:rsidRPr="00952CD4">
        <w:rPr>
          <w:rFonts w:ascii="Times New Roman" w:hAnsi="Times New Roman" w:cs="Times New Roman"/>
          <w:i/>
          <w:iCs/>
        </w:rPr>
        <w:t>Janani Suraksha Yojana</w:t>
      </w:r>
      <w:r w:rsidRPr="00952CD4">
        <w:rPr>
          <w:rFonts w:ascii="Times New Roman" w:hAnsi="Times New Roman" w:cs="Times New Roman"/>
        </w:rPr>
        <w:t xml:space="preserve">, and the </w:t>
      </w:r>
      <w:r w:rsidRPr="00952CD4">
        <w:rPr>
          <w:rFonts w:ascii="Times New Roman" w:hAnsi="Times New Roman" w:cs="Times New Roman"/>
          <w:i/>
          <w:iCs/>
        </w:rPr>
        <w:t>School Health and Wellness Programme</w:t>
      </w:r>
      <w:r w:rsidRPr="00952CD4">
        <w:rPr>
          <w:rFonts w:ascii="Times New Roman" w:hAnsi="Times New Roman" w:cs="Times New Roman"/>
        </w:rPr>
        <w:t xml:space="preserve"> by integrating lifestyle </w:t>
      </w:r>
      <w:proofErr w:type="spellStart"/>
      <w:r w:rsidRPr="00952CD4">
        <w:rPr>
          <w:rFonts w:ascii="Times New Roman" w:hAnsi="Times New Roman" w:cs="Times New Roman"/>
        </w:rPr>
        <w:t>counseling</w:t>
      </w:r>
      <w:proofErr w:type="spellEnd"/>
      <w:r w:rsidRPr="00952CD4">
        <w:rPr>
          <w:rFonts w:ascii="Times New Roman" w:hAnsi="Times New Roman" w:cs="Times New Roman"/>
        </w:rPr>
        <w:t xml:space="preserve"> into routine antenatal care.</w:t>
      </w:r>
    </w:p>
    <w:p w14:paraId="16987FAB" w14:textId="748A43C7" w:rsidR="000D701E" w:rsidRPr="00952CD4" w:rsidRDefault="000D701E" w:rsidP="00EF0802">
      <w:pPr>
        <w:numPr>
          <w:ilvl w:val="0"/>
          <w:numId w:val="4"/>
        </w:numPr>
        <w:spacing w:line="360" w:lineRule="auto"/>
        <w:jc w:val="both"/>
        <w:rPr>
          <w:rFonts w:ascii="Times New Roman" w:hAnsi="Times New Roman" w:cs="Times New Roman"/>
        </w:rPr>
      </w:pPr>
      <w:r w:rsidRPr="00952CD4">
        <w:rPr>
          <w:rFonts w:ascii="Times New Roman" w:hAnsi="Times New Roman" w:cs="Times New Roman"/>
          <w:b/>
          <w:bCs/>
        </w:rPr>
        <w:t>Clinical Importance</w:t>
      </w:r>
      <w:r w:rsidRPr="00952CD4">
        <w:rPr>
          <w:rFonts w:ascii="Times New Roman" w:hAnsi="Times New Roman" w:cs="Times New Roman"/>
        </w:rPr>
        <w:t xml:space="preserve">: By evaluating physiological markers such as blood pressure and thyroid hormone levels (TSH, T3, T4), this study will offer evidence on the measurable health benefits of lifestyle interventions, potentially reducing the need for pharmacological treatment in certain cases </w:t>
      </w:r>
      <w:r w:rsidR="005E429F">
        <w:rPr>
          <w:rFonts w:ascii="Times New Roman" w:hAnsi="Times New Roman" w:cs="Times New Roman"/>
        </w:rPr>
        <w:fldChar w:fldCharType="begin" w:fldLock="1"/>
      </w:r>
      <w:r w:rsidR="005E429F">
        <w:rPr>
          <w:rFonts w:ascii="Times New Roman" w:hAnsi="Times New Roman" w:cs="Times New Roman"/>
        </w:rPr>
        <w:instrText>ADDIN CSL_CITATION {"citationItems":[{"id":"ITEM-1","itemData":{"DOI":"10.1038/s41598-019-48232-y","ISSN":"20452322","PMID":"31455810","abstract":"Hypertension is a public health issue in Iran. The study aimed to estimate the prevalence, awareness, treatment, and control of hypertension, and to explore their determinants among 10,040 Kurdish adults from Ravansar Non-Communicable Disease (RaNCD) cohort study in Iran. Univariate, and multivariate analyses were used for statistical analysis. Prevalence of hypertension was 15.7%. Among hypertensive patients, awareness, treatment, and control of hypertension were 80.7%, 73.2%, and 53.3%, respectively. In multivariate analysis, significant associations were found between awareness and female sex, older age, being married rather than being single, literacy, living in rural areas, having family history, and comorbidities, with a higher probability for those who had both diabetes and dyslipidemia. Being married, living in rural areas, being ex-smokers, having less physical activity and individuals who had diabetes and dyslipidemia had higher odds of receiving treatment. Being female had a statistically significant association with the control of hypertension. The Kurdish population had higher awareness, with a greater proportion of treated, and controlled patients compared to populations included in previous studies for the last 20 years in Iran. With the continuing health promotion programs in Iran, it is expected to observe a lower prevalence of hypertension, higher awareness and greater number of treated individuals with controlled hypertension.","author":[{"dropping-particle":"","family":"Rajati","given":"Fatemeh","non-dropping-particle":"","parse-names":false,"suffix":""},{"dropping-particle":"","family":"Hamzeh","given":"Behrooz","non-dropping-particle":"","parse-names":false,"suffix":""},{"dropping-particle":"","family":"Pasdar","given":"Yahya","non-dropping-particle":"","parse-names":false,"suffix":""},{"dropping-particle":"","family":"Safari","given":"Roya","non-dropping-particle":"","parse-names":false,"suffix":""},{"dropping-particle":"","family":"Moradinazar","given":"Mehdi","non-dropping-particle":"","parse-names":false,"suffix":""},{"dropping-particle":"","family":"Shakiba","given":"Ebrahim","non-dropping-particle":"","parse-names":false,"suffix":""},{"dropping-particle":"","family":"Bazargan-Hejazi","given":"Shahrzad","non-dropping-particle":"","parse-names":false,"suffix":""},{"dropping-particle":"","family":"Karim","given":"Hossein","non-dropping-particle":"","parse-names":false,"suffix":""},{"dropping-particle":"","family":"Najafi","given":"Farid","non-dropping-particle":"","parse-names":false,"suffix":""}],"container-title":"Scientific Reports","id":"ITEM-1","issue":"1","issued":{"date-parts":[["2019"]]},"page":"1-10","title":"Prevalence, awareness, treatment, and control of hypertension and their determinants: Results from the first cohort of non-communicable diseases in a Kurdish settlement","type":"article-journal","volume":"9"},"uris":["http://www.mendeley.com/documents/?uuid=9f707677-756c-4a0b-af35-6a5821e82aec"]},{"id":"ITEM-2","itemData":{"DOI":"10.1097/HJH.0b013e3281c49da5","ISSN":"02636352","PMID":"17620947","abstract":"OBJECTIVE: To investigate the multivariate-adjusted predictive value of systolic and diastolic blood pressures on conventional (CBP) and daytime (10-20 h) ambulatory (ABP) measurement. METHODS: We randomly recruited 7030 subjects (mean age 56.2 years; 44.8% women) from populations in Belgium, Denmark, Japan and Sweden. We constructed the International Database on Ambulatory blood pressure and Cardiovascular Outcomes. RESULTS: During follow-up (median = 9.5 years), 932 subjects died. Neither CBP nor ABP predicted total mortality, of which 60.9% was due to noncardiovascular causes. The incidence of fatal combined with nonfatal cardiovascular events amounted to 863 (228 deaths, 326 strokes and 309 cardiac events). In multivariate-adjusted continuous analyses, both CBP and ABP predicted cardiovascular, cerebrovascular, cardiac and coronary events. However, in fully-adjusted models, including both CBP and ABP, CBP lost its predictive value (P ≥ 0.052), whereas systolic and diastolic ABP retained their prognostic significance (P ≤ 0.007) with the exception of diastolic ABP as predictor of cardiac and coronary events (P ≥ 0.21). In adjusted categorical analyses, normotension was the referent group (CBP &lt; 140/90 mmHg and ABP &lt; 135/85 mmHg). Adjusted hazard ratios for all cardiovascular events were 1.22 [95% confidence interval (CI) = 0.96-1.53; P = 0.09] for white-coat hypertension (≥ 140/90 and &lt; 135/85 mmHg); 1.62 (95% CI = 1.35-1.96; P &lt; 0.0001) for masked hypertension (&lt; 140/90 and ≥ 135/85 mmHg); and 1.80 (95% CI = 1.59-2.03; P &lt; 0.0001) for sustained hypertension (≥ 140/90 and ≥ 135/85 mmHg). CONCLUSIONS: ABP is superior to CBP in predicting cardiovascular events, but not total and noncardiovascular mortality. Cardiovascular risk gradually increases from normotension over white-coat and masked hypertension to sustained hypertension. © 2007 Lippincott Williams &amp; Wilkins, Inc.","author":[{"dropping-particle":"","family":"Hansen","given":"Tine W.","non-dropping-particle":"","parse-names":false,"suffix":""},{"dropping-particle":"","family":"Kikuya","given":"Masahiro","non-dropping-particle":"","parse-names":false,"suffix":""},{"dropping-particle":"","family":"Thijs","given":"Lutgarde","non-dropping-particle":"","parse-names":false,"suffix":""},{"dropping-particle":"","family":"Björklund-Bodegård","given":"Kristina","non-dropping-particle":"","parse-names":false,"suffix":""},{"dropping-particle":"","family":"Kuznetsova","given":"Tatiana","non-dropping-particle":"","parse-names":false,"suffix":""},{"dropping-particle":"","family":"Ohkubo","given":"Takayoshi","non-dropping-particle":"","parse-names":false,"suffix":""},{"dropping-particle":"","family":"Richart","given":"Tom","non-dropping-particle":"","parse-names":false,"suffix":""},{"dropping-particle":"","family":"Torp-Pedersen","given":"Christian","non-dropping-particle":"","parse-names":false,"suffix":""},{"dropping-particle":"","family":"Lind","given":"Lars","non-dropping-particle":"","parse-names":false,"suffix":""},{"dropping-particle":"","family":"Jeppesen","given":"Jørgen","non-dropping-particle":"","parse-names":false,"suffix":""},{"dropping-particle":"","family":"Ibsen","given":"Hans","non-dropping-particle":"","parse-names":false,"suffix":""},{"dropping-particle":"","family":"Imai","given":"Yutaka","non-dropping-particle":"","parse-names":false,"suffix":""},{"dropping-particle":"","family":"Staessen","given":"Jan A.","non-dropping-particle":"","parse-names":false,"suffix":""}],"container-title":"Journal of Hypertension","id":"ITEM-2","issue":"8","issued":{"date-parts":[["2007"]]},"page":"1554-1564","title":"Prognostic superiority of daytime ambulatory over conventional blood pressure in four populations: A meta-analysis of 7030 individuals","type":"article-journal","volume":"25"},"uris":["http://www.mendeley.com/documents/?uuid=26ccccea-0eb0-4e69-b986-0111175c2420"]}],"mendeley":{"formattedCitation":"(Hansen et al., 2007; Rajati et al., 2019)","plainTextFormattedCitation":"(Hansen et al., 2007; Rajati et al., 2019)","previouslyFormattedCitation":"(Hansen et al., 2007; Rajati et al., 2019)"},"properties":{"noteIndex":0},"schema":"https://github.com/citation-style-language/schema/raw/master/csl-citation.json"}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(Hansen et al., 2007; Rajati et al., 2019)</w:t>
      </w:r>
      <w:r w:rsidR="005E429F">
        <w:rPr>
          <w:rFonts w:ascii="Times New Roman" w:hAnsi="Times New Roman" w:cs="Times New Roman"/>
        </w:rPr>
        <w:fldChar w:fldCharType="end"/>
      </w:r>
    </w:p>
    <w:p w14:paraId="736672B3" w14:textId="0916539F" w:rsidR="000D701E" w:rsidRPr="00952CD4" w:rsidRDefault="000D701E" w:rsidP="00EF0802">
      <w:pPr>
        <w:numPr>
          <w:ilvl w:val="0"/>
          <w:numId w:val="4"/>
        </w:numPr>
        <w:spacing w:line="360" w:lineRule="auto"/>
        <w:jc w:val="both"/>
        <w:rPr>
          <w:rFonts w:ascii="Times New Roman" w:hAnsi="Times New Roman" w:cs="Times New Roman"/>
        </w:rPr>
      </w:pPr>
      <w:r w:rsidRPr="00952CD4">
        <w:rPr>
          <w:rFonts w:ascii="Times New Roman" w:hAnsi="Times New Roman" w:cs="Times New Roman"/>
          <w:b/>
          <w:bCs/>
        </w:rPr>
        <w:lastRenderedPageBreak/>
        <w:t>Empowerment and Education</w:t>
      </w:r>
      <w:r w:rsidRPr="00952CD4">
        <w:rPr>
          <w:rFonts w:ascii="Times New Roman" w:hAnsi="Times New Roman" w:cs="Times New Roman"/>
        </w:rPr>
        <w:t xml:space="preserve">: The study emphasizes women’s health literacy and aims to empower pregnant women with knowledge that enables them to take an active role in managing their health </w:t>
      </w:r>
      <w:r w:rsidR="005E429F">
        <w:rPr>
          <w:rFonts w:ascii="Times New Roman" w:hAnsi="Times New Roman" w:cs="Times New Roman"/>
        </w:rPr>
        <w:fldChar w:fldCharType="begin" w:fldLock="1"/>
      </w:r>
      <w:r w:rsidR="002352DE">
        <w:rPr>
          <w:rFonts w:ascii="Times New Roman" w:hAnsi="Times New Roman" w:cs="Times New Roman"/>
        </w:rPr>
        <w:instrText>ADDIN CSL_CITATION {"citationItems":[{"id":"ITEM-1","itemData":{"DOI":"10.1016/j.mayocp.2022.01.035","ISSN":"19425546","PMID":"35868877","abstract":"Objective: To investigate whether specific social determinants of health could be a “health barrier” toward achieving blood pressure (BP) control and to further evaluate any differences between Black patients and White patients. Patients and Methods: We conducted a retrospective cohort study of 3305 patients with elevated BP who were enrolled in a hypertension digital medicine program for at least 60 days and followed up for up to 1 year. Patients were managed virtually by a dedicated hypertension team who provided guideline-based medication management and lifestyle support to achieve goal BP. Results: Compared with individuals without any health barriers, the addition of 1 barrier was associated with lower probability of control at 1 year from 0.73 to 0.60 and to 0.55 in those with 2 or more barriers. Health barriers were more prevalent in Black patients than in those who were White (44.6% [482 of 1081] vs 31.3% [674 of 2150]; P&lt;.001). There was no difference at all in BP control between Black individuals and those who were White if 2 or more barriers were present. Conclusion: Patient-related health barriers are associated with BP control. Black patients with poorly controlled hypertension have a higher prevalence of health barriers than their White counterparts. When 2 or more health barriers were present, there was no differences in BP control between White and Black individuals.","author":[{"dropping-particle":"V.","family":"Milani","given":"Richard","non-dropping-particle":"","parse-names":false,"suffix":""},{"dropping-particle":"","family":"Price-Haywood","given":"Eboni G.","non-dropping-particle":"","parse-names":false,"suffix":""},{"dropping-particle":"","family":"Burton","given":"Jeffrey H.","non-dropping-particle":"","parse-names":false,"suffix":""},{"dropping-particle":"","family":"Wilt","given":"Jonathan","non-dropping-particle":"","parse-names":false,"suffix":""},{"dropping-particle":"","family":"Entwisle","given":"Jonathan","non-dropping-particle":"","parse-names":false,"suffix":""},{"dropping-particle":"","family":"Lavie","given":"Carl J.","non-dropping-particle":"","parse-names":false,"suffix":""}],"container-title":"Mayo Clinic Proceedings","id":"ITEM-1","issue":"8","issued":{"date-parts":[["2022"]]},"page":"1462-1471","publisher":"Mayo Foundation for Medical Education and Research","title":"Racial Differences and Social Determinants of Health in Achieving Hypertension Control","type":"article-journal","volume":"97"},"uris":["http://www.mendeley.com/documents/?uuid=dd484b50-9bb0-4f01-9e30-497116a083d3"]},{"id":"ITEM-2","itemData":{"DOI":"10.1161/HYPERTENSIONAHA.121.17570","ISSN":"15244563","PMID":"34365809","abstract":"We evaluated the prevalence, awareness, treatment, and control of hypertension (defined as a systolic blood pressure [BP]) ≥140 mm Hg, diastolic BP ≥90 mm Hg, or a self-reported use of an antihypertensive agent) among US adults, stratified by race/ethnicity. This analysis included 16 531 nonpregnant US adults (≥18 years) in the three National Health and Nutrition Examination Survey cycles between 2013 and 2018. Race/ethnicity was defined by self-report as White, Black, Hispanic, Asian, or other Americans. Among 76 910 050 (74 449 985-79 370 115) US adults with hypertension, 48.6% (47.3%-49.8%, unadjusted) have controlled BP. When compared with BP control rates for White adults (49.0% [46.8%-51.2%], age-adjusted), BP control rates are lower in Black (39.2%, adjusted odds ratio [aOR], 0.71 [95% CI, 0.59-0.85], P&lt;0.001), Hispanic (40.0%, aOR, 0.71 [95% CI, 0.58-0.88], P=0.003), and Asian (37.8%, aOR, 0.68 [95% CI, 0.55-0.84], P=0.001) Americans. Black adults have higher hypertension prevalence (45.3% versus 31.4%, aOR, 2.24 [95% CI, 1.97-2.56], P&lt;0.001) but similar awareness and treatment rates as White adults. Hispanic adults have similar hypertension prevalence, but lower awareness (71.1% versus 79.1%, aOR, 0.72 [95% CI, 0.58-0.89], P=0.005) and treatment rates (60.5% versus 67.3%, aOR, 0.78 [95% CI, 0.66-0.94], P=0.010) than White adults. Asian adults have similar hypertension prevalence, lower awareness (72.5% versus 79.1%, aOR, 0.75 [95% CI, 0.58-0.97], P=0.038) but similar treatment rates. Black, Hispanic, and Asian Americans have different vulnerabilities in the hypertension control cascade of prevalence, awareness, treatment, and control. These differences can inform targeted public health efforts to promote health equity and reduce the burden of hypertension in the United States.","author":[{"dropping-particle":"","family":"Aggarwal","given":"Rahul","non-dropping-particle":"","parse-names":false,"suffix":""},{"dropping-particle":"","family":"Chiu","given":"Nicholas","non-dropping-particle":"","parse-names":false,"suffix":""},{"dropping-particle":"","family":"Wadhera","given":"Rishi K.","non-dropping-particle":"","parse-names":false,"suffix":""},{"dropping-particle":"","family":"Moran","given":"Andrew E.","non-dropping-particle":"","parse-names":false,"suffix":""},{"dropping-particle":"","family":"Raber","given":"Inbar","non-dropping-particle":"","parse-names":false,"suffix":""},{"dropping-particle":"","family":"Shen","given":"Changyu","non-dropping-particle":"","parse-names":false,"suffix":""},{"dropping-particle":"","family":"Yeh","given":"Robert W.","non-dropping-particle":"","parse-names":false,"suffix":""},{"dropping-particle":"","family":"Kazi","given":"Dhruv S.","non-dropping-particle":"","parse-names":false,"suffix":""}],"container-title":"Hypertension","id":"ITEM-2","issue":"6","issued":{"date-parts":[["2021"]]},"page":"1719-1726","title":"Racial/Ethnic Disparities in Hypertension Prevalence, Awareness, Treatment, and Control in the United States, 2013 to 2018","type":"article-journal","volume":"78"},"uris":["http://www.mendeley.com/documents/?uuid=f44a9fb6-4f32-453f-880b-60f1aaaffa79"]}],"mendeley":{"formattedCitation":"(Aggarwal et al., 2021; Milani et al., 2022)","plainTextFormattedCitation":"(Aggarwal et al., 2021; Milani et al., 2022)","previouslyFormattedCitation":"(Aggarwal et al., 2021; Milani et al., 2022)"},"properties":{"noteIndex":0},"schema":"https://github.com/citation-style-language/schema/raw/master/csl-citation.json"}</w:instrText>
      </w:r>
      <w:r w:rsidR="005E429F">
        <w:rPr>
          <w:rFonts w:ascii="Times New Roman" w:hAnsi="Times New Roman" w:cs="Times New Roman"/>
        </w:rPr>
        <w:fldChar w:fldCharType="separate"/>
      </w:r>
      <w:r w:rsidR="005E429F" w:rsidRPr="005E429F">
        <w:rPr>
          <w:rFonts w:ascii="Times New Roman" w:hAnsi="Times New Roman" w:cs="Times New Roman"/>
          <w:noProof/>
        </w:rPr>
        <w:t>(Aggarwal et al., 2021; Milani et al., 2022)</w:t>
      </w:r>
      <w:r w:rsidR="005E429F">
        <w:rPr>
          <w:rFonts w:ascii="Times New Roman" w:hAnsi="Times New Roman" w:cs="Times New Roman"/>
        </w:rPr>
        <w:fldChar w:fldCharType="end"/>
      </w:r>
      <w:r w:rsidRPr="00952CD4">
        <w:rPr>
          <w:rFonts w:ascii="Times New Roman" w:hAnsi="Times New Roman" w:cs="Times New Roman"/>
        </w:rPr>
        <w:t>.</w:t>
      </w:r>
    </w:p>
    <w:p w14:paraId="3C4B23FB" w14:textId="77777777"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 xml:space="preserve">Given these factors, the study will fill a critical knowledge gap and offer practical, actionable insights for integrating </w:t>
      </w:r>
      <w:proofErr w:type="spellStart"/>
      <w:r w:rsidRPr="00952CD4">
        <w:rPr>
          <w:rFonts w:ascii="Times New Roman" w:hAnsi="Times New Roman" w:cs="Times New Roman"/>
        </w:rPr>
        <w:t>behavioral</w:t>
      </w:r>
      <w:proofErr w:type="spellEnd"/>
      <w:r w:rsidRPr="00952CD4">
        <w:rPr>
          <w:rFonts w:ascii="Times New Roman" w:hAnsi="Times New Roman" w:cs="Times New Roman"/>
        </w:rPr>
        <w:t xml:space="preserve"> health into antenatal care. It not only aims to generate academic evidence but also to create scalable models of maternal health promotion that are cost-effective, culturally sensitive, and medically validated.</w:t>
      </w:r>
    </w:p>
    <w:p w14:paraId="48A8B497" w14:textId="77777777" w:rsidR="000D701E" w:rsidRPr="00952CD4" w:rsidRDefault="00B66DB4" w:rsidP="00EF0802">
      <w:pPr>
        <w:spacing w:line="360" w:lineRule="auto"/>
        <w:jc w:val="both"/>
        <w:rPr>
          <w:rFonts w:ascii="Times New Roman" w:hAnsi="Times New Roman" w:cs="Times New Roman"/>
          <w:b/>
          <w:bCs/>
        </w:rPr>
      </w:pPr>
      <w:r w:rsidRPr="00952CD4">
        <w:rPr>
          <w:rFonts w:ascii="Times New Roman" w:hAnsi="Times New Roman" w:cs="Times New Roman"/>
        </w:rPr>
        <w:br/>
      </w:r>
      <w:r w:rsidRPr="00952CD4">
        <w:rPr>
          <w:rFonts w:ascii="Times New Roman" w:hAnsi="Times New Roman" w:cs="Times New Roman"/>
          <w:b/>
          <w:bCs/>
        </w:rPr>
        <w:t>1.6 Objectives of the Study</w:t>
      </w:r>
    </w:p>
    <w:p w14:paraId="234011D3" w14:textId="48F460B2"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 xml:space="preserve">The objectives of the study are given as follows; </w:t>
      </w:r>
    </w:p>
    <w:p w14:paraId="0B24E8BD" w14:textId="77777777"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1. To study the correlation between the level of knowledge and awareness regarding the prevention and management of thyroid and hypertension of selected demographic variables.</w:t>
      </w:r>
    </w:p>
    <w:p w14:paraId="22015302" w14:textId="77777777"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2. To educate and make aware the pregnant women regarding the prevention of thyroid and hypertension by adopting certain lifestyle modification.</w:t>
      </w:r>
    </w:p>
    <w:p w14:paraId="27DA3DFB" w14:textId="77777777" w:rsidR="000D701E" w:rsidRPr="00952CD4" w:rsidRDefault="000D701E" w:rsidP="00EF0802">
      <w:pPr>
        <w:pStyle w:val="NormalWeb"/>
        <w:spacing w:before="0" w:beforeAutospacing="0" w:after="160" w:afterAutospacing="0" w:line="360" w:lineRule="auto"/>
        <w:jc w:val="both"/>
      </w:pPr>
      <w:r w:rsidRPr="00952CD4">
        <w:t>3. To study and evaluate the effectiveness of lifestyle modification to prevent and manage thyroid and hypertension.</w:t>
      </w:r>
    </w:p>
    <w:p w14:paraId="3457786F" w14:textId="77777777" w:rsidR="000D701E" w:rsidRPr="00952CD4" w:rsidRDefault="000D701E" w:rsidP="00EF0802">
      <w:pPr>
        <w:spacing w:line="360" w:lineRule="auto"/>
        <w:jc w:val="both"/>
        <w:rPr>
          <w:rFonts w:ascii="Times New Roman" w:hAnsi="Times New Roman" w:cs="Times New Roman"/>
        </w:rPr>
      </w:pPr>
    </w:p>
    <w:p w14:paraId="1315AB83" w14:textId="77777777" w:rsidR="000D701E" w:rsidRPr="00952CD4" w:rsidRDefault="000D701E" w:rsidP="00EF0802">
      <w:pPr>
        <w:spacing w:line="360" w:lineRule="auto"/>
        <w:jc w:val="both"/>
        <w:rPr>
          <w:rFonts w:ascii="Times New Roman" w:hAnsi="Times New Roman" w:cs="Times New Roman"/>
          <w:b/>
          <w:bCs/>
        </w:rPr>
      </w:pPr>
      <w:r w:rsidRPr="00952CD4">
        <w:rPr>
          <w:rFonts w:ascii="Times New Roman" w:hAnsi="Times New Roman" w:cs="Times New Roman"/>
          <w:b/>
          <w:bCs/>
        </w:rPr>
        <w:t xml:space="preserve">1.7 Hypotheses of the Study </w:t>
      </w:r>
    </w:p>
    <w:p w14:paraId="2C3890D8" w14:textId="6D132FAC"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 xml:space="preserve">The hypotheses of the study are given as follows; </w:t>
      </w:r>
    </w:p>
    <w:p w14:paraId="4161884C" w14:textId="77777777" w:rsidR="000D701E" w:rsidRPr="00952CD4" w:rsidRDefault="000D701E" w:rsidP="00EF0802">
      <w:pPr>
        <w:pStyle w:val="ListParagraph"/>
        <w:numPr>
          <w:ilvl w:val="0"/>
          <w:numId w:val="5"/>
        </w:numPr>
        <w:spacing w:line="360" w:lineRule="auto"/>
        <w:jc w:val="both"/>
        <w:rPr>
          <w:rFonts w:ascii="Times New Roman" w:hAnsi="Times New Roman" w:cs="Times New Roman"/>
          <w:b/>
        </w:rPr>
      </w:pPr>
      <w:r w:rsidRPr="00952CD4">
        <w:rPr>
          <w:rFonts w:ascii="Times New Roman" w:hAnsi="Times New Roman" w:cs="Times New Roman"/>
          <w:b/>
        </w:rPr>
        <w:t>Hypothesis 1(H</w:t>
      </w:r>
      <w:r w:rsidRPr="00952CD4">
        <w:rPr>
          <w:rFonts w:ascii="Times New Roman" w:hAnsi="Times New Roman" w:cs="Times New Roman"/>
          <w:b/>
          <w:vertAlign w:val="subscript"/>
        </w:rPr>
        <w:t>1</w:t>
      </w:r>
      <w:r w:rsidRPr="00952CD4">
        <w:rPr>
          <w:rFonts w:ascii="Times New Roman" w:hAnsi="Times New Roman" w:cs="Times New Roman"/>
          <w:b/>
        </w:rPr>
        <w:t>):</w:t>
      </w:r>
      <w:r w:rsidRPr="00952CD4">
        <w:rPr>
          <w:rFonts w:ascii="Times New Roman" w:hAnsi="Times New Roman" w:cs="Times New Roman"/>
        </w:rPr>
        <w:t xml:space="preserve"> </w:t>
      </w:r>
      <w:r w:rsidRPr="00952CD4">
        <w:rPr>
          <w:rFonts w:ascii="Times New Roman" w:hAnsi="Times New Roman" w:cs="Times New Roman"/>
          <w:color w:val="0D0D0D"/>
          <w:shd w:val="clear" w:color="auto" w:fill="FFFFFF"/>
        </w:rPr>
        <w:t>There is no significant correlation between the level of knowledge and awareness regarding the prevention and management of thyroid and hypertension and selected demographic variables.</w:t>
      </w:r>
    </w:p>
    <w:p w14:paraId="55B69EEE" w14:textId="77777777" w:rsidR="000D701E" w:rsidRPr="00952CD4" w:rsidRDefault="000D701E" w:rsidP="00EF0802">
      <w:pPr>
        <w:pStyle w:val="NormalWeb"/>
        <w:numPr>
          <w:ilvl w:val="0"/>
          <w:numId w:val="5"/>
        </w:numPr>
        <w:spacing w:before="0" w:beforeAutospacing="0" w:after="160" w:afterAutospacing="0" w:line="360" w:lineRule="auto"/>
        <w:jc w:val="both"/>
      </w:pPr>
      <w:r w:rsidRPr="00952CD4">
        <w:rPr>
          <w:b/>
        </w:rPr>
        <w:t>Hypothesis 2 (</w:t>
      </w:r>
      <w:r w:rsidRPr="00952CD4">
        <w:rPr>
          <w:b/>
          <w:vertAlign w:val="subscript"/>
        </w:rPr>
        <w:t>H2</w:t>
      </w:r>
      <w:r w:rsidRPr="00952CD4">
        <w:rPr>
          <w:b/>
        </w:rPr>
        <w:t>):</w:t>
      </w:r>
      <w:r w:rsidRPr="00952CD4">
        <w:rPr>
          <w:color w:val="0D0D0D"/>
          <w:shd w:val="clear" w:color="auto" w:fill="FFFFFF"/>
        </w:rPr>
        <w:t xml:space="preserve"> There is no significant impact of educating and making pregnant women aware of lifestyle modifications on the prevention of thyroid and hypertension.</w:t>
      </w:r>
    </w:p>
    <w:p w14:paraId="0A60F503" w14:textId="7FB04B01" w:rsidR="000D701E" w:rsidRPr="00850AFF" w:rsidRDefault="000D701E" w:rsidP="00EF0802">
      <w:pPr>
        <w:pStyle w:val="NormalWeb"/>
        <w:numPr>
          <w:ilvl w:val="0"/>
          <w:numId w:val="5"/>
        </w:numPr>
        <w:spacing w:before="0" w:beforeAutospacing="0" w:after="160" w:afterAutospacing="0" w:line="360" w:lineRule="auto"/>
        <w:jc w:val="both"/>
      </w:pPr>
      <w:r w:rsidRPr="00952CD4">
        <w:rPr>
          <w:b/>
        </w:rPr>
        <w:lastRenderedPageBreak/>
        <w:t>Hypothesis 3 (H</w:t>
      </w:r>
      <w:r w:rsidRPr="00952CD4">
        <w:rPr>
          <w:b/>
          <w:vertAlign w:val="subscript"/>
        </w:rPr>
        <w:t>3</w:t>
      </w:r>
      <w:r w:rsidRPr="00952CD4">
        <w:rPr>
          <w:b/>
        </w:rPr>
        <w:t>):</w:t>
      </w:r>
      <w:r w:rsidRPr="00952CD4">
        <w:t xml:space="preserve"> There will be a significant association between the level of knowledge regarding the prevention of thyroid and hypertension and selected demographic variables.</w:t>
      </w:r>
    </w:p>
    <w:p w14:paraId="1A23B962" w14:textId="77777777" w:rsidR="005E429F" w:rsidRDefault="005E429F" w:rsidP="00EF0802">
      <w:pPr>
        <w:spacing w:line="360" w:lineRule="auto"/>
        <w:jc w:val="both"/>
        <w:rPr>
          <w:rFonts w:ascii="Times New Roman" w:hAnsi="Times New Roman" w:cs="Times New Roman"/>
          <w:b/>
          <w:bCs/>
        </w:rPr>
      </w:pPr>
    </w:p>
    <w:p w14:paraId="142A8CD8" w14:textId="1A0A59CC" w:rsidR="000D701E" w:rsidRPr="00952CD4" w:rsidRDefault="000D701E" w:rsidP="00EF0802">
      <w:pPr>
        <w:spacing w:line="360" w:lineRule="auto"/>
        <w:jc w:val="both"/>
        <w:rPr>
          <w:rFonts w:ascii="Times New Roman" w:hAnsi="Times New Roman" w:cs="Times New Roman"/>
          <w:b/>
          <w:bCs/>
        </w:rPr>
      </w:pPr>
      <w:r w:rsidRPr="00952CD4">
        <w:rPr>
          <w:rFonts w:ascii="Times New Roman" w:hAnsi="Times New Roman" w:cs="Times New Roman"/>
          <w:b/>
          <w:bCs/>
        </w:rPr>
        <w:t>1.</w:t>
      </w:r>
      <w:r w:rsidR="00850AFF">
        <w:rPr>
          <w:rFonts w:ascii="Times New Roman" w:hAnsi="Times New Roman" w:cs="Times New Roman"/>
          <w:b/>
          <w:bCs/>
        </w:rPr>
        <w:t>8</w:t>
      </w:r>
      <w:r w:rsidRPr="00952CD4">
        <w:rPr>
          <w:rFonts w:ascii="Times New Roman" w:hAnsi="Times New Roman" w:cs="Times New Roman"/>
          <w:b/>
          <w:bCs/>
        </w:rPr>
        <w:t xml:space="preserve"> Significance of the Study</w:t>
      </w:r>
    </w:p>
    <w:p w14:paraId="3F69F1EB" w14:textId="77777777" w:rsidR="000D701E" w:rsidRPr="00087C6B" w:rsidRDefault="000D701E" w:rsidP="00EF0802">
      <w:pPr>
        <w:spacing w:line="360" w:lineRule="auto"/>
        <w:jc w:val="both"/>
        <w:rPr>
          <w:rFonts w:ascii="Times New Roman" w:hAnsi="Times New Roman" w:cs="Times New Roman"/>
        </w:rPr>
      </w:pPr>
      <w:r w:rsidRPr="00952CD4">
        <w:rPr>
          <w:rFonts w:ascii="Times New Roman" w:hAnsi="Times New Roman" w:cs="Times New Roman"/>
        </w:rPr>
        <w:t xml:space="preserve">This study is significant for several reasons, spanning clinical, educational, public health, and policy dimensions. Thyroid dysfunction and hypertensive disorders during pregnancy are among the leading causes of maternal and </w:t>
      </w:r>
      <w:proofErr w:type="spellStart"/>
      <w:r w:rsidRPr="00952CD4">
        <w:rPr>
          <w:rFonts w:ascii="Times New Roman" w:hAnsi="Times New Roman" w:cs="Times New Roman"/>
        </w:rPr>
        <w:t>fetal</w:t>
      </w:r>
      <w:proofErr w:type="spellEnd"/>
      <w:r w:rsidRPr="00952CD4">
        <w:rPr>
          <w:rFonts w:ascii="Times New Roman" w:hAnsi="Times New Roman" w:cs="Times New Roman"/>
        </w:rPr>
        <w:t xml:space="preserve"> complications globally. In India, these conditions are exacerbated by low health literacy, socio-economic disparities, and limited access to structured </w:t>
      </w:r>
      <w:r w:rsidRPr="00087C6B">
        <w:rPr>
          <w:rFonts w:ascii="Times New Roman" w:hAnsi="Times New Roman" w:cs="Times New Roman"/>
        </w:rPr>
        <w:t xml:space="preserve">antenatal education. Despite being largely preventable or manageable through early intervention and </w:t>
      </w:r>
      <w:proofErr w:type="spellStart"/>
      <w:r w:rsidRPr="00087C6B">
        <w:rPr>
          <w:rFonts w:ascii="Times New Roman" w:hAnsi="Times New Roman" w:cs="Times New Roman"/>
        </w:rPr>
        <w:t>behavioral</w:t>
      </w:r>
      <w:proofErr w:type="spellEnd"/>
      <w:r w:rsidRPr="00087C6B">
        <w:rPr>
          <w:rFonts w:ascii="Times New Roman" w:hAnsi="Times New Roman" w:cs="Times New Roman"/>
        </w:rPr>
        <w:t xml:space="preserve"> change, the adoption of lifestyle modifications among pregnant women remains minimal due to insufficient awareness and inadequate </w:t>
      </w:r>
      <w:proofErr w:type="spellStart"/>
      <w:r w:rsidRPr="00087C6B">
        <w:rPr>
          <w:rFonts w:ascii="Times New Roman" w:hAnsi="Times New Roman" w:cs="Times New Roman"/>
        </w:rPr>
        <w:t>counseling</w:t>
      </w:r>
      <w:proofErr w:type="spellEnd"/>
      <w:r w:rsidRPr="00087C6B">
        <w:rPr>
          <w:rFonts w:ascii="Times New Roman" w:hAnsi="Times New Roman" w:cs="Times New Roman"/>
        </w:rPr>
        <w:t>.</w:t>
      </w:r>
    </w:p>
    <w:p w14:paraId="5E7287BB" w14:textId="77777777" w:rsidR="000D701E" w:rsidRPr="00952CD4" w:rsidRDefault="000D701E" w:rsidP="00EF0802">
      <w:pPr>
        <w:spacing w:line="360" w:lineRule="auto"/>
        <w:jc w:val="both"/>
        <w:rPr>
          <w:rFonts w:ascii="Times New Roman" w:hAnsi="Times New Roman" w:cs="Times New Roman"/>
        </w:rPr>
      </w:pPr>
      <w:r w:rsidRPr="00087C6B">
        <w:rPr>
          <w:rFonts w:ascii="Times New Roman" w:hAnsi="Times New Roman" w:cs="Times New Roman"/>
        </w:rPr>
        <w:t>This research addresses a critical gap by systematically evaluating the impact of lifestyle modification programs on awareness, knowledge, and health outcomes related to thyroid and hypertension among pregnant women. Through</w:t>
      </w:r>
      <w:r w:rsidRPr="00952CD4">
        <w:rPr>
          <w:rFonts w:ascii="Times New Roman" w:hAnsi="Times New Roman" w:cs="Times New Roman"/>
        </w:rPr>
        <w:t xml:space="preserve"> this, the study contributes meaningfully to several domains:</w:t>
      </w:r>
    </w:p>
    <w:p w14:paraId="6ACDF616" w14:textId="77777777" w:rsidR="000D701E" w:rsidRPr="00952CD4" w:rsidRDefault="000D701E" w:rsidP="00EF0802">
      <w:pPr>
        <w:spacing w:line="360" w:lineRule="auto"/>
        <w:jc w:val="both"/>
        <w:rPr>
          <w:rFonts w:ascii="Times New Roman" w:hAnsi="Times New Roman" w:cs="Times New Roman"/>
          <w:b/>
          <w:bCs/>
        </w:rPr>
      </w:pPr>
      <w:r w:rsidRPr="00952CD4">
        <w:rPr>
          <w:rFonts w:ascii="Times New Roman" w:hAnsi="Times New Roman" w:cs="Times New Roman"/>
          <w:b/>
          <w:bCs/>
        </w:rPr>
        <w:t>1. Clinical Relevance</w:t>
      </w:r>
    </w:p>
    <w:p w14:paraId="7A668C12" w14:textId="77777777"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The study provides empirical evidence on the efficacy of lifestyle interventions—dietary adjustments, physical activity, and stress management—in managing blood pressure and regulating thyroid function during pregnancy. This is crucial for reducing reliance on pharmacological treatment and preventing complications such as preeclampsia, preterm birth, and intrauterine growth restriction.</w:t>
      </w:r>
    </w:p>
    <w:p w14:paraId="4B1885E6" w14:textId="77777777" w:rsidR="000D701E" w:rsidRPr="00952CD4" w:rsidRDefault="000D701E" w:rsidP="00EF0802">
      <w:pPr>
        <w:spacing w:line="360" w:lineRule="auto"/>
        <w:jc w:val="both"/>
        <w:rPr>
          <w:rFonts w:ascii="Times New Roman" w:hAnsi="Times New Roman" w:cs="Times New Roman"/>
          <w:b/>
          <w:bCs/>
        </w:rPr>
      </w:pPr>
      <w:r w:rsidRPr="00952CD4">
        <w:rPr>
          <w:rFonts w:ascii="Times New Roman" w:hAnsi="Times New Roman" w:cs="Times New Roman"/>
          <w:b/>
          <w:bCs/>
        </w:rPr>
        <w:t>2. Health Education and Literacy</w:t>
      </w:r>
    </w:p>
    <w:p w14:paraId="06D5B009" w14:textId="77777777"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 xml:space="preserve">The study focuses on enhancing maternal awareness through structured education and </w:t>
      </w:r>
      <w:proofErr w:type="spellStart"/>
      <w:r w:rsidRPr="00952CD4">
        <w:rPr>
          <w:rFonts w:ascii="Times New Roman" w:hAnsi="Times New Roman" w:cs="Times New Roman"/>
        </w:rPr>
        <w:t>behavioral</w:t>
      </w:r>
      <w:proofErr w:type="spellEnd"/>
      <w:r w:rsidRPr="00952CD4">
        <w:rPr>
          <w:rFonts w:ascii="Times New Roman" w:hAnsi="Times New Roman" w:cs="Times New Roman"/>
        </w:rPr>
        <w:t xml:space="preserve"> interventions. It helps to fill the knowledge gap by empowering pregnant women with the necessary information to make informed decisions, thus promoting self-efficacy in managing their health conditions.</w:t>
      </w:r>
    </w:p>
    <w:p w14:paraId="73DFABB5" w14:textId="77777777" w:rsidR="005E429F" w:rsidRDefault="005E429F" w:rsidP="00EF0802">
      <w:pPr>
        <w:spacing w:line="360" w:lineRule="auto"/>
        <w:jc w:val="both"/>
        <w:rPr>
          <w:rFonts w:ascii="Times New Roman" w:hAnsi="Times New Roman" w:cs="Times New Roman"/>
          <w:b/>
          <w:bCs/>
        </w:rPr>
      </w:pPr>
    </w:p>
    <w:p w14:paraId="1C91A1E5" w14:textId="77777777" w:rsidR="005E429F" w:rsidRDefault="005E429F" w:rsidP="00EF0802">
      <w:pPr>
        <w:spacing w:line="360" w:lineRule="auto"/>
        <w:jc w:val="both"/>
        <w:rPr>
          <w:rFonts w:ascii="Times New Roman" w:hAnsi="Times New Roman" w:cs="Times New Roman"/>
          <w:b/>
          <w:bCs/>
        </w:rPr>
      </w:pPr>
    </w:p>
    <w:p w14:paraId="4ECEF6D3" w14:textId="66CB33DD" w:rsidR="000D701E" w:rsidRPr="00952CD4" w:rsidRDefault="000D701E" w:rsidP="00EF0802">
      <w:pPr>
        <w:spacing w:line="360" w:lineRule="auto"/>
        <w:jc w:val="both"/>
        <w:rPr>
          <w:rFonts w:ascii="Times New Roman" w:hAnsi="Times New Roman" w:cs="Times New Roman"/>
          <w:b/>
          <w:bCs/>
        </w:rPr>
      </w:pPr>
      <w:r w:rsidRPr="00952CD4">
        <w:rPr>
          <w:rFonts w:ascii="Times New Roman" w:hAnsi="Times New Roman" w:cs="Times New Roman"/>
          <w:b/>
          <w:bCs/>
        </w:rPr>
        <w:lastRenderedPageBreak/>
        <w:t>3. Public Health and Community Impact</w:t>
      </w:r>
    </w:p>
    <w:p w14:paraId="30C8DF5E" w14:textId="19FC844B" w:rsidR="00EF0802" w:rsidRPr="005E429F" w:rsidRDefault="000D701E" w:rsidP="00EF0802">
      <w:pPr>
        <w:spacing w:line="360" w:lineRule="auto"/>
        <w:jc w:val="both"/>
        <w:rPr>
          <w:rFonts w:ascii="Times New Roman" w:hAnsi="Times New Roman" w:cs="Times New Roman"/>
        </w:rPr>
      </w:pPr>
      <w:r w:rsidRPr="00952CD4">
        <w:rPr>
          <w:rFonts w:ascii="Times New Roman" w:hAnsi="Times New Roman" w:cs="Times New Roman"/>
        </w:rPr>
        <w:t>By identifying demographic correlations and barriers to lifestyle change, the findings can inform community-level interventions and targeted awareness campaigns. This is particularly valuable in underserved rural and semi-urban populations where antenatal education is minimal.</w:t>
      </w:r>
    </w:p>
    <w:p w14:paraId="4CB8547A" w14:textId="11597ACE" w:rsidR="000D701E" w:rsidRPr="00952CD4" w:rsidRDefault="000D701E" w:rsidP="00EF0802">
      <w:pPr>
        <w:spacing w:line="360" w:lineRule="auto"/>
        <w:jc w:val="both"/>
        <w:rPr>
          <w:rFonts w:ascii="Times New Roman" w:hAnsi="Times New Roman" w:cs="Times New Roman"/>
          <w:b/>
          <w:bCs/>
        </w:rPr>
      </w:pPr>
      <w:r w:rsidRPr="00952CD4">
        <w:rPr>
          <w:rFonts w:ascii="Times New Roman" w:hAnsi="Times New Roman" w:cs="Times New Roman"/>
          <w:b/>
          <w:bCs/>
        </w:rPr>
        <w:t>4. Contribution to National Health Programs</w:t>
      </w:r>
    </w:p>
    <w:p w14:paraId="568DA376" w14:textId="77777777"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 xml:space="preserve">The study aligns with national goals under </w:t>
      </w:r>
      <w:r w:rsidRPr="00952CD4">
        <w:rPr>
          <w:rFonts w:ascii="Times New Roman" w:hAnsi="Times New Roman" w:cs="Times New Roman"/>
          <w:i/>
          <w:iCs/>
        </w:rPr>
        <w:t>POSHAN Abhiyaan</w:t>
      </w:r>
      <w:r w:rsidRPr="00952CD4">
        <w:rPr>
          <w:rFonts w:ascii="Times New Roman" w:hAnsi="Times New Roman" w:cs="Times New Roman"/>
        </w:rPr>
        <w:t xml:space="preserve">, </w:t>
      </w:r>
      <w:r w:rsidRPr="00952CD4">
        <w:rPr>
          <w:rFonts w:ascii="Times New Roman" w:hAnsi="Times New Roman" w:cs="Times New Roman"/>
          <w:i/>
          <w:iCs/>
        </w:rPr>
        <w:t>Janani Suraksha Yojana</w:t>
      </w:r>
      <w:r w:rsidRPr="00952CD4">
        <w:rPr>
          <w:rFonts w:ascii="Times New Roman" w:hAnsi="Times New Roman" w:cs="Times New Roman"/>
        </w:rPr>
        <w:t xml:space="preserve">, and the </w:t>
      </w:r>
      <w:r w:rsidRPr="00952CD4">
        <w:rPr>
          <w:rFonts w:ascii="Times New Roman" w:hAnsi="Times New Roman" w:cs="Times New Roman"/>
          <w:i/>
          <w:iCs/>
        </w:rPr>
        <w:t>School Health and Wellness Programme</w:t>
      </w:r>
      <w:r w:rsidRPr="00952CD4">
        <w:rPr>
          <w:rFonts w:ascii="Times New Roman" w:hAnsi="Times New Roman" w:cs="Times New Roman"/>
        </w:rPr>
        <w:t xml:space="preserve">, supporting their emphasis on maternal nutrition, </w:t>
      </w:r>
      <w:proofErr w:type="spellStart"/>
      <w:r w:rsidRPr="00952CD4">
        <w:rPr>
          <w:rFonts w:ascii="Times New Roman" w:hAnsi="Times New Roman" w:cs="Times New Roman"/>
        </w:rPr>
        <w:t>behavior</w:t>
      </w:r>
      <w:proofErr w:type="spellEnd"/>
      <w:r w:rsidRPr="00952CD4">
        <w:rPr>
          <w:rFonts w:ascii="Times New Roman" w:hAnsi="Times New Roman" w:cs="Times New Roman"/>
        </w:rPr>
        <w:t xml:space="preserve"> change communication (BCC), and health system strengthening.</w:t>
      </w:r>
    </w:p>
    <w:p w14:paraId="12C4C93A" w14:textId="77777777" w:rsidR="000D701E" w:rsidRPr="00952CD4" w:rsidRDefault="000D701E" w:rsidP="00EF0802">
      <w:pPr>
        <w:spacing w:line="360" w:lineRule="auto"/>
        <w:jc w:val="both"/>
        <w:rPr>
          <w:rFonts w:ascii="Times New Roman" w:hAnsi="Times New Roman" w:cs="Times New Roman"/>
          <w:b/>
          <w:bCs/>
        </w:rPr>
      </w:pPr>
      <w:r w:rsidRPr="00952CD4">
        <w:rPr>
          <w:rFonts w:ascii="Times New Roman" w:hAnsi="Times New Roman" w:cs="Times New Roman"/>
          <w:b/>
          <w:bCs/>
        </w:rPr>
        <w:t>5. Policy and Practice Implications</w:t>
      </w:r>
    </w:p>
    <w:p w14:paraId="22686401" w14:textId="77777777" w:rsidR="000D701E" w:rsidRPr="00087C6B" w:rsidRDefault="000D701E" w:rsidP="00EF0802">
      <w:pPr>
        <w:spacing w:line="360" w:lineRule="auto"/>
        <w:jc w:val="both"/>
        <w:rPr>
          <w:rFonts w:ascii="Times New Roman" w:hAnsi="Times New Roman" w:cs="Times New Roman"/>
        </w:rPr>
      </w:pPr>
      <w:r w:rsidRPr="00952CD4">
        <w:rPr>
          <w:rFonts w:ascii="Times New Roman" w:hAnsi="Times New Roman" w:cs="Times New Roman"/>
        </w:rPr>
        <w:t xml:space="preserve">The insights </w:t>
      </w:r>
      <w:r w:rsidRPr="00087C6B">
        <w:rPr>
          <w:rFonts w:ascii="Times New Roman" w:hAnsi="Times New Roman" w:cs="Times New Roman"/>
        </w:rPr>
        <w:t>generated from this research can guide policy-makers and healthcare providers in integrating lifestyle education modules into routine antenatal care. It advocates for a shift from a purely clinical approach to a more comprehensive, preventive, and women-</w:t>
      </w:r>
      <w:proofErr w:type="spellStart"/>
      <w:r w:rsidRPr="00087C6B">
        <w:rPr>
          <w:rFonts w:ascii="Times New Roman" w:hAnsi="Times New Roman" w:cs="Times New Roman"/>
        </w:rPr>
        <w:t>centered</w:t>
      </w:r>
      <w:proofErr w:type="spellEnd"/>
      <w:r w:rsidRPr="00087C6B">
        <w:rPr>
          <w:rFonts w:ascii="Times New Roman" w:hAnsi="Times New Roman" w:cs="Times New Roman"/>
        </w:rPr>
        <w:t xml:space="preserve"> model of maternal healthcare.</w:t>
      </w:r>
    </w:p>
    <w:p w14:paraId="19D13B1B" w14:textId="77777777"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In summary, the study holds the potential to create scalable, cost-effective, and culturally appropriate frameworks for improving maternal health outcomes in India and similar contexts. It bridges the gap between medical management and preventive lifestyle practices, offering a sustainable model of maternal care that can significantly reduce pregnancy-related complications.</w:t>
      </w:r>
    </w:p>
    <w:p w14:paraId="7C438E7D" w14:textId="2A75E816" w:rsidR="000D701E" w:rsidRPr="00952CD4" w:rsidRDefault="000D701E" w:rsidP="00EF0802">
      <w:pPr>
        <w:spacing w:line="360" w:lineRule="auto"/>
        <w:jc w:val="both"/>
        <w:rPr>
          <w:rFonts w:ascii="Times New Roman" w:hAnsi="Times New Roman" w:cs="Times New Roman"/>
        </w:rPr>
      </w:pPr>
    </w:p>
    <w:p w14:paraId="46BE4F24" w14:textId="30A980E0" w:rsidR="000D701E" w:rsidRPr="00952CD4" w:rsidRDefault="000D701E" w:rsidP="00EF0802">
      <w:pPr>
        <w:spacing w:line="360" w:lineRule="auto"/>
        <w:jc w:val="both"/>
        <w:rPr>
          <w:rFonts w:ascii="Times New Roman" w:hAnsi="Times New Roman" w:cs="Times New Roman"/>
          <w:b/>
          <w:bCs/>
        </w:rPr>
      </w:pPr>
      <w:r w:rsidRPr="00952CD4">
        <w:rPr>
          <w:rFonts w:ascii="Times New Roman" w:hAnsi="Times New Roman" w:cs="Times New Roman"/>
          <w:b/>
          <w:bCs/>
        </w:rPr>
        <w:t>1.</w:t>
      </w:r>
      <w:r w:rsidR="00850AFF">
        <w:rPr>
          <w:rFonts w:ascii="Times New Roman" w:hAnsi="Times New Roman" w:cs="Times New Roman"/>
          <w:b/>
          <w:bCs/>
        </w:rPr>
        <w:t>9</w:t>
      </w:r>
      <w:r w:rsidRPr="00952CD4">
        <w:rPr>
          <w:rFonts w:ascii="Times New Roman" w:hAnsi="Times New Roman" w:cs="Times New Roman"/>
          <w:b/>
          <w:bCs/>
        </w:rPr>
        <w:t xml:space="preserve"> Scope and Delimitations</w:t>
      </w:r>
    </w:p>
    <w:p w14:paraId="0DEEEA21" w14:textId="77777777" w:rsidR="000D701E" w:rsidRPr="00952CD4" w:rsidRDefault="000D701E" w:rsidP="00EF0802">
      <w:pPr>
        <w:spacing w:line="360" w:lineRule="auto"/>
        <w:jc w:val="both"/>
        <w:rPr>
          <w:rFonts w:ascii="Times New Roman" w:hAnsi="Times New Roman" w:cs="Times New Roman"/>
          <w:b/>
          <w:bCs/>
        </w:rPr>
      </w:pPr>
      <w:r w:rsidRPr="00952CD4">
        <w:rPr>
          <w:rFonts w:ascii="Times New Roman" w:hAnsi="Times New Roman" w:cs="Times New Roman"/>
          <w:b/>
          <w:bCs/>
        </w:rPr>
        <w:t>Scope of the Study</w:t>
      </w:r>
    </w:p>
    <w:p w14:paraId="2198A37F" w14:textId="77777777"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This study is designed to evaluate the effectiveness of lifestyle modification interventions—primarily involving diet, physical activity, and stress management—in the prevention and management of thyroid dysfunction and hypertensive disorders among pregnant women. The scope includes:</w:t>
      </w:r>
    </w:p>
    <w:p w14:paraId="77C4F8C1" w14:textId="77777777" w:rsidR="000D701E" w:rsidRPr="00952CD4" w:rsidRDefault="000D701E" w:rsidP="00EF0802">
      <w:pPr>
        <w:numPr>
          <w:ilvl w:val="0"/>
          <w:numId w:val="7"/>
        </w:numPr>
        <w:spacing w:line="360" w:lineRule="auto"/>
        <w:jc w:val="both"/>
        <w:rPr>
          <w:rFonts w:ascii="Times New Roman" w:hAnsi="Times New Roman" w:cs="Times New Roman"/>
        </w:rPr>
      </w:pPr>
      <w:r w:rsidRPr="00952CD4">
        <w:rPr>
          <w:rFonts w:ascii="Times New Roman" w:hAnsi="Times New Roman" w:cs="Times New Roman"/>
          <w:b/>
          <w:bCs/>
        </w:rPr>
        <w:lastRenderedPageBreak/>
        <w:t>Population</w:t>
      </w:r>
      <w:r w:rsidRPr="00952CD4">
        <w:rPr>
          <w:rFonts w:ascii="Times New Roman" w:hAnsi="Times New Roman" w:cs="Times New Roman"/>
        </w:rPr>
        <w:t>: Pregnant women between the ages of 18–45 years, attending antenatal clinics, irrespective of their trimester, and who are at risk of or diagnosed with thyroid dysfunction and/or hypertension.</w:t>
      </w:r>
    </w:p>
    <w:p w14:paraId="5A87F81A" w14:textId="77777777" w:rsidR="000D701E" w:rsidRPr="00952CD4" w:rsidRDefault="000D701E" w:rsidP="00EF0802">
      <w:pPr>
        <w:numPr>
          <w:ilvl w:val="0"/>
          <w:numId w:val="7"/>
        </w:numPr>
        <w:spacing w:line="360" w:lineRule="auto"/>
        <w:jc w:val="both"/>
        <w:rPr>
          <w:rFonts w:ascii="Times New Roman" w:hAnsi="Times New Roman" w:cs="Times New Roman"/>
        </w:rPr>
      </w:pPr>
      <w:r w:rsidRPr="00952CD4">
        <w:rPr>
          <w:rFonts w:ascii="Times New Roman" w:hAnsi="Times New Roman" w:cs="Times New Roman"/>
          <w:b/>
          <w:bCs/>
        </w:rPr>
        <w:t>Geographical Area</w:t>
      </w:r>
      <w:r w:rsidRPr="00952CD4">
        <w:rPr>
          <w:rFonts w:ascii="Times New Roman" w:hAnsi="Times New Roman" w:cs="Times New Roman"/>
        </w:rPr>
        <w:t>: The study is conducted in selected healthcare facilities (urban and semi-urban) within India, with a focus on primary and secondary care settings.</w:t>
      </w:r>
    </w:p>
    <w:p w14:paraId="2D45DE2E" w14:textId="77777777" w:rsidR="000D701E" w:rsidRPr="00952CD4" w:rsidRDefault="000D701E" w:rsidP="00EF0802">
      <w:pPr>
        <w:numPr>
          <w:ilvl w:val="0"/>
          <w:numId w:val="7"/>
        </w:numPr>
        <w:spacing w:line="360" w:lineRule="auto"/>
        <w:jc w:val="both"/>
        <w:rPr>
          <w:rFonts w:ascii="Times New Roman" w:hAnsi="Times New Roman" w:cs="Times New Roman"/>
        </w:rPr>
      </w:pPr>
      <w:r w:rsidRPr="00952CD4">
        <w:rPr>
          <w:rFonts w:ascii="Times New Roman" w:hAnsi="Times New Roman" w:cs="Times New Roman"/>
          <w:b/>
          <w:bCs/>
        </w:rPr>
        <w:t>Intervention</w:t>
      </w:r>
      <w:r w:rsidRPr="00952CD4">
        <w:rPr>
          <w:rFonts w:ascii="Times New Roman" w:hAnsi="Times New Roman" w:cs="Times New Roman"/>
        </w:rPr>
        <w:t>: Structured lifestyle education sessions covering nutrition, exercise, and stress-reduction techniques, delivered during antenatal visits.</w:t>
      </w:r>
    </w:p>
    <w:p w14:paraId="6C69514A" w14:textId="77777777" w:rsidR="000D701E" w:rsidRPr="00952CD4" w:rsidRDefault="000D701E" w:rsidP="00EF0802">
      <w:pPr>
        <w:numPr>
          <w:ilvl w:val="0"/>
          <w:numId w:val="7"/>
        </w:numPr>
        <w:spacing w:line="360" w:lineRule="auto"/>
        <w:jc w:val="both"/>
        <w:rPr>
          <w:rFonts w:ascii="Times New Roman" w:hAnsi="Times New Roman" w:cs="Times New Roman"/>
        </w:rPr>
      </w:pPr>
      <w:r w:rsidRPr="00952CD4">
        <w:rPr>
          <w:rFonts w:ascii="Times New Roman" w:hAnsi="Times New Roman" w:cs="Times New Roman"/>
          <w:b/>
          <w:bCs/>
        </w:rPr>
        <w:t>Assessment</w:t>
      </w:r>
      <w:r w:rsidRPr="00952CD4">
        <w:rPr>
          <w:rFonts w:ascii="Times New Roman" w:hAnsi="Times New Roman" w:cs="Times New Roman"/>
        </w:rPr>
        <w:t>: The study measures pre- and post-intervention awareness, lifestyle practices, and clinical outcomes (such as blood pressure and thyroid hormone levels) using standardized tools and biochemical reports.</w:t>
      </w:r>
    </w:p>
    <w:p w14:paraId="1F608822" w14:textId="77777777" w:rsidR="000D701E" w:rsidRPr="00952CD4" w:rsidRDefault="000D701E" w:rsidP="00EF0802">
      <w:pPr>
        <w:numPr>
          <w:ilvl w:val="0"/>
          <w:numId w:val="7"/>
        </w:numPr>
        <w:spacing w:line="360" w:lineRule="auto"/>
        <w:jc w:val="both"/>
        <w:rPr>
          <w:rFonts w:ascii="Times New Roman" w:hAnsi="Times New Roman" w:cs="Times New Roman"/>
        </w:rPr>
      </w:pPr>
      <w:r w:rsidRPr="00952CD4">
        <w:rPr>
          <w:rFonts w:ascii="Times New Roman" w:hAnsi="Times New Roman" w:cs="Times New Roman"/>
          <w:b/>
          <w:bCs/>
        </w:rPr>
        <w:t>Design</w:t>
      </w:r>
      <w:r w:rsidRPr="00952CD4">
        <w:rPr>
          <w:rFonts w:ascii="Times New Roman" w:hAnsi="Times New Roman" w:cs="Times New Roman"/>
        </w:rPr>
        <w:t>: A quasi-experimental pre-test and post-test design with control and intervention groups to assess the impact of lifestyle education.</w:t>
      </w:r>
    </w:p>
    <w:p w14:paraId="55534AC1" w14:textId="77777777"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 xml:space="preserve">This research intends to generate evidence-based recommendations for improving maternal awareness and health outcomes through non-pharmacological interventions. The study’s findings may be useful for integrating </w:t>
      </w:r>
      <w:proofErr w:type="spellStart"/>
      <w:r w:rsidRPr="00952CD4">
        <w:rPr>
          <w:rFonts w:ascii="Times New Roman" w:hAnsi="Times New Roman" w:cs="Times New Roman"/>
        </w:rPr>
        <w:t>behavior</w:t>
      </w:r>
      <w:proofErr w:type="spellEnd"/>
      <w:r w:rsidRPr="00952CD4">
        <w:rPr>
          <w:rFonts w:ascii="Times New Roman" w:hAnsi="Times New Roman" w:cs="Times New Roman"/>
        </w:rPr>
        <w:t xml:space="preserve"> change strategies into national maternal health policies and antenatal care programs.</w:t>
      </w:r>
    </w:p>
    <w:p w14:paraId="60C254DE" w14:textId="77777777" w:rsidR="000D701E" w:rsidRPr="00952CD4" w:rsidRDefault="000D701E" w:rsidP="00EF0802">
      <w:pPr>
        <w:spacing w:line="360" w:lineRule="auto"/>
        <w:jc w:val="both"/>
        <w:rPr>
          <w:rFonts w:ascii="Times New Roman" w:hAnsi="Times New Roman" w:cs="Times New Roman"/>
          <w:b/>
          <w:bCs/>
        </w:rPr>
      </w:pPr>
      <w:r w:rsidRPr="00952CD4">
        <w:rPr>
          <w:rFonts w:ascii="Times New Roman" w:hAnsi="Times New Roman" w:cs="Times New Roman"/>
          <w:b/>
          <w:bCs/>
        </w:rPr>
        <w:t>Delimitations of the Study</w:t>
      </w:r>
    </w:p>
    <w:p w14:paraId="1A3EBCDD" w14:textId="77777777"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Delimitations define the boundaries set by the researcher to narrow the scope of the study. These include:</w:t>
      </w:r>
    </w:p>
    <w:p w14:paraId="73E0398E" w14:textId="77777777" w:rsidR="000D701E" w:rsidRPr="00952CD4" w:rsidRDefault="000D701E" w:rsidP="00EF0802">
      <w:pPr>
        <w:numPr>
          <w:ilvl w:val="0"/>
          <w:numId w:val="8"/>
        </w:numPr>
        <w:spacing w:line="360" w:lineRule="auto"/>
        <w:jc w:val="both"/>
        <w:rPr>
          <w:rFonts w:ascii="Times New Roman" w:hAnsi="Times New Roman" w:cs="Times New Roman"/>
        </w:rPr>
      </w:pPr>
      <w:r w:rsidRPr="00952CD4">
        <w:rPr>
          <w:rFonts w:ascii="Times New Roman" w:hAnsi="Times New Roman" w:cs="Times New Roman"/>
          <w:b/>
          <w:bCs/>
        </w:rPr>
        <w:t>Sample Limitation</w:t>
      </w:r>
      <w:r w:rsidRPr="00952CD4">
        <w:rPr>
          <w:rFonts w:ascii="Times New Roman" w:hAnsi="Times New Roman" w:cs="Times New Roman"/>
        </w:rPr>
        <w:t>: The study includes only registered pregnant women from selected healthcare institutions who consent to participate. It excludes women with co-morbid chronic illnesses such as diabetes, renal disease, or cardiovascular disorders that may confound the results.</w:t>
      </w:r>
    </w:p>
    <w:p w14:paraId="7C0D0387" w14:textId="77777777" w:rsidR="000D701E" w:rsidRPr="00952CD4" w:rsidRDefault="000D701E" w:rsidP="00EF0802">
      <w:pPr>
        <w:numPr>
          <w:ilvl w:val="0"/>
          <w:numId w:val="8"/>
        </w:numPr>
        <w:spacing w:line="360" w:lineRule="auto"/>
        <w:jc w:val="both"/>
        <w:rPr>
          <w:rFonts w:ascii="Times New Roman" w:hAnsi="Times New Roman" w:cs="Times New Roman"/>
        </w:rPr>
      </w:pPr>
      <w:r w:rsidRPr="00952CD4">
        <w:rPr>
          <w:rFonts w:ascii="Times New Roman" w:hAnsi="Times New Roman" w:cs="Times New Roman"/>
          <w:b/>
          <w:bCs/>
        </w:rPr>
        <w:t>Time Frame</w:t>
      </w:r>
      <w:r w:rsidRPr="00952CD4">
        <w:rPr>
          <w:rFonts w:ascii="Times New Roman" w:hAnsi="Times New Roman" w:cs="Times New Roman"/>
        </w:rPr>
        <w:t>: The intervention and data collection are limited to the duration of pregnancy, specifically between the second trimester and delivery. Long-term postpartum follow-up is not included in this study.</w:t>
      </w:r>
    </w:p>
    <w:p w14:paraId="1A4D577E" w14:textId="77777777" w:rsidR="000D701E" w:rsidRPr="00952CD4" w:rsidRDefault="000D701E" w:rsidP="00EF0802">
      <w:pPr>
        <w:numPr>
          <w:ilvl w:val="0"/>
          <w:numId w:val="8"/>
        </w:numPr>
        <w:spacing w:line="360" w:lineRule="auto"/>
        <w:jc w:val="both"/>
        <w:rPr>
          <w:rFonts w:ascii="Times New Roman" w:hAnsi="Times New Roman" w:cs="Times New Roman"/>
        </w:rPr>
      </w:pPr>
      <w:r w:rsidRPr="00952CD4">
        <w:rPr>
          <w:rFonts w:ascii="Times New Roman" w:hAnsi="Times New Roman" w:cs="Times New Roman"/>
          <w:b/>
          <w:bCs/>
        </w:rPr>
        <w:t>Intervention Focus</w:t>
      </w:r>
      <w:r w:rsidRPr="00952CD4">
        <w:rPr>
          <w:rFonts w:ascii="Times New Roman" w:hAnsi="Times New Roman" w:cs="Times New Roman"/>
        </w:rPr>
        <w:t>: The lifestyle modification program is limited to educational components. It does not include pharmacological treatments or clinical procedures beyond standard care.</w:t>
      </w:r>
    </w:p>
    <w:p w14:paraId="24224395" w14:textId="77777777" w:rsidR="000D701E" w:rsidRPr="00952CD4" w:rsidRDefault="000D701E" w:rsidP="00EF0802">
      <w:pPr>
        <w:numPr>
          <w:ilvl w:val="0"/>
          <w:numId w:val="8"/>
        </w:numPr>
        <w:spacing w:line="360" w:lineRule="auto"/>
        <w:jc w:val="both"/>
        <w:rPr>
          <w:rFonts w:ascii="Times New Roman" w:hAnsi="Times New Roman" w:cs="Times New Roman"/>
        </w:rPr>
      </w:pPr>
      <w:r w:rsidRPr="00952CD4">
        <w:rPr>
          <w:rFonts w:ascii="Times New Roman" w:hAnsi="Times New Roman" w:cs="Times New Roman"/>
          <w:b/>
          <w:bCs/>
        </w:rPr>
        <w:lastRenderedPageBreak/>
        <w:t>Self-reported Measures</w:t>
      </w:r>
      <w:r w:rsidRPr="00952CD4">
        <w:rPr>
          <w:rFonts w:ascii="Times New Roman" w:hAnsi="Times New Roman" w:cs="Times New Roman"/>
        </w:rPr>
        <w:t>: Awareness and lifestyle practices are assessed through structured questionnaires and self-reports, which may introduce subjectivity and recall bias.</w:t>
      </w:r>
    </w:p>
    <w:p w14:paraId="5187778E" w14:textId="77777777" w:rsidR="000D701E" w:rsidRPr="00952CD4" w:rsidRDefault="000D701E" w:rsidP="00EF0802">
      <w:pPr>
        <w:numPr>
          <w:ilvl w:val="0"/>
          <w:numId w:val="8"/>
        </w:numPr>
        <w:spacing w:line="360" w:lineRule="auto"/>
        <w:jc w:val="both"/>
        <w:rPr>
          <w:rFonts w:ascii="Times New Roman" w:hAnsi="Times New Roman" w:cs="Times New Roman"/>
        </w:rPr>
      </w:pPr>
      <w:r w:rsidRPr="00952CD4">
        <w:rPr>
          <w:rFonts w:ascii="Times New Roman" w:hAnsi="Times New Roman" w:cs="Times New Roman"/>
          <w:b/>
          <w:bCs/>
        </w:rPr>
        <w:t>Generalizability</w:t>
      </w:r>
      <w:r w:rsidRPr="00952CD4">
        <w:rPr>
          <w:rFonts w:ascii="Times New Roman" w:hAnsi="Times New Roman" w:cs="Times New Roman"/>
        </w:rPr>
        <w:t>: The findings may not be generalizable to all pregnant populations, particularly those in remote rural areas or tertiary care hospitals with differing health service provisions and demographic profiles.</w:t>
      </w:r>
    </w:p>
    <w:p w14:paraId="2EAC99AE" w14:textId="252DF6C6" w:rsidR="000D701E" w:rsidRPr="00EF0802" w:rsidRDefault="000D701E" w:rsidP="00EF0802">
      <w:pPr>
        <w:spacing w:line="360" w:lineRule="auto"/>
        <w:jc w:val="both"/>
        <w:rPr>
          <w:rFonts w:ascii="Times New Roman" w:hAnsi="Times New Roman" w:cs="Times New Roman"/>
        </w:rPr>
      </w:pPr>
      <w:r w:rsidRPr="00952CD4">
        <w:rPr>
          <w:rFonts w:ascii="Times New Roman" w:hAnsi="Times New Roman" w:cs="Times New Roman"/>
        </w:rPr>
        <w:t>By clearly defining these parameters, the study maintains focus, feasibility, and relevance while acknowledging the limitations that may affect the interpretation and applicability of its findings.</w:t>
      </w:r>
    </w:p>
    <w:p w14:paraId="793BB9FF" w14:textId="77777777" w:rsidR="000D701E" w:rsidRPr="00952CD4" w:rsidRDefault="000D701E" w:rsidP="00EF0802">
      <w:pPr>
        <w:spacing w:line="360" w:lineRule="auto"/>
        <w:jc w:val="both"/>
        <w:rPr>
          <w:rFonts w:ascii="Times New Roman" w:hAnsi="Times New Roman" w:cs="Times New Roman"/>
          <w:b/>
          <w:bCs/>
        </w:rPr>
      </w:pPr>
    </w:p>
    <w:p w14:paraId="6D2934AE" w14:textId="356F856A" w:rsidR="000D701E" w:rsidRPr="00952CD4" w:rsidRDefault="000D701E" w:rsidP="00EF0802">
      <w:pPr>
        <w:spacing w:line="360" w:lineRule="auto"/>
        <w:jc w:val="both"/>
        <w:rPr>
          <w:rFonts w:ascii="Times New Roman" w:hAnsi="Times New Roman" w:cs="Times New Roman"/>
          <w:b/>
          <w:bCs/>
        </w:rPr>
      </w:pPr>
      <w:r w:rsidRPr="00952CD4">
        <w:rPr>
          <w:rFonts w:ascii="Times New Roman" w:hAnsi="Times New Roman" w:cs="Times New Roman"/>
          <w:b/>
          <w:bCs/>
        </w:rPr>
        <w:t>1.1</w:t>
      </w:r>
      <w:r w:rsidR="00850AFF">
        <w:rPr>
          <w:rFonts w:ascii="Times New Roman" w:hAnsi="Times New Roman" w:cs="Times New Roman"/>
          <w:b/>
          <w:bCs/>
        </w:rPr>
        <w:t>0</w:t>
      </w:r>
      <w:r w:rsidRPr="00952CD4">
        <w:rPr>
          <w:rFonts w:ascii="Times New Roman" w:hAnsi="Times New Roman" w:cs="Times New Roman"/>
          <w:b/>
          <w:bCs/>
        </w:rPr>
        <w:t xml:space="preserve"> Organization of the Thesis</w:t>
      </w:r>
    </w:p>
    <w:p w14:paraId="60D6EC9F" w14:textId="77777777"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This thesis is structured into five well-defined chapters to present a comprehensive understanding of the research problem, methodology, findings, and implications:</w:t>
      </w:r>
    </w:p>
    <w:p w14:paraId="304081E1" w14:textId="77777777" w:rsidR="000D701E" w:rsidRPr="00952CD4" w:rsidRDefault="000D701E" w:rsidP="00EF0802">
      <w:pPr>
        <w:spacing w:line="360" w:lineRule="auto"/>
        <w:jc w:val="both"/>
        <w:rPr>
          <w:rFonts w:ascii="Times New Roman" w:hAnsi="Times New Roman" w:cs="Times New Roman"/>
          <w:b/>
          <w:bCs/>
        </w:rPr>
      </w:pPr>
      <w:r w:rsidRPr="00952CD4">
        <w:rPr>
          <w:rFonts w:ascii="Times New Roman" w:hAnsi="Times New Roman" w:cs="Times New Roman"/>
          <w:b/>
          <w:bCs/>
        </w:rPr>
        <w:t>Chapter 1: Introduction</w:t>
      </w:r>
    </w:p>
    <w:p w14:paraId="35C360B7" w14:textId="77777777"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This chapter outlines the foundation of the study. It includes the general introduction, background of the study, operational definitions, statement of the problem, rationale, objectives, hypotheses, research questions, significance, scope and delimitations, and the organizational framework of the thesis.</w:t>
      </w:r>
    </w:p>
    <w:p w14:paraId="23622D5D" w14:textId="77777777" w:rsidR="000D701E" w:rsidRPr="00952CD4" w:rsidRDefault="000D701E" w:rsidP="00EF0802">
      <w:pPr>
        <w:spacing w:line="360" w:lineRule="auto"/>
        <w:jc w:val="both"/>
        <w:rPr>
          <w:rFonts w:ascii="Times New Roman" w:hAnsi="Times New Roman" w:cs="Times New Roman"/>
          <w:b/>
          <w:bCs/>
        </w:rPr>
      </w:pPr>
      <w:r w:rsidRPr="00952CD4">
        <w:rPr>
          <w:rFonts w:ascii="Times New Roman" w:hAnsi="Times New Roman" w:cs="Times New Roman"/>
          <w:b/>
          <w:bCs/>
        </w:rPr>
        <w:t>Chapter 2: Review of Literature</w:t>
      </w:r>
    </w:p>
    <w:p w14:paraId="08731D4F" w14:textId="77777777"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This chapter presents an extensive review of theoretical and empirical literature related to thyroid dysfunction and hypertension in pregnancy. It includes studies on awareness levels, lifestyle interventions, and maternal health outcomes. The chapter identifies research gaps and conceptualizes the study’s framework.</w:t>
      </w:r>
    </w:p>
    <w:p w14:paraId="43380EFB" w14:textId="77777777" w:rsidR="000D701E" w:rsidRPr="00952CD4" w:rsidRDefault="000D701E" w:rsidP="00EF0802">
      <w:pPr>
        <w:spacing w:line="360" w:lineRule="auto"/>
        <w:jc w:val="both"/>
        <w:rPr>
          <w:rFonts w:ascii="Times New Roman" w:hAnsi="Times New Roman" w:cs="Times New Roman"/>
          <w:b/>
          <w:bCs/>
        </w:rPr>
      </w:pPr>
      <w:r w:rsidRPr="00952CD4">
        <w:rPr>
          <w:rFonts w:ascii="Times New Roman" w:hAnsi="Times New Roman" w:cs="Times New Roman"/>
          <w:b/>
          <w:bCs/>
        </w:rPr>
        <w:t>Chapter 3: Research Methodology</w:t>
      </w:r>
    </w:p>
    <w:p w14:paraId="58A37E43" w14:textId="77777777" w:rsidR="000D701E" w:rsidRDefault="000D701E" w:rsidP="00EF0802">
      <w:pPr>
        <w:spacing w:line="360" w:lineRule="auto"/>
        <w:jc w:val="both"/>
        <w:rPr>
          <w:rFonts w:ascii="Times New Roman" w:hAnsi="Times New Roman" w:cs="Times New Roman"/>
        </w:rPr>
      </w:pPr>
      <w:r w:rsidRPr="00952CD4">
        <w:rPr>
          <w:rFonts w:ascii="Times New Roman" w:hAnsi="Times New Roman" w:cs="Times New Roman"/>
        </w:rPr>
        <w:t>This chapter details the research design, setting, sampling methods, tools used for data collection, validity and reliability procedures, ethical considerations, and statistical techniques applied for data analysis. It explains how the intervention was implemented and how its effectiveness was measured.</w:t>
      </w:r>
    </w:p>
    <w:p w14:paraId="6A836A37" w14:textId="77777777" w:rsidR="005E429F" w:rsidRPr="00952CD4" w:rsidRDefault="005E429F" w:rsidP="00EF0802">
      <w:pPr>
        <w:spacing w:line="360" w:lineRule="auto"/>
        <w:jc w:val="both"/>
        <w:rPr>
          <w:rFonts w:ascii="Times New Roman" w:hAnsi="Times New Roman" w:cs="Times New Roman"/>
        </w:rPr>
      </w:pPr>
    </w:p>
    <w:p w14:paraId="132FAA55" w14:textId="77777777" w:rsidR="000D701E" w:rsidRPr="00952CD4" w:rsidRDefault="000D701E" w:rsidP="00EF0802">
      <w:pPr>
        <w:spacing w:line="360" w:lineRule="auto"/>
        <w:jc w:val="both"/>
        <w:rPr>
          <w:rFonts w:ascii="Times New Roman" w:hAnsi="Times New Roman" w:cs="Times New Roman"/>
          <w:b/>
          <w:bCs/>
        </w:rPr>
      </w:pPr>
      <w:r w:rsidRPr="00952CD4">
        <w:rPr>
          <w:rFonts w:ascii="Times New Roman" w:hAnsi="Times New Roman" w:cs="Times New Roman"/>
          <w:b/>
          <w:bCs/>
        </w:rPr>
        <w:lastRenderedPageBreak/>
        <w:t>Chapter 4: Results and Discussion</w:t>
      </w:r>
    </w:p>
    <w:p w14:paraId="78B3426B" w14:textId="5207154F" w:rsidR="00952CD4"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This chapter presents the results of data analysis with relevant tables and figures. It includes demographic findings, awareness levels, clinical outcomes, and the impact of lifestyle modification. The discussion section interprets the findings in light of existing literature and research questions.</w:t>
      </w:r>
    </w:p>
    <w:p w14:paraId="51C3F4C6" w14:textId="77777777" w:rsidR="000D701E" w:rsidRPr="00952CD4" w:rsidRDefault="000D701E" w:rsidP="00EF0802">
      <w:pPr>
        <w:spacing w:line="360" w:lineRule="auto"/>
        <w:jc w:val="both"/>
        <w:rPr>
          <w:rFonts w:ascii="Times New Roman" w:hAnsi="Times New Roman" w:cs="Times New Roman"/>
          <w:b/>
          <w:bCs/>
        </w:rPr>
      </w:pPr>
      <w:r w:rsidRPr="00952CD4">
        <w:rPr>
          <w:rFonts w:ascii="Times New Roman" w:hAnsi="Times New Roman" w:cs="Times New Roman"/>
          <w:b/>
          <w:bCs/>
        </w:rPr>
        <w:t>Chapter 5: Summary, Conclusion, and Recommendations</w:t>
      </w:r>
    </w:p>
    <w:p w14:paraId="65921EE7" w14:textId="77777777" w:rsidR="000D701E" w:rsidRPr="00952CD4" w:rsidRDefault="000D701E" w:rsidP="00EF0802">
      <w:pPr>
        <w:spacing w:line="360" w:lineRule="auto"/>
        <w:jc w:val="both"/>
        <w:rPr>
          <w:rFonts w:ascii="Times New Roman" w:hAnsi="Times New Roman" w:cs="Times New Roman"/>
        </w:rPr>
      </w:pPr>
      <w:r w:rsidRPr="00952CD4">
        <w:rPr>
          <w:rFonts w:ascii="Times New Roman" w:hAnsi="Times New Roman" w:cs="Times New Roman"/>
        </w:rPr>
        <w:t>This final chapter summarizes the entire study, highlights key findings, draws conclusions, and suggests practical recommendations for health educators, policymakers, and healthcare providers. It also outlines directions for future research.</w:t>
      </w:r>
    </w:p>
    <w:p w14:paraId="7BAAD32E" w14:textId="035B525E" w:rsidR="000D701E" w:rsidRPr="00952CD4" w:rsidRDefault="000D701E" w:rsidP="00EF0802">
      <w:pPr>
        <w:spacing w:line="360" w:lineRule="auto"/>
        <w:jc w:val="both"/>
        <w:rPr>
          <w:rFonts w:ascii="Times New Roman" w:hAnsi="Times New Roman" w:cs="Times New Roman"/>
        </w:rPr>
      </w:pPr>
    </w:p>
    <w:p w14:paraId="52B12210" w14:textId="77777777" w:rsidR="00087C6B" w:rsidRDefault="00087C6B" w:rsidP="00EF0802">
      <w:pPr>
        <w:pStyle w:val="ListParagraph"/>
        <w:spacing w:line="360" w:lineRule="auto"/>
        <w:ind w:left="360"/>
        <w:jc w:val="center"/>
        <w:rPr>
          <w:rFonts w:ascii="Times New Roman" w:eastAsia="Arial" w:hAnsi="Times New Roman" w:cs="Times New Roman"/>
          <w:b/>
          <w:bCs/>
          <w:lang w:eastAsia="en-GB"/>
        </w:rPr>
      </w:pPr>
    </w:p>
    <w:p w14:paraId="451A8320" w14:textId="77777777" w:rsidR="00087C6B" w:rsidRDefault="00087C6B" w:rsidP="00EF0802">
      <w:pPr>
        <w:pStyle w:val="ListParagraph"/>
        <w:spacing w:line="360" w:lineRule="auto"/>
        <w:ind w:left="360"/>
        <w:jc w:val="center"/>
        <w:rPr>
          <w:rFonts w:ascii="Times New Roman" w:eastAsia="Arial" w:hAnsi="Times New Roman" w:cs="Times New Roman"/>
          <w:b/>
          <w:bCs/>
          <w:lang w:eastAsia="en-GB"/>
        </w:rPr>
      </w:pPr>
    </w:p>
    <w:p w14:paraId="1DB353C1" w14:textId="77777777" w:rsidR="00087C6B" w:rsidRDefault="00087C6B" w:rsidP="00EF0802">
      <w:pPr>
        <w:pStyle w:val="ListParagraph"/>
        <w:spacing w:line="360" w:lineRule="auto"/>
        <w:ind w:left="360"/>
        <w:jc w:val="center"/>
        <w:rPr>
          <w:rFonts w:ascii="Times New Roman" w:eastAsia="Arial" w:hAnsi="Times New Roman" w:cs="Times New Roman"/>
          <w:b/>
          <w:bCs/>
          <w:lang w:eastAsia="en-GB"/>
        </w:rPr>
      </w:pPr>
    </w:p>
    <w:p w14:paraId="4B81CE6C" w14:textId="77777777" w:rsidR="00087C6B" w:rsidRDefault="00087C6B" w:rsidP="00EF0802">
      <w:pPr>
        <w:pStyle w:val="ListParagraph"/>
        <w:spacing w:line="360" w:lineRule="auto"/>
        <w:ind w:left="360"/>
        <w:jc w:val="center"/>
        <w:rPr>
          <w:rFonts w:ascii="Times New Roman" w:eastAsia="Arial" w:hAnsi="Times New Roman" w:cs="Times New Roman"/>
          <w:b/>
          <w:bCs/>
          <w:lang w:eastAsia="en-GB"/>
        </w:rPr>
      </w:pPr>
    </w:p>
    <w:p w14:paraId="6C86B493" w14:textId="77777777" w:rsidR="00087C6B" w:rsidRDefault="00087C6B" w:rsidP="00EF0802">
      <w:pPr>
        <w:spacing w:line="360" w:lineRule="auto"/>
        <w:rPr>
          <w:rFonts w:ascii="Times New Roman" w:eastAsia="Arial" w:hAnsi="Times New Roman" w:cs="Times New Roman"/>
          <w:b/>
          <w:bCs/>
          <w:lang w:eastAsia="en-GB"/>
        </w:rPr>
      </w:pPr>
    </w:p>
    <w:p w14:paraId="16616369" w14:textId="77777777" w:rsidR="00452A1D" w:rsidRPr="00452A1D" w:rsidRDefault="00452A1D" w:rsidP="00EF0802">
      <w:pPr>
        <w:spacing w:line="360" w:lineRule="auto"/>
        <w:rPr>
          <w:rFonts w:ascii="Times New Roman" w:eastAsia="Arial" w:hAnsi="Times New Roman" w:cs="Times New Roman"/>
          <w:b/>
          <w:bCs/>
          <w:lang w:eastAsia="en-GB"/>
        </w:rPr>
      </w:pPr>
    </w:p>
    <w:p w14:paraId="1E6F4C68" w14:textId="77777777" w:rsidR="00087C6B" w:rsidRDefault="00087C6B" w:rsidP="00EF0802">
      <w:pPr>
        <w:pStyle w:val="ListParagraph"/>
        <w:spacing w:line="360" w:lineRule="auto"/>
        <w:ind w:left="360"/>
        <w:jc w:val="center"/>
        <w:rPr>
          <w:rFonts w:ascii="Times New Roman" w:eastAsia="Arial" w:hAnsi="Times New Roman" w:cs="Times New Roman"/>
          <w:b/>
          <w:bCs/>
          <w:lang w:eastAsia="en-GB"/>
        </w:rPr>
      </w:pPr>
    </w:p>
    <w:p w14:paraId="7B52FDFF" w14:textId="77777777" w:rsidR="00087C6B" w:rsidRDefault="00087C6B" w:rsidP="00EF0802">
      <w:pPr>
        <w:pStyle w:val="ListParagraph"/>
        <w:spacing w:line="360" w:lineRule="auto"/>
        <w:ind w:left="360"/>
        <w:jc w:val="center"/>
        <w:rPr>
          <w:rFonts w:ascii="Times New Roman" w:eastAsia="Arial" w:hAnsi="Times New Roman" w:cs="Times New Roman"/>
          <w:b/>
          <w:bCs/>
          <w:lang w:eastAsia="en-GB"/>
        </w:rPr>
      </w:pPr>
    </w:p>
    <w:p w14:paraId="6FF401FF" w14:textId="77777777" w:rsidR="00EF0802" w:rsidRDefault="00EF0802" w:rsidP="00EF0802">
      <w:pPr>
        <w:pStyle w:val="ListParagraph"/>
        <w:spacing w:line="360" w:lineRule="auto"/>
        <w:ind w:left="360"/>
        <w:jc w:val="center"/>
        <w:rPr>
          <w:rFonts w:ascii="Times New Roman" w:eastAsia="Arial" w:hAnsi="Times New Roman" w:cs="Times New Roman"/>
          <w:b/>
          <w:bCs/>
          <w:sz w:val="28"/>
          <w:szCs w:val="28"/>
          <w:lang w:eastAsia="en-GB"/>
        </w:rPr>
      </w:pPr>
    </w:p>
    <w:p w14:paraId="5C776664" w14:textId="77777777" w:rsidR="00EF0802" w:rsidRDefault="00EF0802" w:rsidP="00EF0802">
      <w:pPr>
        <w:pStyle w:val="ListParagraph"/>
        <w:spacing w:line="360" w:lineRule="auto"/>
        <w:ind w:left="360"/>
        <w:jc w:val="center"/>
        <w:rPr>
          <w:rFonts w:ascii="Times New Roman" w:eastAsia="Arial" w:hAnsi="Times New Roman" w:cs="Times New Roman"/>
          <w:b/>
          <w:bCs/>
          <w:sz w:val="28"/>
          <w:szCs w:val="28"/>
          <w:lang w:eastAsia="en-GB"/>
        </w:rPr>
      </w:pPr>
    </w:p>
    <w:p w14:paraId="73B5AC9D" w14:textId="77777777" w:rsidR="00EF0802" w:rsidRDefault="00EF0802" w:rsidP="00EF0802">
      <w:pPr>
        <w:pStyle w:val="ListParagraph"/>
        <w:spacing w:line="360" w:lineRule="auto"/>
        <w:ind w:left="360"/>
        <w:jc w:val="center"/>
        <w:rPr>
          <w:rFonts w:ascii="Times New Roman" w:eastAsia="Arial" w:hAnsi="Times New Roman" w:cs="Times New Roman"/>
          <w:b/>
          <w:bCs/>
          <w:sz w:val="28"/>
          <w:szCs w:val="28"/>
          <w:lang w:eastAsia="en-GB"/>
        </w:rPr>
      </w:pPr>
    </w:p>
    <w:p w14:paraId="2E5EAB6E" w14:textId="77777777" w:rsidR="00EF0802" w:rsidRDefault="00EF0802" w:rsidP="00EF0802">
      <w:pPr>
        <w:pStyle w:val="ListParagraph"/>
        <w:spacing w:line="360" w:lineRule="auto"/>
        <w:ind w:left="360"/>
        <w:jc w:val="center"/>
        <w:rPr>
          <w:rFonts w:ascii="Times New Roman" w:eastAsia="Arial" w:hAnsi="Times New Roman" w:cs="Times New Roman"/>
          <w:b/>
          <w:bCs/>
          <w:sz w:val="28"/>
          <w:szCs w:val="28"/>
          <w:lang w:eastAsia="en-GB"/>
        </w:rPr>
      </w:pPr>
    </w:p>
    <w:p w14:paraId="2E446DD5" w14:textId="77777777" w:rsidR="00EF0802" w:rsidRDefault="00EF0802" w:rsidP="00EF0802">
      <w:pPr>
        <w:pStyle w:val="ListParagraph"/>
        <w:spacing w:line="360" w:lineRule="auto"/>
        <w:ind w:left="360"/>
        <w:jc w:val="center"/>
        <w:rPr>
          <w:rFonts w:ascii="Times New Roman" w:eastAsia="Arial" w:hAnsi="Times New Roman" w:cs="Times New Roman"/>
          <w:b/>
          <w:bCs/>
          <w:sz w:val="28"/>
          <w:szCs w:val="28"/>
          <w:lang w:eastAsia="en-GB"/>
        </w:rPr>
      </w:pPr>
    </w:p>
    <w:p w14:paraId="46CCF56D" w14:textId="77777777" w:rsidR="00EF0802" w:rsidRDefault="00EF0802" w:rsidP="00EF0802">
      <w:pPr>
        <w:pStyle w:val="ListParagraph"/>
        <w:spacing w:line="360" w:lineRule="auto"/>
        <w:ind w:left="360"/>
        <w:jc w:val="center"/>
        <w:rPr>
          <w:rFonts w:ascii="Times New Roman" w:eastAsia="Arial" w:hAnsi="Times New Roman" w:cs="Times New Roman"/>
          <w:b/>
          <w:bCs/>
          <w:sz w:val="28"/>
          <w:szCs w:val="28"/>
          <w:lang w:eastAsia="en-GB"/>
        </w:rPr>
      </w:pPr>
    </w:p>
    <w:p w14:paraId="7F6618E3" w14:textId="77777777" w:rsidR="00EF0802" w:rsidRDefault="00EF0802" w:rsidP="00EF0802">
      <w:pPr>
        <w:pStyle w:val="ListParagraph"/>
        <w:spacing w:line="360" w:lineRule="auto"/>
        <w:ind w:left="360"/>
        <w:jc w:val="center"/>
        <w:rPr>
          <w:rFonts w:ascii="Times New Roman" w:eastAsia="Arial" w:hAnsi="Times New Roman" w:cs="Times New Roman"/>
          <w:b/>
          <w:bCs/>
          <w:sz w:val="28"/>
          <w:szCs w:val="28"/>
          <w:lang w:eastAsia="en-GB"/>
        </w:rPr>
      </w:pPr>
    </w:p>
    <w:p w14:paraId="45717555" w14:textId="77777777" w:rsidR="00EF0802" w:rsidRDefault="00EF0802" w:rsidP="00EF0802">
      <w:pPr>
        <w:pStyle w:val="ListParagraph"/>
        <w:spacing w:line="360" w:lineRule="auto"/>
        <w:ind w:left="360"/>
        <w:jc w:val="center"/>
        <w:rPr>
          <w:rFonts w:ascii="Times New Roman" w:eastAsia="Arial" w:hAnsi="Times New Roman" w:cs="Times New Roman"/>
          <w:b/>
          <w:bCs/>
          <w:sz w:val="28"/>
          <w:szCs w:val="28"/>
          <w:lang w:eastAsia="en-GB"/>
        </w:rPr>
      </w:pPr>
    </w:p>
    <w:p w14:paraId="54A39A36" w14:textId="77777777" w:rsidR="00EF0802" w:rsidRDefault="00EF0802" w:rsidP="00EF0802">
      <w:pPr>
        <w:pStyle w:val="ListParagraph"/>
        <w:spacing w:line="360" w:lineRule="auto"/>
        <w:ind w:left="360"/>
        <w:jc w:val="center"/>
        <w:rPr>
          <w:rFonts w:ascii="Times New Roman" w:eastAsia="Arial" w:hAnsi="Times New Roman" w:cs="Times New Roman"/>
          <w:b/>
          <w:bCs/>
          <w:sz w:val="28"/>
          <w:szCs w:val="28"/>
          <w:lang w:eastAsia="en-GB"/>
        </w:rPr>
      </w:pPr>
    </w:p>
    <w:p w14:paraId="34014A82" w14:textId="77777777" w:rsidR="00EF0802" w:rsidRDefault="00EF0802" w:rsidP="00EF0802">
      <w:pPr>
        <w:pStyle w:val="ListParagraph"/>
        <w:spacing w:line="360" w:lineRule="auto"/>
        <w:ind w:left="360"/>
        <w:jc w:val="center"/>
        <w:rPr>
          <w:rFonts w:ascii="Times New Roman" w:eastAsia="Arial" w:hAnsi="Times New Roman" w:cs="Times New Roman"/>
          <w:b/>
          <w:bCs/>
          <w:sz w:val="28"/>
          <w:szCs w:val="28"/>
          <w:lang w:eastAsia="en-GB"/>
        </w:rPr>
      </w:pPr>
    </w:p>
    <w:p w14:paraId="4050C183" w14:textId="77777777" w:rsidR="00EF0802" w:rsidRDefault="00EF0802" w:rsidP="00EF0802">
      <w:pPr>
        <w:pStyle w:val="ListParagraph"/>
        <w:spacing w:line="360" w:lineRule="auto"/>
        <w:ind w:left="360"/>
        <w:jc w:val="center"/>
        <w:rPr>
          <w:rFonts w:ascii="Times New Roman" w:eastAsia="Arial" w:hAnsi="Times New Roman" w:cs="Times New Roman"/>
          <w:b/>
          <w:bCs/>
          <w:sz w:val="28"/>
          <w:szCs w:val="28"/>
          <w:lang w:eastAsia="en-GB"/>
        </w:rPr>
      </w:pPr>
    </w:p>
    <w:p w14:paraId="3199349D" w14:textId="1A2F6A3E" w:rsidR="00952CD4" w:rsidRPr="00D81433" w:rsidRDefault="00952CD4" w:rsidP="00EF0802">
      <w:pPr>
        <w:pStyle w:val="ListParagraph"/>
        <w:spacing w:line="360" w:lineRule="auto"/>
        <w:ind w:left="360"/>
        <w:jc w:val="center"/>
        <w:rPr>
          <w:rFonts w:ascii="Times New Roman" w:eastAsia="Arial" w:hAnsi="Times New Roman" w:cs="Times New Roman"/>
          <w:b/>
          <w:bCs/>
          <w:sz w:val="28"/>
          <w:szCs w:val="28"/>
          <w:lang w:eastAsia="en-GB"/>
        </w:rPr>
      </w:pPr>
      <w:r w:rsidRPr="00D81433">
        <w:rPr>
          <w:rFonts w:ascii="Times New Roman" w:eastAsia="Arial" w:hAnsi="Times New Roman" w:cs="Times New Roman"/>
          <w:b/>
          <w:bCs/>
          <w:sz w:val="28"/>
          <w:szCs w:val="28"/>
          <w:lang w:eastAsia="en-GB"/>
        </w:rPr>
        <w:lastRenderedPageBreak/>
        <w:t>Chapter 2</w:t>
      </w:r>
    </w:p>
    <w:p w14:paraId="30AA7210" w14:textId="119238C9" w:rsidR="00952CD4" w:rsidRPr="00D81433" w:rsidRDefault="00952CD4" w:rsidP="00EF0802">
      <w:pPr>
        <w:pStyle w:val="ListParagraph"/>
        <w:spacing w:line="360" w:lineRule="auto"/>
        <w:ind w:left="360"/>
        <w:jc w:val="center"/>
        <w:rPr>
          <w:rFonts w:ascii="Times New Roman" w:eastAsia="Arial" w:hAnsi="Times New Roman" w:cs="Times New Roman"/>
          <w:b/>
          <w:bCs/>
          <w:sz w:val="28"/>
          <w:szCs w:val="28"/>
          <w:lang w:eastAsia="en-GB"/>
        </w:rPr>
      </w:pPr>
      <w:r w:rsidRPr="00D81433">
        <w:rPr>
          <w:rFonts w:ascii="Times New Roman" w:eastAsia="Arial" w:hAnsi="Times New Roman" w:cs="Times New Roman"/>
          <w:b/>
          <w:bCs/>
          <w:sz w:val="28"/>
          <w:szCs w:val="28"/>
          <w:lang w:eastAsia="en-GB"/>
        </w:rPr>
        <w:t>Literature Review</w:t>
      </w:r>
    </w:p>
    <w:p w14:paraId="325984D4" w14:textId="77777777" w:rsidR="00952CD4" w:rsidRPr="00952CD4" w:rsidRDefault="00952CD4" w:rsidP="00EF0802">
      <w:pPr>
        <w:pStyle w:val="ListParagraph"/>
        <w:spacing w:line="360" w:lineRule="auto"/>
        <w:ind w:left="360"/>
        <w:jc w:val="both"/>
        <w:rPr>
          <w:rFonts w:ascii="Times New Roman" w:eastAsia="Arial" w:hAnsi="Times New Roman" w:cs="Times New Roman"/>
          <w:b/>
          <w:bCs/>
          <w:lang w:eastAsia="en-GB"/>
        </w:rPr>
      </w:pPr>
    </w:p>
    <w:p w14:paraId="15E6ADDA" w14:textId="5D842A59" w:rsidR="00952CD4" w:rsidRPr="00952CD4" w:rsidRDefault="00952CD4" w:rsidP="00EF0802">
      <w:pPr>
        <w:spacing w:line="360" w:lineRule="auto"/>
        <w:jc w:val="both"/>
        <w:rPr>
          <w:rFonts w:ascii="Times New Roman" w:eastAsia="Arial" w:hAnsi="Times New Roman" w:cs="Times New Roman"/>
          <w:b/>
          <w:bCs/>
          <w:lang w:eastAsia="en-GB"/>
        </w:rPr>
      </w:pPr>
      <w:r w:rsidRPr="00952CD4">
        <w:rPr>
          <w:rFonts w:ascii="Times New Roman" w:eastAsia="Arial" w:hAnsi="Times New Roman" w:cs="Times New Roman"/>
          <w:b/>
          <w:bCs/>
          <w:lang w:eastAsia="en-GB"/>
        </w:rPr>
        <w:t>2.1 Introduction</w:t>
      </w:r>
    </w:p>
    <w:p w14:paraId="42D53C9E" w14:textId="01E9BF6A" w:rsidR="00952CD4" w:rsidRPr="00952CD4" w:rsidRDefault="00952CD4" w:rsidP="00EF0802">
      <w:pPr>
        <w:spacing w:line="360" w:lineRule="auto"/>
        <w:jc w:val="both"/>
        <w:rPr>
          <w:rFonts w:ascii="Times New Roman" w:hAnsi="Times New Roman" w:cs="Times New Roman"/>
        </w:rPr>
      </w:pPr>
      <w:r w:rsidRPr="00952CD4">
        <w:rPr>
          <w:rFonts w:ascii="Times New Roman" w:hAnsi="Times New Roman" w:cs="Times New Roman"/>
        </w:rPr>
        <w:t xml:space="preserve">Maternal health during pregnancy is a critical determinant of both immediate and long-term outcomes for mothers and their offspring. Pregnancy introduces profound physiological and hormonal transformations that, while essential for </w:t>
      </w:r>
      <w:proofErr w:type="spellStart"/>
      <w:r w:rsidRPr="00952CD4">
        <w:rPr>
          <w:rFonts w:ascii="Times New Roman" w:hAnsi="Times New Roman" w:cs="Times New Roman"/>
        </w:rPr>
        <w:t>fetal</w:t>
      </w:r>
      <w:proofErr w:type="spellEnd"/>
      <w:r w:rsidRPr="00952CD4">
        <w:rPr>
          <w:rFonts w:ascii="Times New Roman" w:hAnsi="Times New Roman" w:cs="Times New Roman"/>
        </w:rPr>
        <w:t xml:space="preserve"> development, also elevate a woman's vulnerability to various health complications</w:t>
      </w:r>
      <w:r w:rsidR="002352DE">
        <w:rPr>
          <w:rFonts w:ascii="Times New Roman" w:hAnsi="Times New Roman" w:cs="Times New Roman"/>
        </w:rPr>
        <w:t xml:space="preserve"> </w:t>
      </w:r>
      <w:r w:rsidR="002352DE">
        <w:rPr>
          <w:rFonts w:ascii="Times New Roman" w:hAnsi="Times New Roman" w:cs="Times New Roman"/>
        </w:rPr>
        <w:fldChar w:fldCharType="begin" w:fldLock="1"/>
      </w:r>
      <w:r w:rsidR="002352DE">
        <w:rPr>
          <w:rFonts w:ascii="Times New Roman" w:hAnsi="Times New Roman" w:cs="Times New Roman"/>
        </w:rPr>
        <w:instrText>ADDIN CSL_CITATION {"citationItems":[{"id":"ITEM-1","itemData":{"DOI":"10.1177/1357633X14541039","ISSN":"17581109","PMID":"24958355","abstract":"We conducted a feasibility study of a telehealth intervention (an electronic pill box) and an m-health intervention (an app on a smartphone) for improving medication adherence in older adults with heart failure. A secondary aim was to compare patient acceptance of the devices. The participants were 60 adults with HF (65% male). Their average age was 69 years and 83% were Caucasian. Patients were randomized using a 2×2 design to one of four groups: pillbox silent, pillbox reminding, smartphone silent, smartphone reminding.We examined adherence to 4 medications over 28 days. The overall adherence rate was 78% (SD 35). People with the telehealth device adhered 80% of the time and people with the smartphone adhered 76% of the time. Those who received reminders adhered 79% of the time, and those with passive medication reminder devices adhered 78% of the time, i.e. reminding did not improve adherence. Patients preferred the m-health approach. Future interventions may need to address other contributors to poor adherence such as motivation.","author":[{"dropping-particle":"","family":"Goldstein","given":"Carly M.","non-dropping-particle":"","parse-names":false,"suffix":""},{"dropping-particle":"","family":"Gathright","given":"Emily C.","non-dropping-particle":"","parse-names":false,"suffix":""},{"dropping-particle":"","family":"Dolansky","given":"Mary A.","non-dropping-particle":"","parse-names":false,"suffix":""},{"dropping-particle":"","family":"Gunstad","given":"John","non-dropping-particle":"","parse-names":false,"suffix":""},{"dropping-particle":"","family":"Sterns","given":"Anthony","non-dropping-particle":"","parse-names":false,"suffix":""},{"dropping-particle":"","family":"Redle","given":"Joseph D.","non-dropping-particle":"","parse-names":false,"suffix":""},{"dropping-particle":"","family":"Josephson","given":"Richard","non-dropping-particle":"","parse-names":false,"suffix":""},{"dropping-particle":"","family":"Hughes","given":"Joel W.","non-dropping-particle":"","parse-names":false,"suffix":""}],"container-title":"Journal of Telemedicine and Telecare","id":"ITEM-1","issue":"6","issued":{"date-parts":[["2014"]]},"page":"293-299","title":"Randomized controlled feasibility trial of two telemedicine medication reminder systems for older adults with heart failure","type":"article-journal","volume":"20"},"uris":["http://www.mendeley.com/documents/?uuid=f43fe705-e31d-4a24-bf8a-e47c98c75275"]},{"id":"ITEM-2","itemData":{"DOI":"10.1161/HYPERTENSIONAHA.115.05773","ISSN":"15244563","PMID":"26123682","abstract":"Alcohol has been consistently demonstrated to elevate blood pressure (BP) in intervention studies in men. There are uncertainties, however, as to the nature of the relationship in women. We, therefore, determined in healthy premenopausal women the dose-dependent effects of alcohol on ambulatory BP. Twenty-four participants aged 25 to 49 years, with a mean alcohol intake of 202±94 g alcohol/wk and mean 24-hour systolic and diastolic BP of 110.2±8.9/68.9±5.7 mm Hg, were randomized to a 3-period cross-over study. Each evening they consumed higher volume red wine (lower level drinkers, 146 g alcohol/wk; higher level drinkers, 218 g alcohol/wk), lower volume red wine (lower level drinkers, 42 g alcohol/wk; higher level drinkers, 73 g alcohol/wk), or dealcoholized red wine, each for a period of 4 weeks. Higher volume red wine significantly increased 24 hours systolic and diastolic BP relative to dealcoholized red wine (by 2.0±0.6/1.2±0.4 mm Hg; P=0.001 and P=0.028, respectively). There were similar changes for higher volume red wine relative to lower volume red wine (by 1.6±0.6/1.4±0.4 mm Hg; P=0.014 and P=0.005, respectively). These effects were predominantly on awake rather than asleep BP. There was no significant difference in BP between lower volume red wine and dealcoholized red wine. We conclude that in healthy premenopausal women regular consumption of alcohol as 200 to 300 mL red wine/d (146-218 g alcohol/wk) elevates 24 hours systolic and diastolic BP. The magnitude of the increase in BP is similar to that previously reported in intervention studies in men.","author":[{"dropping-particle":"","family":"Mori","given":"Trevor A.","non-dropping-particle":"","parse-names":false,"suffix":""},{"dropping-particle":"","family":"Burke","given":"Valerie","non-dropping-particle":"","parse-names":false,"suffix":""},{"dropping-particle":"","family":"Beilin","given":"Lawrence J.","non-dropping-particle":"","parse-names":false,"suffix":""},{"dropping-particle":"","family":"Puddey","given":"Ian B.","non-dropping-particle":"","parse-names":false,"suffix":""}],"container-title":"Hypertension","id":"ITEM-2","issue":"3","issued":{"date-parts":[["2015"]]},"page":"517-523","title":"Randomized Controlled Intervention of the Effects of Alcohol on Blood Pressure in Premenopausal Women","type":"article-journal","volume":"66"},"uris":["http://www.mendeley.com/documents/?uuid=4491b5f6-66de-4b56-bd75-6270d04699c3"]}],"mendeley":{"formattedCitation":"(Goldstein et al., 2014; Mori et al., 2015)","plainTextFormattedCitation":"(Goldstein et al., 2014; Mori et al., 2015)","previouslyFormattedCitation":"(Goldstein et al., 2014; Mori et al., 2015)"},"properties":{"noteIndex":0},"schema":"https://github.com/citation-style-language/schema/raw/master/csl-citation.json"}</w:instrText>
      </w:r>
      <w:r w:rsidR="002352DE">
        <w:rPr>
          <w:rFonts w:ascii="Times New Roman" w:hAnsi="Times New Roman" w:cs="Times New Roman"/>
        </w:rPr>
        <w:fldChar w:fldCharType="separate"/>
      </w:r>
      <w:r w:rsidR="002352DE" w:rsidRPr="002352DE">
        <w:rPr>
          <w:rFonts w:ascii="Times New Roman" w:hAnsi="Times New Roman" w:cs="Times New Roman"/>
          <w:noProof/>
        </w:rPr>
        <w:t>(Goldstein et al., 2014; Mori et al., 2015)</w:t>
      </w:r>
      <w:r w:rsidR="002352DE">
        <w:rPr>
          <w:rFonts w:ascii="Times New Roman" w:hAnsi="Times New Roman" w:cs="Times New Roman"/>
        </w:rPr>
        <w:fldChar w:fldCharType="end"/>
      </w:r>
      <w:r w:rsidRPr="00952CD4">
        <w:rPr>
          <w:rFonts w:ascii="Times New Roman" w:hAnsi="Times New Roman" w:cs="Times New Roman"/>
        </w:rPr>
        <w:t>. Among the most prevalent and clinically significant of these complications are thyroid dysfunction and hypertensive disorders, both of which contribute substantially to maternal and neonatal morbidity and mortality globally</w:t>
      </w:r>
      <w:r w:rsidR="002352DE">
        <w:rPr>
          <w:rFonts w:ascii="Times New Roman" w:hAnsi="Times New Roman" w:cs="Times New Roman"/>
        </w:rPr>
        <w:t xml:space="preserve"> </w:t>
      </w:r>
      <w:r w:rsidR="002352DE">
        <w:rPr>
          <w:rFonts w:ascii="Times New Roman" w:hAnsi="Times New Roman" w:cs="Times New Roman"/>
        </w:rPr>
        <w:fldChar w:fldCharType="begin" w:fldLock="1"/>
      </w:r>
      <w:r w:rsidR="002352DE">
        <w:rPr>
          <w:rFonts w:ascii="Times New Roman" w:hAnsi="Times New Roman" w:cs="Times New Roman"/>
        </w:rPr>
        <w:instrText>ADDIN CSL_CITATION {"citationItems":[{"id":"ITEM-1","itemData":{"DOI":"10.1371/journal.pone.0186909","ISBN":"1111111111","ISSN":"19326203","PMID":"29107968","abstract":"Background: Preeclampsia has become the world’s major maternal health problem putting a huge burden on mothers, newborns and also on the health systems. The pathogenesis of preeclampsia seems to include events in very early pregnancy affecting differentiation of placental villous trophoblast. The arising changes of the cell death spectrum from apoptosis via increased autophagy and aponecrosis to necrosis in turn induce systemic inflammation of the mother. Methods: Placental tissue samples and maternal serum samples from 40 pregnant women were collected from normal pregnancy, IUGR, early-onset and late-onset preeclampsia. Immuno-histochemistry for LC3B and Beclin-1 was quantified using systematic random sampling techniques. Serum levels of LDH and other markers were assessed in serum. Results: Expression of the autophagy markers LC3B and Beclin-1 was significantly different between groups as was the LC3B/Beclin-1 ratio. Early-onset preeclampsia and IUGR had the highest autophagy protein expression levels, while normal pregnancy and late-onset preeclampsia had the highest LC3B/Beclin-1 ratio. Early-onset preeclampsia had the highest negative correlation with free LDH as cell defect marker. Conclusions: Autophagy plays a critical role in the cell death spectrum and cellular survival capacity of villous trophoblast. Alterations in autophagic protein expression are involved in pathological pregnancies such as preeclampsia.","author":[{"dropping-particle":"","family":"Hutabarat","given":"Martina","non-dropping-particle":"","parse-names":false,"suffix":""},{"dropping-particle":"","family":"Wibowo","given":"Noroyono","non-dropping-particle":"","parse-names":false,"suffix":""},{"dropping-particle":"","family":"Huppertz","given":"Berthold","non-dropping-particle":"","parse-names":false,"suffix":""}],"container-title":"PLoS ONE","id":"ITEM-1","issue":"11","issued":{"date-parts":[["2017"]]},"page":"1-21","title":"The trophoblast survival capacity in preeclampsia","type":"article-journal","volume":"12"},"uris":["http://www.mendeley.com/documents/?uuid=c3f3b628-a2be-493d-98fb-36ea75df9706"]},{"id":"ITEM-2","itemData":{"DOI":"10.1210/jc.2015-2236","ISSN":"19457197","PMID":"26444994","abstract":"Objective: The objective of this document is to generate a practice guideline for the management and treatment of symptoms of the menopause. Participants: The Treatment of Symptoms of the Menopause Task Force included six experts, a methodologist, and a medical writer, all appointed by The Endocrine Society. Evidence: The Task Force developed this evidenced-based guideline using the Grading of Recommendations, Assessment, Development, and Evaluation (GRADE) system to describe the strength of recommendations and the quality of evidence. The Task Force commissioned three systematic reviews of published data and considered several other existing meta-analyses and trials. Consensus Process: Multiple e-mail communications, conference calls, and one face-to-face meeting determined consensus. Committees of The Endocrine Society, representatives from endorsing societies, and members of The Endocrine Society reviewed and commented on the drafts of the guidelines. The Australasian Menopause Society, the British Menopause Society, European Menopause and Andropause Society, the European Society of Endocrinology, and the International Menopause Society (co-sponsors of the guideline) reviewed and commented on the draft. Conclusions: Menopausal hormone therapy (MHT) is the most effective treatment for vasomotor symptoms and other symptoms of the climacteric. Benefits may exceed risks for the majority of symptomatic postmenopausal women who are under age 60 or under 10 years since the onset of menopause. Health care professionals should individualize therapy based on clinical factors and patient preference. They should screenwomenbefore initiatingMHTfor cardiovascular and breast cancer risk and recommend the most appropriate therapy depending on risk/benefit considerations. Current evidence does not justify the use ofMHTto prevent coronary heart disease, breast cancer, or dementia. Other options are available for those with vasomotor symptoms who prefer not to use MHT or who have contraindications because these patients should not useMHT.Low-dose vaginal estrogen and ospemifene provide effective therapy for the genitourinary syndrome of menopause, and vaginal moisturizers and lubricants are available for those not choosing hormonal therapy. All postmenopausal women should embrace appropriate lifestyle measures.","author":[{"dropping-particle":"","family":"Stuenkel","given":"Cynthia A.","non-dropping-particle":"","parse-names":false,"suffix":""},{"dropping-particle":"","family":"Davis","given":"Susan R.","non-dropping-particle":"","parse-names":false,"suffix":""},{"dropping-particle":"","family":"Gompel","given":"Anne","non-dropping-particle":"","parse-names":false,"suffix":""},{"dropping-particle":"","family":"Lumsden","given":"Mary Ann","non-dropping-particle":"","parse-names":false,"suffix":""},{"dropping-particle":"","family":"Murad","given":"M. Hassan","non-dropping-particle":"","parse-names":false,"suffix":""},{"dropping-particle":"V.","family":"Pinkerton","given":"Jo Ann","non-dropping-particle":"","parse-names":false,"suffix":""},{"dropping-particle":"","family":"Santen","given":"Richard J.","non-dropping-particle":"","parse-names":false,"suffix":""}],"container-title":"Journal of Clinical Endocrinology and Metabolism","id":"ITEM-2","issue":"11","issued":{"date-parts":[["2015"]]},"page":"3975-4011","title":"Treatment of symptoms of the menopause: An endocrine society clinical practice guideline","type":"article-journal","volume":"100"},"uris":["http://www.mendeley.com/documents/?uuid=6bbd31e5-bdfe-4bc6-908d-4d0a49c1c248"]},{"id":"ITEM-3","itemData":{"DOI":"10.1097/MD.0000000000005874","ISBN":"0000000000","ISSN":"15365964","PMID":"28079826","abstract":"The WHO recommends the use of some anthropometric parameters as a screening resource for individuals under cardiometabolic risk. However, in the validation of these indicators, Brazilian women were not included. These women have different anthropometric profile compared to women who integrated the samples of the validation studies. We aimed to verify the accuracy of anthropometric indicators as a resource for the screening of women with hypertension. A cross-sectional study, with a probability sample of 3143 women (20-49 years) from the state of Alagoas (northeast of Brazil), was carried out. Hypertension was identified by systolic blood pressure (SBP) ≥140mm Hg and/or diastolic BP ≥90 mm Hg and/or regular use of antihypertensive drugs. The anthropometric indicators analyzed were BMI, waist circumference, waist-to-hip ratio, waist-to-height ratio (WHtR), body fat percentage, and conicity index. The accuracy definition of the indicators and the identification of best cut-off points were carried out on the basis of ROC curve analysis and Youden index, respectively. The prevalence of hypertension was 21.8%. All indicators used in hypertension identification had area under the ROC curve (AUC)&gt;0.5. The WHtR with cut-off point of 0.54 was the best performance indicator (AUC=0.72; P&lt; 0.05; sensitivity=67%, specificity=66%). The WHtR with cut-off point of 0.54 has constituted the most accurate indicator in the screening of women with hypertension. In the absence of specific studies and considering the largest ethnic proximity and environmental/epidemiological similarity, the findings now obtained can be extended to women of other Brazilian states, especially those in the Northeastern region.","author":[{"dropping-particle":"","family":"Caminha","given":"Tainá C.S.","non-dropping-particle":"","parse-names":false,"suffix":""},{"dropping-particle":"","family":"Ferreira","given":"Haroldo S.","non-dropping-particle":"","parse-names":false,"suffix":""},{"dropping-particle":"","family":"Costa","given":"Narithania S.","non-dropping-particle":"","parse-names":false,"suffix":""},{"dropping-particle":"","family":"Nakano","given":"Ricardo P.","non-dropping-particle":"","parse-names":false,"suffix":""},{"dropping-particle":"","family":"Carvalho","given":"Renata Elyonara S.","non-dropping-particle":"","parse-names":false,"suffix":""},{"dropping-particle":"","family":"Xavier","given":"Antônio F.S.","non-dropping-particle":"","parse-names":false,"suffix":""},{"dropping-particle":"","family":"Assunção","given":"Monica L.","non-dropping-particle":"","parse-names":false,"suffix":""}],"container-title":"Medicine (United States)","id":"ITEM-3","issue":"2","issued":{"date-parts":[["2017"]]},"title":"Waist-to-height ratio is the best anthropometric predictor of hypertension: A population-based study with women from a state of northeast of Brazil","type":"article-journal","volume":"96"},"uris":["http://www.mendeley.com/documents/?uuid=2afca8d9-7468-4afc-bbc5-657f09a75381"]}],"mendeley":{"formattedCitation":"(Caminha et al., 2017; Hutabarat et al., 2017; Stuenkel et al., 2015)","plainTextFormattedCitation":"(Caminha et al., 2017; Hutabarat et al., 2017; Stuenkel et al., 2015)","previouslyFormattedCitation":"(Caminha et al., 2017; Hutabarat et al., 2017; Stuenkel et al., 2015)"},"properties":{"noteIndex":0},"schema":"https://github.com/citation-style-language/schema/raw/master/csl-citation.json"}</w:instrText>
      </w:r>
      <w:r w:rsidR="002352DE">
        <w:rPr>
          <w:rFonts w:ascii="Times New Roman" w:hAnsi="Times New Roman" w:cs="Times New Roman"/>
        </w:rPr>
        <w:fldChar w:fldCharType="separate"/>
      </w:r>
      <w:r w:rsidR="002352DE" w:rsidRPr="002352DE">
        <w:rPr>
          <w:rFonts w:ascii="Times New Roman" w:hAnsi="Times New Roman" w:cs="Times New Roman"/>
          <w:noProof/>
        </w:rPr>
        <w:t>(Caminha et al., 2017; Hutabarat et al., 2017; Stuenkel et al., 2015)</w:t>
      </w:r>
      <w:r w:rsidR="002352DE">
        <w:rPr>
          <w:rFonts w:ascii="Times New Roman" w:hAnsi="Times New Roman" w:cs="Times New Roman"/>
        </w:rPr>
        <w:fldChar w:fldCharType="end"/>
      </w:r>
      <w:r w:rsidRPr="00952CD4">
        <w:rPr>
          <w:rFonts w:ascii="Times New Roman" w:hAnsi="Times New Roman" w:cs="Times New Roman"/>
        </w:rPr>
        <w:t>. The World Health Organization underscores maternal health as a key indicator of a nation’s healthcare efficiency and socio-economic development, as it reflects the accessibility and quality of health services available to women during this crucial phase of life</w:t>
      </w:r>
      <w:r w:rsidR="002352DE">
        <w:rPr>
          <w:rFonts w:ascii="Times New Roman" w:hAnsi="Times New Roman" w:cs="Times New Roman"/>
        </w:rPr>
        <w:t xml:space="preserve"> </w:t>
      </w:r>
      <w:r w:rsidR="002352DE">
        <w:rPr>
          <w:rFonts w:ascii="Times New Roman" w:hAnsi="Times New Roman" w:cs="Times New Roman"/>
        </w:rPr>
        <w:fldChar w:fldCharType="begin" w:fldLock="1"/>
      </w:r>
      <w:r w:rsidR="002352DE">
        <w:rPr>
          <w:rFonts w:ascii="Times New Roman" w:hAnsi="Times New Roman" w:cs="Times New Roman"/>
        </w:rPr>
        <w:instrText>ADDIN CSL_CITATION {"citationItems":[{"id":"ITEM-1","itemData":{"DOI":"10.1161/01.HYP.0000107251.49515.c2","ISSN":"0194911X","PMID":"14656957","abstract":"The National High Blood Pressure Education Program presents the complete Seventh Report of the Joint National Committee on Prevention, Detection, Evaluation, and Treatment of High Blood Pressure. Like its predecessors, the purpose is to provide an evidence-based approach to the prevention and management of hypertension, The key messages of this report are these: in those older than age 50, systolic blood pressure (BP) of greater than 140 mm Hg is a more important cardiovascular disease (CVD) risk factor than diastolic BP; beginning at 115/75 mm Hg, CVD risk doubles for each increment of 20/10 mm Hg; those who are normotensive at 55 years of age will have a 90% lifetime risk of developing hypertension; prehypertensive individuals (systolic BP 120-139 mm Hg or diastolic BP 80-89 mm Hg) require health-promoting lifestyle modifications to prevent the progressive rise in blood pressure and CVD; for uncomplicated hypertension, thiazide diuretic should be used in drug treatment for most, either alone or combined with drugs from other classes; this report delineates specific high-risk conditions that are compelling indications for the use of other antihypertensive drug classes (angiotensin-converting enzyme inhibitors, angiotensin-receptor blockers, beta-blockers, calcium channel blockers); two or more antihypertensive medications will be required to achieve goal BP (&lt; 140/90 mm Hg, or &lt; 130/80 mm Hg) for patients with diabetes and chronic kidney disease; for patients whose BP is more than 20 mm Hg above the systolic BP goal or more than 10 mm Hg above the diastolic BP goal, initiation of therapy using two agents, one of which usually will be a thiazide diuretic, should be considered; regardless of therapy or care, hypertension will be controlled only if patients are motivated to stay on their treatment plan. Positive experiences, trust in the clinician, and empathy improve patient motivation and satisfaction. This report serves as a guide, and the committee continues to recognize that the responsible physician's judgment remains paramount.","author":[{"dropping-particle":"V.","family":"Chobanian","given":"Aram","non-dropping-particle":"","parse-names":false,"suffix":""},{"dropping-particle":"","family":"Bakris","given":"George L.","non-dropping-particle":"","parse-names":false,"suffix":""},{"dropping-particle":"","family":"Black","given":"Henry R.","non-dropping-particle":"","parse-names":false,"suffix":""},{"dropping-particle":"","family":"Cushman","given":"William C.","non-dropping-particle":"","parse-names":false,"suffix":""},{"dropping-particle":"","family":"Green","given":"Lee A.","non-dropping-particle":"","parse-names":false,"suffix":""},{"dropping-particle":"","family":"Izzo","given":"Joseph L.","non-dropping-particle":"","parse-names":false,"suffix":""},{"dropping-particle":"","family":"Jones","given":"Daniel W.","non-dropping-particle":"","parse-names":false,"suffix":""},{"dropping-particle":"","family":"Materson","given":"Barry J.","non-dropping-particle":"","parse-names":false,"suffix":""},{"dropping-particle":"","family":"Oparil","given":"Suzanne","non-dropping-particle":"","parse-names":false,"suffix":""},{"dropping-particle":"","family":"Wright","given":"Jackson T.","non-dropping-particle":"","parse-names":false,"suffix":""},{"dropping-particle":"","family":"Roccella","given":"Edward J.","non-dropping-particle":"","parse-names":false,"suffix":""}],"container-title":"Hypertension","id":"ITEM-1","issue":"6","issued":{"date-parts":[["2003"]]},"page":"1206-1252","title":"Seventh report of the Joint National Committee on Prevention, Detection, Evaluation, and Treatment of High Blood Pressure","type":"article-journal","volume":"42"},"uris":["http://www.mendeley.com/documents/?uuid=b6052733-1c41-4526-bf85-7941808565f1"]},{"id":"ITEM-2","itemData":{"DOI":"10.1016/j.canrad.2016.03.005","ISSN":"17696658","PMID":"27342944","abstract":"Purpose Management of prostate cancer relapses after external-beam radiation therapy is still undefined. Re-irradiation schedules have been explored in different tumour sites. In this report, we present our preliminary experience of re-irradiation using stereotactic body radiotherapy for localized prostate cancer failure. Material and methods Between March 2011 and October 2014, robotic stereotactic body radiation therapy was administered to patients previously treated with external-beam radiation therapy to a median dose of 71.1 Gy (range, 45–76.5 Gy) and with biochemical failure corresponding to a local in-field recurrence of prostate cancer. Ten patients had recurrences after postoperative external-beam radiotherapy. Patients underwent a pelvic MRI to confirm the recurrence and a total body staging using a (18F)-fluorocholine PET/CT. The prescription dose consisted of five fractions of 7.25 Gy to a total dose of 36.25 Gy. Efficacy was evaluated based on biochemical response and toxicity was evaluated according to CTCAE v.4.0 questionnaires and International Prostate Symptom Score. Results Twenty-one patients were treated and followed for a median time of 11.7 months (mean: 13.4 months; range: 2.5–46.5 months). Median time between the first external-beam radiation therapy of prostate cancer and the first day of CyberKnife® treatment was 111 months (range: 38–398 months). One-year biochemical recurrence-free survival rate was 83.3%, and only one in-field progression was reported. Two patients had a biochemical failure corresponding to metastatic progression without evidence of local recurrence. Treatment was well tolerated, with only one grade 2 acute genitourinary toxicity, no grade ≥ 2 acute gastrointestinal or late toxicities were reported. Conclusion Stereotactic body re-irradiation therapy using CyberKnife® after failed external-beam radiation therapy showed favourable results in terms of in-field local and biochemical control. Toxicity was low and acceptable. Further prospective studies are needed to confirm these results to select patient and to evaluate the introduction of androgen-deprivation therapy.","author":[{"dropping-particle":"","family":"Janoray","given":"G.","non-dropping-particle":"","parse-names":false,"suffix":""},{"dropping-particle":"","family":"Reynaud-Bougnoux","given":"A.","non-dropping-particle":"","parse-names":false,"suffix":""},{"dropping-particle":"","family":"Ruffier-Loubière","given":"A.","non-dropping-particle":"","parse-names":false,"suffix":""},{"dropping-particle":"","family":"Bernadou","given":"G.","non-dropping-particle":"","parse-names":false,"suffix":""},{"dropping-particle":"","family":"Pointreau","given":"Y.","non-dropping-particle":"","parse-names":false,"suffix":""},{"dropping-particle":"","family":"Calais","given":"G.","non-dropping-particle":"","parse-names":false,"suffix":""}],"container-title":"Cancer/Radiotherapie","id":"ITEM-2","issue":"4","issued":{"date-parts":[["2016"]]},"page":"275-281","publisher":"Elsevier Masson SAS","title":"Ré-irradiation stéréotaxique robotisée de récidive locale de cancer de prostate après radiothérapie externe : résultats préliminaires","type":"article-journal","volume":"20"},"uris":["http://www.mendeley.com/documents/?uuid=84f2ed0c-29af-4d48-9fdf-ae92d07aa1a6"]},{"id":"ITEM-3","itemData":{"DOI":"10.1161/HYPERTENSIONAHA.119.13006","ISSN":"15244563","PMID":"31230553","abstract":"Primary aldosteronism (PA) is the most frequent cause of secondary hypertension. Adrenal vein sampling (AVS) is an established method for finding patients with the unilateral subtype of PA, for which adrenalectomy is an applicable treatment. In this study, we analyzed a large database of patients with PA who underwent adrenal vein sampling, to investigate the sex differences in the impact of age at diagnosis on the subtype and cause of PA. In 2122 patients, women with the unilateral subtype were younger than men with the same subtype and women with the bilateral subtype. Younger age and older age were associated with unilateral PA in women and men, respectively. After stratification by tertiles of age, there was a trend of decreased and increased incidence of unilateral PA with aging in women and men, respectively. Male sex was a predictor of unilateral PA in middle-aged and older patients but not in younger patients. We also found that obesity, a known factor associated with idiopathic hyperaldosteronism, was positively associated with bilateral PA in younger patients but not in older patients. These findings suggest that the proportion of operable patients with unilateral PA differs depending on the combination of sex and age, and that other than obesity, the cause of PA is also associated with the bilateral subtype in older patients.","author":[{"dropping-particle":"","family":"Akasaka","given":"Hiroshi","non-dropping-particle":"","parse-names":false,"suffix":""},{"dropping-particle":"","family":"Yamamoto","given":"Koichi","non-dropping-particle":"","parse-names":false,"suffix":""},{"dropping-particle":"","family":"Rakugi","given":"Hiromi","non-dropping-particle":"","parse-names":false,"suffix":""},{"dropping-particle":"","family":"Nagasawa","given":"Motonori","non-dropping-particle":"","parse-names":false,"suffix":""},{"dropping-particle":"","family":"Nakamaru","given":"Ryo","non-dropping-particle":"","parse-names":false,"suffix":""},{"dropping-particle":"","family":"Ichijo","given":"Takamasa","non-dropping-particle":"","parse-names":false,"suffix":""},{"dropping-particle":"","family":"Takeda","given":"Yoshiyu","non-dropping-particle":"","parse-names":false,"suffix":""},{"dropping-particle":"","family":"Kurihara","given":"Isao","non-dropping-particle":"","parse-names":false,"suffix":""},{"dropping-particle":"","family":"Katabami","given":"Takuyuki","non-dropping-particle":"","parse-names":false,"suffix":""},{"dropping-particle":"","family":"Tsuiki","given":"Mika","non-dropping-particle":"","parse-names":false,"suffix":""},{"dropping-particle":"","family":"Wada","given":"Norio","non-dropping-particle":"","parse-names":false,"suffix":""},{"dropping-particle":"","family":"Ogawa","given":"Yoshihiro","non-dropping-particle":"","parse-names":false,"suffix":""},{"dropping-particle":"","family":"Kawashima","given":"Junji","non-dropping-particle":"","parse-names":false,"suffix":""},{"dropping-particle":"","family":"Sone","given":"Masakatsu","non-dropping-particle":"","parse-names":false,"suffix":""},{"dropping-particle":"","family":"Kamemura","given":"Kohei","non-dropping-particle":"","parse-names":false,"suffix":""},{"dropping-particle":"","family":"Yoshimoto","given":"Takanobu","non-dropping-particle":"","parse-names":false,"suffix":""},{"dropping-particle":"","family":"Matsuda","given":"Yuichi","non-dropping-particle":"","parse-names":false,"suffix":""},{"dropping-particle":"","family":"Fujita","given":"Megumi","non-dropping-particle":"","parse-names":false,"suffix":""},{"dropping-particle":"","family":"Kobayashi","given":"Hiroki","non-dropping-particle":"","parse-names":false,"suffix":""},{"dropping-particle":"","family":"Watanabe","given":"Minemori","non-dropping-particle":"","parse-names":false,"suffix":""},{"dropping-particle":"","family":"Tamura","given":"Kouichi","non-dropping-particle":"","parse-names":false,"suffix":""},{"dropping-particle":"","family":"Okamura","given":"Shintaro","non-dropping-particle":"","parse-names":false,"suffix":""},{"dropping-particle":"","family":"Miyauchi","given":"Shozo","non-dropping-particle":"","parse-names":false,"suffix":""},{"dropping-particle":"","family":"Izawa","given":"Shoichiro","non-dropping-particle":"","parse-names":false,"suffix":""},{"dropping-particle":"","family":"Chiba","given":"Yoshiro","non-dropping-particle":"","parse-names":false,"suffix":""},{"dropping-particle":"","family":"Tanabe","given":"Akiyo","non-dropping-particle":"","parse-names":false,"suffix":""},{"dropping-particle":"","family":"Naruse","given":"Mitsuhide","non-dropping-particle":"","parse-names":false,"suffix":""}],"container-title":"Hypertension","id":"ITEM-3","issue":"2","issued":{"date-parts":[["2019"]]},"page":"368-374","title":"Sex Difference in the Association between Subtype Distribution and Age at Diagnosis in Patients with Primary Aldosteronism","type":"article-journal","volume":"74"},"uris":["http://www.mendeley.com/documents/?uuid=8a212612-3cff-4713-9d08-15d67b73b516"]}],"mendeley":{"formattedCitation":"(Akasaka et al., 2019; Chobanian et al., 2003; Janoray et al., 2016)","plainTextFormattedCitation":"(Akasaka et al., 2019; Chobanian et al., 2003; Janoray et al., 2016)","previouslyFormattedCitation":"(Akasaka et al., 2019; Chobanian et al., 2003; Janoray et al., 2016)"},"properties":{"noteIndex":0},"schema":"https://github.com/citation-style-language/schema/raw/master/csl-citation.json"}</w:instrText>
      </w:r>
      <w:r w:rsidR="002352DE">
        <w:rPr>
          <w:rFonts w:ascii="Times New Roman" w:hAnsi="Times New Roman" w:cs="Times New Roman"/>
        </w:rPr>
        <w:fldChar w:fldCharType="separate"/>
      </w:r>
      <w:r w:rsidR="002352DE" w:rsidRPr="002352DE">
        <w:rPr>
          <w:rFonts w:ascii="Times New Roman" w:hAnsi="Times New Roman" w:cs="Times New Roman"/>
          <w:noProof/>
        </w:rPr>
        <w:t>(Akasaka et al., 2019; Chobanian et al., 2003; Janoray et al., 2016)</w:t>
      </w:r>
      <w:r w:rsidR="002352DE">
        <w:rPr>
          <w:rFonts w:ascii="Times New Roman" w:hAnsi="Times New Roman" w:cs="Times New Roman"/>
        </w:rPr>
        <w:fldChar w:fldCharType="end"/>
      </w:r>
      <w:r w:rsidRPr="00952CD4">
        <w:rPr>
          <w:rFonts w:ascii="Times New Roman" w:hAnsi="Times New Roman" w:cs="Times New Roman"/>
        </w:rPr>
        <w:t>.</w:t>
      </w:r>
    </w:p>
    <w:p w14:paraId="09834E12" w14:textId="750F1E4D" w:rsidR="00952CD4" w:rsidRPr="00952CD4" w:rsidRDefault="00952CD4" w:rsidP="00EF0802">
      <w:pPr>
        <w:spacing w:line="360" w:lineRule="auto"/>
        <w:jc w:val="both"/>
        <w:rPr>
          <w:rFonts w:ascii="Times New Roman" w:hAnsi="Times New Roman" w:cs="Times New Roman"/>
        </w:rPr>
      </w:pPr>
      <w:r w:rsidRPr="00952CD4">
        <w:rPr>
          <w:rFonts w:ascii="Times New Roman" w:hAnsi="Times New Roman" w:cs="Times New Roman"/>
        </w:rPr>
        <w:t>Thyroid dysfunction, encompassing conditions such as hypothyroidism and hyperthyroidism, affects 5–15% of pregnancies worldwide, with incidence rates varying according to regional iodine sufficiency</w:t>
      </w:r>
      <w:r w:rsidR="002352DE">
        <w:rPr>
          <w:rFonts w:ascii="Times New Roman" w:hAnsi="Times New Roman" w:cs="Times New Roman"/>
        </w:rPr>
        <w:t xml:space="preserve"> </w:t>
      </w:r>
      <w:r w:rsidR="002352DE">
        <w:rPr>
          <w:rFonts w:ascii="Times New Roman" w:hAnsi="Times New Roman" w:cs="Times New Roman"/>
        </w:rPr>
        <w:fldChar w:fldCharType="begin" w:fldLock="1"/>
      </w:r>
      <w:r w:rsidR="002352DE">
        <w:rPr>
          <w:rFonts w:ascii="Times New Roman" w:hAnsi="Times New Roman" w:cs="Times New Roman"/>
        </w:rPr>
        <w:instrText>ADDIN CSL_CITATION {"citationItems":[{"id":"ITEM-1","itemData":{"DOI":"10.1007/s11906-022-01183-8","ISBN":"0123456789","ISSN":"15343111","PMID":"35254589","abstract":"Purpose of Review: To review recent data on sex differences in the prevalence, outcomes and management of hypertension. Recent Findings: Although hypertension is overall more common in males, females experience a much sharper incline in blood pressure from the third decade of life and consequently the prevalence of hypertension accelerates comparatively with age. Mechanisms responsible for these blood pressure trajectories may include the sustained vascular influence of hypertensive disorders of pregnancy, interactions between the renin–angiotensin–aldosterone system and sex hormones or even psychosocial gendered factors such as socioeconomic deprivation. Moreover, the impact of hypertension is not uniform and females are at higher risk of developing a multitude of adverse cardiovascular outcomes at lower blood pressure thresholds. Summary: Blood pressure is a sexually dimorphic trait and although significant differences exist in the prevalence, pathophysiology and outcomes of hypertension in males and females, limited data exist to support sex-specific blood pressure targets.","author":[{"dropping-particle":"","family":"Connelly","given":"Paul J.","non-dropping-particle":"","parse-names":false,"suffix":""},{"dropping-particle":"","family":"Currie","given":"Gemma","non-dropping-particle":"","parse-names":false,"suffix":""},{"dropping-particle":"","family":"Delles","given":"Christian","non-dropping-particle":"","parse-names":false,"suffix":""}],"container-title":"Current Hypertension Reports","id":"ITEM-1","issue":"6","issued":{"date-parts":[["2022"]]},"page":"185-192","publisher":"Springer US","title":"Sex Differences in the Prevalence, Outcomes and Management of Hypertension","type":"article-journal","volume":"24"},"uris":["http://www.mendeley.com/documents/?uuid=609e4e11-3813-4ca7-83fb-e60c326c2f79"]},{"id":"ITEM-2","itemData":{"DOI":"10.1038/s41593-021-00797-6","ISSN":"15461726","PMID":"33619404","abstract":"Pyramidal cells and GABAergic interneurons fire together in balanced cortical networks. In contrast to this general rule, we describe a distinct neuron type in mice and rats whose spiking activity is anti-correlated with all principal cells and interneurons in all brain states but, most prevalently, during the down state of non-REM (NREM) sleep. We identify these down state-active (DSA) neurons as deep-layer neocortical neurogliaform cells that express ID2 and Nkx2.1 and are weakly immunoreactive to neuronal nitric oxide synthase. DSA neurons are weakly excited by deep-layer pyramidal cells and strongly inhibited by several other GABAergic cell types. Spiking of DSA neurons modified the sequential firing order of other neurons at down–up transitions. Optogenetic activation of ID2+Nkx2.1+ interneurons in the posterior parietal cortex during NREM sleep, but not during waking, interfered with consolidation of cue discrimination memory. Despite their sparsity, DSA neurons perform critical physiological functions.","author":[{"dropping-particle":"","family":"Valero","given":"Manuel","non-dropping-particle":"","parse-names":false,"suffix":""},{"dropping-particle":"","family":"Viney","given":"Tim J.","non-dropping-particle":"","parse-names":false,"suffix":""},{"dropping-particle":"","family":"Machold","given":"Robert","non-dropping-particle":"","parse-names":false,"suffix":""},{"dropping-particle":"","family":"Mederos","given":"Sara","non-dropping-particle":"","parse-names":false,"suffix":""},{"dropping-particle":"","family":"Zutshi","given":"Ipshita","non-dropping-particle":"","parse-names":false,"suffix":""},{"dropping-particle":"","family":"Schuman","given":"Benjamin","non-dropping-particle":"","parse-names":false,"suffix":""},{"dropping-particle":"","family":"Senzai","given":"Yuta","non-dropping-particle":"","parse-names":false,"suffix":""},{"dropping-particle":"","family":"Rudy","given":"Bernardo","non-dropping-particle":"","parse-names":false,"suffix":""},{"dropping-particle":"","family":"Buzsáki","given":"György","non-dropping-particle":"","parse-names":false,"suffix":""}],"container-title":"Nature Neuroscience","id":"ITEM-2","issue":"3","issued":{"date-parts":[["2021"]]},"page":"401-411","publisher":"Springer US","title":"Sleep down state-active ID2/Nkx2.1 interneurons in the neocortex","type":"article-journal","volume":"24"},"uris":["http://www.mendeley.com/documents/?uuid=ff3c1c9a-d5e2-42c6-bcaf-a6c34c4db591"]}],"mendeley":{"formattedCitation":"(Connelly et al., 2022; Valero et al., 2021)","plainTextFormattedCitation":"(Connelly et al., 2022; Valero et al., 2021)","previouslyFormattedCitation":"(Connelly et al., 2022; Valero et al., 2021)"},"properties":{"noteIndex":0},"schema":"https://github.com/citation-style-language/schema/raw/master/csl-citation.json"}</w:instrText>
      </w:r>
      <w:r w:rsidR="002352DE">
        <w:rPr>
          <w:rFonts w:ascii="Times New Roman" w:hAnsi="Times New Roman" w:cs="Times New Roman"/>
        </w:rPr>
        <w:fldChar w:fldCharType="separate"/>
      </w:r>
      <w:r w:rsidR="002352DE" w:rsidRPr="002352DE">
        <w:rPr>
          <w:rFonts w:ascii="Times New Roman" w:hAnsi="Times New Roman" w:cs="Times New Roman"/>
          <w:noProof/>
        </w:rPr>
        <w:t>(Connelly et al., 2022; Valero et al., 2021)</w:t>
      </w:r>
      <w:r w:rsidR="002352DE">
        <w:rPr>
          <w:rFonts w:ascii="Times New Roman" w:hAnsi="Times New Roman" w:cs="Times New Roman"/>
        </w:rPr>
        <w:fldChar w:fldCharType="end"/>
      </w:r>
      <w:r w:rsidRPr="00952CD4">
        <w:rPr>
          <w:rFonts w:ascii="Times New Roman" w:hAnsi="Times New Roman" w:cs="Times New Roman"/>
        </w:rPr>
        <w:t xml:space="preserve">. These disorders can disrupt metabolic homeostasis, interfere with </w:t>
      </w:r>
      <w:proofErr w:type="spellStart"/>
      <w:r w:rsidRPr="00952CD4">
        <w:rPr>
          <w:rFonts w:ascii="Times New Roman" w:hAnsi="Times New Roman" w:cs="Times New Roman"/>
        </w:rPr>
        <w:t>fetal</w:t>
      </w:r>
      <w:proofErr w:type="spellEnd"/>
      <w:r w:rsidRPr="00952CD4">
        <w:rPr>
          <w:rFonts w:ascii="Times New Roman" w:hAnsi="Times New Roman" w:cs="Times New Roman"/>
        </w:rPr>
        <w:t xml:space="preserve"> neurodevelopment, and lead to complications such as miscarriage, preterm birth, and low birth weight</w:t>
      </w:r>
      <w:r w:rsidR="002352DE">
        <w:rPr>
          <w:rFonts w:ascii="Times New Roman" w:hAnsi="Times New Roman" w:cs="Times New Roman"/>
        </w:rPr>
        <w:t xml:space="preserve"> </w:t>
      </w:r>
      <w:r w:rsidR="002352DE">
        <w:rPr>
          <w:rFonts w:ascii="Times New Roman" w:hAnsi="Times New Roman" w:cs="Times New Roman"/>
        </w:rPr>
        <w:fldChar w:fldCharType="begin" w:fldLock="1"/>
      </w:r>
      <w:r w:rsidR="002352DE">
        <w:rPr>
          <w:rFonts w:ascii="Times New Roman" w:hAnsi="Times New Roman" w:cs="Times New Roman"/>
        </w:rPr>
        <w:instrText>ADDIN CSL_CITATION {"citationItems":[{"id":"ITEM-1","itemData":{"author":[{"dropping-particle":"","family":"Kaushik","given":"Shivangi","non-dropping-particle":"","parse-names":false,"suffix":""},{"dropping-particle":"","family":"Singh","given":"Nishma","non-dropping-particle":"","parse-names":false,"suffix":""}],"id":"ITEM-1","issue":"18","issued":{"date-parts":[["2025"]]},"page":"1305-1313","title":"Urban-Rural Disparities In Anemia Prevalence Among Primary School Children . A Study Of Bulandshahr District In Context Of Mid-Day Meal Scheme","type":"article-journal","volume":"11"},"uris":["http://www.mendeley.com/documents/?uuid=139861e3-32c7-41d1-bf6b-e241d994a9c4"]},{"id":"ITEM-2","itemData":{"DOI":"10.1371/journal.pgph.0002742","ISBN":"1111111111","ISSN":"27673375","abstract":"The study aims to examine the effect of the world’s largest school-feeding programme, the Mid-Day Meal (MDM) programme, on the changes in the underweight prevalence among school-children in India. Data from the Indian Human Development Survey (IHDS) Rounds 1 (2004–05) and 2 (2011–12) were utilized. The sample included individual-level information of children aged 6 to 9 years in IHDS-1 who then turned 13 to 16 years in IHDS-2. The sample was categorised into four groups based on their MDM consumption history (Group 1: no MDM support in IHDS-1 and IHDS-2, Group 2: MDM support in IHDS-1, Group 3: MDM support in IHDS-2, Group 4: persistent MDM support in IHDS-1 and IHDS-2). The dependent variable was underweight status as defined by the World Health Organisation Child Growth Standards Body Mass Index for age (BMI Z-score) &lt; -2 SD of the median. Bivariate analysis was used to examine the prevalence of underweight and establish associations between underweight status and socio-demographic characteristics. Logistic regression was performed to assess the strength of the association of socio-demographic characteristics and MDM consumption patterns with underweight across poor and non-poor asset groups. The findings suggest that early and persistent MDM support among respondents reduced the likelihood of low BMI Z-scores compared to those without MDM support. Respondents from the poor asset group who received MDM support in at least one of the two survey rounds had higher odds of being underweight in comparison with those who did not receive MDM support at all. Girls and adolescents residing in the Eastern region of India were less likely to be underweight. The study shows that the MDM programme was effective in reducing the rate of underweight among school children. However, continuous programme upscaling with a special focus on children from poor households will significantly benefit India’s school-aged children.","author":[{"dropping-particle":"","family":"Gharge","given":"Shivani","non-dropping-particle":"","parse-names":false,"suffix":""},{"dropping-particle":"","family":"Vlachopoulos","given":"Dimitris","non-dropping-particle":"","parse-names":false,"suffix":""},{"dropping-particle":"","family":"Skinner","given":"Annie M.","non-dropping-particle":"","parse-names":false,"suffix":""},{"dropping-particle":"","family":"Williams","given":"Craig A.","non-dropping-particle":"","parse-names":false,"suffix":""},{"dropping-particle":"","family":"Iniesta","given":"Raquel Revuelta","non-dropping-particle":"","parse-names":false,"suffix":""},{"dropping-particle":"","family":"Unisa","given":"Sayeed","non-dropping-particle":"","parse-names":false,"suffix":""}],"container-title":"PLOS Global Public Health","id":"ITEM-2","issue":"1","issued":{"date-parts":[["2024"]]},"page":"1-16","title":"The effect of the Mid-Day Meal programme on the longitudinal physical growth from childhood to adolescence in India","type":"article-journal","volume":"4"},"uris":["http://www.mendeley.com/documents/?uuid=901c2e97-5c91-4f3c-a1bc-e115f0a75d53"]}],"mendeley":{"formattedCitation":"(Gharge et al., 2024; Kaushik &amp; Singh, 2025)","plainTextFormattedCitation":"(Gharge et al., 2024; Kaushik &amp; Singh, 2025)","previouslyFormattedCitation":"(Gharge et al., 2024; Kaushik &amp; Singh, 2025)"},"properties":{"noteIndex":0},"schema":"https://github.com/citation-style-language/schema/raw/master/csl-citation.json"}</w:instrText>
      </w:r>
      <w:r w:rsidR="002352DE">
        <w:rPr>
          <w:rFonts w:ascii="Times New Roman" w:hAnsi="Times New Roman" w:cs="Times New Roman"/>
        </w:rPr>
        <w:fldChar w:fldCharType="separate"/>
      </w:r>
      <w:r w:rsidR="002352DE" w:rsidRPr="002352DE">
        <w:rPr>
          <w:rFonts w:ascii="Times New Roman" w:hAnsi="Times New Roman" w:cs="Times New Roman"/>
          <w:noProof/>
        </w:rPr>
        <w:t>(Gharge et al., 2024; Kaushik &amp; Singh, 2025)</w:t>
      </w:r>
      <w:r w:rsidR="002352DE">
        <w:rPr>
          <w:rFonts w:ascii="Times New Roman" w:hAnsi="Times New Roman" w:cs="Times New Roman"/>
        </w:rPr>
        <w:fldChar w:fldCharType="end"/>
      </w:r>
      <w:r w:rsidRPr="00952CD4">
        <w:rPr>
          <w:rFonts w:ascii="Times New Roman" w:hAnsi="Times New Roman" w:cs="Times New Roman"/>
        </w:rPr>
        <w:t>. Parallelly, hypertensive disorders of pregnancy (HDP), including gestational hypertension and preeclampsia, affect approximately 10% of pregnancies and are among the leading causes of maternal mortality and morbidity</w:t>
      </w:r>
      <w:r w:rsidR="002352DE">
        <w:rPr>
          <w:rFonts w:ascii="Times New Roman" w:hAnsi="Times New Roman" w:cs="Times New Roman"/>
        </w:rPr>
        <w:t xml:space="preserve"> </w:t>
      </w:r>
      <w:r w:rsidR="002352DE">
        <w:rPr>
          <w:rFonts w:ascii="Times New Roman" w:hAnsi="Times New Roman" w:cs="Times New Roman"/>
        </w:rPr>
        <w:fldChar w:fldCharType="begin" w:fldLock="1"/>
      </w:r>
      <w:r w:rsidR="00CC5373">
        <w:rPr>
          <w:rFonts w:ascii="Times New Roman" w:hAnsi="Times New Roman" w:cs="Times New Roman"/>
        </w:rPr>
        <w:instrText>ADDIN CSL_CITATION {"citationItems":[{"id":"ITEM-1","itemData":{"DOI":"10.4102/sajip.v51i0.2232","ISSN":"20710763","abstract":"Orientation: The business sector is engulfed with severe challenges of globalisation in this decade. Hence, companies fight for survival in order to be on the map again. Organisational justice is believed to be key to sustaining various businesses. Research purpose: The study employed organisational justice as a moderating variable to delve into the relationship between organisational citizenship behaviour and turnover intention. Motivation for the study: It has been argued that it is a challenge to keep employees devoted and still make a landmark in the business. Of course, with a lack of motivation in their careers, and not requiring more resources, workers are obliged to quit the health sector. Research approach/design and method: A sample of 298 nurses in various hospitals, utilising quantitative cross-sectional research. Main findings: The findings indicate that when both organisational justice and organisational citizenship behaviour increase, then the turnover intention decreases. Practical/managerial implications: Justifications to enhance organisational citizenship behaviour is imperative. Hence, discouragement of turnover intentions and increase in production are much to be desired. Contribution/value-add: The contribution of this project gives emphasis to the expanding body of knowledge in South Africa as well as globally.","author":[{"dropping-particle":"","family":"Majali","given":"Thobela G.","non-dropping-particle":"","parse-names":false,"suffix":""},{"dropping-particle":"","family":"Gcaza","given":"Nosiphiwo I.","non-dropping-particle":"","parse-names":false,"suffix":""},{"dropping-particle":"","family":"Gcaza","given":"Xolile","non-dropping-particle":"","parse-names":false,"suffix":""}],"container-title":"SA Journal of Industrial Psychology","id":"ITEM-1","issued":{"date-parts":[["2025"]]},"page":"1-10","title":"Organisational justice: Moderating turnover intention and citizenship behaviour in Eastern Cape nurses","type":"article-journal","volume":"51"},"uris":["http://www.mendeley.com/documents/?uuid=c3097d38-519e-4b76-bb6d-ddc9dd6a8e42"]},{"id":"ITEM-2","itemData":{"DOI":"10.1007/s10389-024-02277-0","ISBN":"0123456789","ISSN":"16132238","abstract":"Aim: Incivility is one of the most intrusive forms of antisocial behavior in the workplace. Using a newly constructed, single-item measure of incivility, the aim of the current study was to assess the possible prevalence of incivility in a sample from the Swedish retail industry, and to investigate possible associations between prevalence of incivility and a multitude of indicators of health, stress, well-being, and the psychosocial work environment. Subject and methods: A total of 1014 (20%) individuals enrolled in the cross-sectional study and responded to a questionnaire, partially or fully. We conducted t-tests to assess possible differences in the indicators between those responding “Yes” versus “No” regarding prevalence of incivility at their workplace. Results: Incivility at work was related to statistically significant differences in mean values in 32 out of 33 key indicators of health, well-being, stress, recovery, and the psychosocial work environment. Those reporting a prevalence of incivility systematically exhibited worse ratings. Conclusion: The findings are in line with previous research. Although this study cannot infer causality, the profoundly systematic results indicate that the prevalence of workplace incivility is a bothersome problem that should be addressed. A single item about the prevalence of workplace incivility seems to be a feasible indicator of associations to a wide range of health-, stress-, well-being-, and psychosocially oriented work-related variables.","author":[{"dropping-particle":"","family":"Hasson","given":"Dan","non-dropping-particle":"","parse-names":false,"suffix":""},{"dropping-particle":"","family":"Villaume","given":"Karin","non-dropping-particle":"","parse-names":false,"suffix":""}],"container-title":"Journal of Public Health (Germany)","id":"ITEM-2","issue":"0123456789","issued":{"date-parts":[["2024"]]},"publisher":"Springer Berlin Heidelberg","title":"Incivility is systematically associated with indicators of health, stress, well-being, and the psychosocial work environment","type":"article-journal"},"uris":["http://www.mendeley.com/documents/?uuid=b1ae4ef0-a8b0-4b29-89b2-222dc5a7bc0d"]}],"mendeley":{"formattedCitation":"(Hasson &amp; Villaume, 2024; Majali et al., 2025)","plainTextFormattedCitation":"(Hasson &amp; Villaume, 2024; Majali et al., 2025)","previouslyFormattedCitation":"(Hasson &amp; Villaume, 2024; Majali et al., 2025)"},"properties":{"noteIndex":0},"schema":"https://github.com/citation-style-language/schema/raw/master/csl-citation.json"}</w:instrText>
      </w:r>
      <w:r w:rsidR="002352DE">
        <w:rPr>
          <w:rFonts w:ascii="Times New Roman" w:hAnsi="Times New Roman" w:cs="Times New Roman"/>
        </w:rPr>
        <w:fldChar w:fldCharType="separate"/>
      </w:r>
      <w:r w:rsidR="002352DE" w:rsidRPr="002352DE">
        <w:rPr>
          <w:rFonts w:ascii="Times New Roman" w:hAnsi="Times New Roman" w:cs="Times New Roman"/>
          <w:noProof/>
        </w:rPr>
        <w:t>(Hasson &amp; Villaume, 2024; Majali et al., 2025)</w:t>
      </w:r>
      <w:r w:rsidR="002352DE">
        <w:rPr>
          <w:rFonts w:ascii="Times New Roman" w:hAnsi="Times New Roman" w:cs="Times New Roman"/>
        </w:rPr>
        <w:fldChar w:fldCharType="end"/>
      </w:r>
      <w:r w:rsidRPr="00952CD4">
        <w:rPr>
          <w:rFonts w:ascii="Times New Roman" w:hAnsi="Times New Roman" w:cs="Times New Roman"/>
        </w:rPr>
        <w:t>. The presence of either condition not only increases the risk of adverse perinatal outcomes but also predisposes women to chronic health issues such as cardiovascular disease later in life</w:t>
      </w:r>
      <w:r w:rsidR="002352DE">
        <w:rPr>
          <w:rFonts w:ascii="Times New Roman" w:hAnsi="Times New Roman" w:cs="Times New Roman"/>
        </w:rPr>
        <w:t xml:space="preserve"> </w:t>
      </w:r>
      <w:r w:rsidR="002352DE">
        <w:rPr>
          <w:rFonts w:ascii="Times New Roman" w:hAnsi="Times New Roman" w:cs="Times New Roman"/>
        </w:rPr>
        <w:fldChar w:fldCharType="begin" w:fldLock="1"/>
      </w:r>
      <w:r w:rsidR="002352DE">
        <w:rPr>
          <w:rFonts w:ascii="Times New Roman" w:hAnsi="Times New Roman" w:cs="Times New Roman"/>
        </w:rPr>
        <w:instrText>ADDIN CSL_CITATION {"citationItems":[{"id":"ITEM-1","itemData":{"DOI":"10.1093/ajh/hpt044","ISSN":"08957061","PMID":"23564028","abstract":"Background Acute sleep restriction has been shown to increase blood pressure and sympathetic nervous system activity. Methods We investigated the relationships between sleep duration and hypertension among women whose sleep durations were self-reported in 1986 (n = 82,130) and 2000 (n = 71,658) in the Nurses' Health Study I (NHS-I) and in 2001 (n = 84,674) in the Nurses' Health Study II (NHS-II). Results After controlling for multiple risk factors in logistic regression models, the prevalence of hypertension was significantly higher among women in all 3 groups who slept ≤5 hours (odds ratio = 1.19, 95% confidence interval [CI] = 1.14-1.25) per night compared with 7 hours. In prospective analyses using Cox regression shorter sleep duration of ≤5 hours per night was significantly associated with a higher incidence of hypertension only in younger women (hazard ratio [HR] =1.20, 95% CI = 1.09-1.31 for those aged &lt;50 years; HR = 1.11, 95% CI = 1.00-1.23 for those aged 50-59 years). In both prevalent and incident analyses, Results were consistent with obesity acting as a partial mediator. Results were not consistent with diabetes or hypercholesterolemia acting as mediators or with shift work, snoring, menopause, or postmenopausal hormone therapy acting as effect modifiers. Conclusions Sufficient sleep could represent a lifestyle practice worthy of investigation as an approach to reduce hypertension incidence and prevalence. © 2013 American Journal of Hypertension, Ltd. All rights reserved.","author":[{"dropping-particle":"","family":"Gangwisch","given":"James E.","non-dropping-particle":"","parse-names":false,"suffix":""},{"dropping-particle":"","family":"Feskanich","given":"Diane","non-dropping-particle":"","parse-names":false,"suffix":""},{"dropping-particle":"","family":"Malaspina","given":"Dolores","non-dropping-particle":"","parse-names":false,"suffix":""},{"dropping-particle":"","family":"Shen","given":"Sa","non-dropping-particle":"","parse-names":false,"suffix":""},{"dropping-particle":"","family":"Forman","given":"John P.","non-dropping-particle":"","parse-names":false,"suffix":""}],"container-title":"American Journal of Hypertension","id":"ITEM-1","issue":"7","issued":{"date-parts":[["2013"]]},"page":"903-911","title":"Sleep duration and risk for hypertension in women: Results from the nurses' health study","type":"article-journal","volume":"26"},"uris":["http://www.mendeley.com/documents/?uuid=65f2fb34-d722-48fb-840c-6d0b6efcc7f0"]},{"id":"ITEM-2","itemData":{"DOI":"10.1136/oemed-2016-103638","ISSN":"14707926","PMID":"27609325","abstract":"Objective To estimate the prevalence of a comprehensive set of self-reported sleep problems by job characteristics, including shiftwork status, among a representative sample of US workers. Methods Data for 6338 workers aged ≥18 years were obtained from the National Health and Nutrition Examination Survey. Short sleep duration was defined as &lt;7 hours per weekday/workday. Sleep quality was categorised as good, moderate and poor based on the frequency of 6 sleep-related symptoms. A sleep-related activities of daily living (ADL) score ≥2 was defined as impaired. Insomnia was defined as having poor sleep quality and impaired ADL. Shiftwork status was categorised as daytime, night, evening, rotating or another schedule. Prevalence rates were calculated and multivariate logistic regression analyses were used. Results The prevalence of short sleep duration (37.6% overall) was highest among night shift workers (61.8%; p&lt;0.001). The prevalence of poor sleep quality was 19.2% among all workers, with the highest prevalence among night shift workers (30.7%, p=0.004). The prevalence of impaired ADL score (24.8% overall) and insomnia (8.8% overall) was also highest for night shift workers (36.2%, p=0.001 and 18.5%, p=0.013, respectively). In multivariate analysis, night shift workers had the highest likelihood of these sleep problems. Conclusions Self-reported short sleep duration, poor sleep quality, impaired ADL score and insomnia are common among US workers especially among night shift workers. Although these findings should be confirmed with objective sleep measures, they support the need for intervention programmes to improve sleep quantity and quality among night shift workers.","author":[{"dropping-particle":"","family":"Yong","given":"Lee C.","non-dropping-particle":"","parse-names":false,"suffix":""},{"dropping-particle":"","family":"Li","given":"Jia","non-dropping-particle":"","parse-names":false,"suffix":""},{"dropping-particle":"","family":"Calvert","given":"Geoffrey M.","non-dropping-particle":"","parse-names":false,"suffix":""}],"container-title":"Occupational and Environmental Medicine","id":"ITEM-2","issue":"2","issued":{"date-parts":[["2017"]]},"page":"93-104","title":"Sleep-related problems in the US working population: Prevalence and association with shiftwork status","type":"article-journal","volume":"74"},"uris":["http://www.mendeley.com/documents/?uuid=f19bdef8-a4a8-49a5-8cdf-1bd79313631e"]}],"mendeley":{"formattedCitation":"(Gangwisch et al., 2013; Yong et al., 2017)","plainTextFormattedCitation":"(Gangwisch et al., 2013; Yong et al., 2017)","previouslyFormattedCitation":"(Gangwisch et al., 2013; Yong et al., 2017)"},"properties":{"noteIndex":0},"schema":"https://github.com/citation-style-language/schema/raw/master/csl-citation.json"}</w:instrText>
      </w:r>
      <w:r w:rsidR="002352DE">
        <w:rPr>
          <w:rFonts w:ascii="Times New Roman" w:hAnsi="Times New Roman" w:cs="Times New Roman"/>
        </w:rPr>
        <w:fldChar w:fldCharType="separate"/>
      </w:r>
      <w:r w:rsidR="002352DE" w:rsidRPr="002352DE">
        <w:rPr>
          <w:rFonts w:ascii="Times New Roman" w:hAnsi="Times New Roman" w:cs="Times New Roman"/>
          <w:noProof/>
        </w:rPr>
        <w:t>(Gangwisch et al., 2013; Yong et al., 2017)</w:t>
      </w:r>
      <w:r w:rsidR="002352DE">
        <w:rPr>
          <w:rFonts w:ascii="Times New Roman" w:hAnsi="Times New Roman" w:cs="Times New Roman"/>
        </w:rPr>
        <w:fldChar w:fldCharType="end"/>
      </w:r>
      <w:r w:rsidRPr="00952CD4">
        <w:rPr>
          <w:rFonts w:ascii="Times New Roman" w:hAnsi="Times New Roman" w:cs="Times New Roman"/>
        </w:rPr>
        <w:t>. The compounded presence of thyroid dysfunction and hypertension during pregnancy poses even greater risks, necessitating integrated preventive and management approaches.</w:t>
      </w:r>
    </w:p>
    <w:p w14:paraId="0D56C5C2" w14:textId="4457D1AB" w:rsidR="00952CD4" w:rsidRPr="00952CD4" w:rsidRDefault="00952CD4" w:rsidP="00EF0802">
      <w:pPr>
        <w:spacing w:line="360" w:lineRule="auto"/>
        <w:jc w:val="both"/>
        <w:rPr>
          <w:rFonts w:ascii="Times New Roman" w:hAnsi="Times New Roman" w:cs="Times New Roman"/>
        </w:rPr>
      </w:pPr>
      <w:r w:rsidRPr="00952CD4">
        <w:rPr>
          <w:rFonts w:ascii="Times New Roman" w:hAnsi="Times New Roman" w:cs="Times New Roman"/>
        </w:rPr>
        <w:t xml:space="preserve">Amidst growing evidence, lifestyle modification has emerged as a powerful, non-pharmacological strategy in the prevention and management of both thyroid-related and </w:t>
      </w:r>
      <w:r w:rsidRPr="00952CD4">
        <w:rPr>
          <w:rFonts w:ascii="Times New Roman" w:hAnsi="Times New Roman" w:cs="Times New Roman"/>
        </w:rPr>
        <w:lastRenderedPageBreak/>
        <w:t xml:space="preserve">hypertensive complications during pregnancy. Lifestyle modification refers to intentional changes in daily </w:t>
      </w:r>
      <w:proofErr w:type="spellStart"/>
      <w:r w:rsidRPr="00952CD4">
        <w:rPr>
          <w:rFonts w:ascii="Times New Roman" w:hAnsi="Times New Roman" w:cs="Times New Roman"/>
        </w:rPr>
        <w:t>behavior</w:t>
      </w:r>
      <w:proofErr w:type="spellEnd"/>
      <w:r w:rsidRPr="00952CD4">
        <w:rPr>
          <w:rFonts w:ascii="Times New Roman" w:hAnsi="Times New Roman" w:cs="Times New Roman"/>
        </w:rPr>
        <w:t xml:space="preserve"> patterns, including improvements in dietary habits, physical activity, stress management, sleep quality, and health literacy</w:t>
      </w:r>
      <w:r w:rsidR="002352DE">
        <w:rPr>
          <w:rFonts w:ascii="Times New Roman" w:hAnsi="Times New Roman" w:cs="Times New Roman"/>
        </w:rPr>
        <w:t xml:space="preserve"> </w:t>
      </w:r>
      <w:r w:rsidR="002352DE">
        <w:rPr>
          <w:rFonts w:ascii="Times New Roman" w:hAnsi="Times New Roman" w:cs="Times New Roman"/>
        </w:rPr>
        <w:fldChar w:fldCharType="begin" w:fldLock="1"/>
      </w:r>
      <w:r w:rsidR="002352DE">
        <w:rPr>
          <w:rFonts w:ascii="Times New Roman" w:hAnsi="Times New Roman" w:cs="Times New Roman"/>
        </w:rPr>
        <w:instrText>ADDIN CSL_CITATION {"citationItems":[{"id":"ITEM-1","itemData":{"DOI":"10.1177/17455065211009751","ISSN":"17455065","PMID":"34254559","abstract":"Hypertension is a risk factor for cardiovascular disease. Black women have high rates of hypertension compared to women of other racial or ethnic groups and are disproportionately affected by psychosocial stressors such as racial discrimination, gender discrimination, and caregiving stress. Evidence suggests that stress is associated with incident hypertension and hypertension risk. Stress management is associated with improvements improved blood pressure outcomes. The purpose of this review is to synthesize evidence on effects of stress management interventions on blood pressure in Black women. A comprehensive search of scientific databases was conducted. Inclusion criteria included studies that were: (1) primary research that tested an intervention; (2) in the English language; (3) included African-American women; (4) incorporated stress in the intervention; (5) included blood pressure as an outcome; and (6) were US based. Eighteen studies met inclusion criteria. Ten (56%) studies tested meditation-based interventions, two (11%) tested coping and affirmation interventions, and six (33%) tested lifestyle modification interventions that included stress management content. Thirteen of the studies were randomized controlled trials. Reductions in blood pressure were observed in all of the meditation-based interventions, although the magnitude and statistical significance varied. Comprehensive lifestyle interventions were also efficacious for reducing blood pressure, although the relative contribution of stress management versus behavior modification could not be evaluated. Coping and affirmation interventions did not affect blood pressure. Most of the reviewed studies included small numbers of Black women and did not stratify results by race and gender, so effects remain unclear. This review highlights the urgent need for studies specifically focusing on Black women. Given the extensive disparities in cardiovascular disease morbidity and mortality, whether stress management can lower blood pressure and improve primary and secondary cardiovascular disease prevention among Black women is an important question for future research.","author":[{"dropping-particle":"","family":"Kalinowski","given":"Jolaade","non-dropping-particle":"","parse-names":false,"suffix":""},{"dropping-particle":"","family":"Kaur","given":"Kiran","non-dropping-particle":"","parse-names":false,"suffix":""},{"dropping-particle":"","family":"Newsome-Garcia","given":"Valerie","non-dropping-particle":"","parse-names":false,"suffix":""},{"dropping-particle":"","family":"Langford","given":"Aisha","non-dropping-particle":"","parse-names":false,"suffix":""},{"dropping-particle":"","family":"Kalejaiye","given":"Ayoola","non-dropping-particle":"","parse-names":false,"suffix":""},{"dropping-particle":"","family":"Vieira","given":"Dorice","non-dropping-particle":"","parse-names":false,"suffix":""},{"dropping-particle":"","family":"Izeogu","given":"Chigozirim","non-dropping-particle":"","parse-names":false,"suffix":""},{"dropping-particle":"","family":"Blanc","given":"Judite","non-dropping-particle":"","parse-names":false,"suffix":""},{"dropping-particle":"","family":"Taylor","given":"Jacquelyn","non-dropping-particle":"","parse-names":false,"suffix":""},{"dropping-particle":"","family":"Ogedegbe","given":"Olugbenga","non-dropping-particle":"","parse-names":false,"suffix":""},{"dropping-particle":"","family":"Spruill","given":"Tanya","non-dropping-particle":"","parse-names":false,"suffix":""}],"container-title":"Women's Health","id":"ITEM-1","issued":{"date-parts":[["2021"]]},"title":"Stress interventions and hypertension in Black women","type":"article-journal","volume":"17"},"uris":["http://www.mendeley.com/documents/?uuid=e9f53979-67f8-4b25-a8a9-f114a6183521"]},{"id":"ITEM-2","itemData":{"DOI":"10.1016/S0022-3999(01)00302-6","ISSN":"00223999","PMID":"11801260","abstract":"Various psychosocial factors have been implicated in the etiology and pathogenesis of certain cardiovascular diseases such as atherosclerosis, now considered to be the result of a chronic inflammatory process. In this article, we review the evidence that repeated episodes of acute psychological stress, or chronic psychologic stress, may induce a chronic inflammatory process culminating in atherosclerosis. These inflammatory events, caused by stress, may account for the approximately 40% of atherosclerotic patients with no other known risk factors. Stress, by activating the sympathetic nervous system, the hypothalamic-pituitary axis, and the renin-angiotensin system, causes the release of various stress hormones such as catecholamines, corticosteroids, glucagon, growth hormone, and renin, and elevated levels of homocysteine, which induce a heightened state of cardiovascular activity, injured endothelium, and induction of adhesion molecules on endothelial cells to which recruited inflammatory cells adhere and translocate to the arterial wall. An acute phase response (APR), similar to that associated with inflammation, is also engendered, which is characterized by macrophage activation, the production of cytokines, other inflammatory mediators, acute phase proteins (APPs), and mast cell activation, all of which promote the inflammatory process. Stress also induces an atherosclerotic lipid profile with oxidation of lipids and, if chronic, a hypercoagulable state that may result in arterial thromboses. Shedding of adhesion molecules and the appearance of cytokines, and APPs in the blood are early indicators of a stress-induced APR, may appear in the blood of asymptomatic people, and be predictors of future cardiovascular disease. The inflammatory response is contained within the stress response, which evolved later and is adaptive in that an animal may be better able to react to an organism introduced during combat. The argument is made that humans reacting to stressors, which are not life-threatening but are \"perceived\" as such, mount similar stress/inflammatory responses in the arteries, and which, if repetitive or chronic, may culminate in atherosclerosis. © 2002 Elsevier Science Inc. All rights reserved.","author":[{"dropping-particle":"","family":"Black","given":"Paul H.","non-dropping-particle":"","parse-names":false,"suffix":""},{"dropping-particle":"","family":"Garbutt","given":"Lisa D.","non-dropping-particle":"","parse-names":false,"suffix":""}],"container-title":"Journal of Psychosomatic Research","id":"ITEM-2","issue":"1","issued":{"date-parts":[["2002"]]},"page":"1-23","title":"Stress, inflammation and cardiovascular disease","type":"article-journal","volume":"52"},"uris":["http://www.mendeley.com/documents/?uuid=0bce67a6-db88-42a8-916b-cc6e7df5e333"]},{"id":"ITEM-3","itemData":{"DOI":"10.5005/jp-journals-10015-1611","ISSN":"09766014","abstract":"Background: Diastema is one of the many esthetic abnormalities due to various causes. One of which is abnormal frenulum. Objective: The aim of this study is to determine the prevalence of different types of labial frenum and their effect on median diastema in 3�6-year-old children in Tehran kindergartens. Materials and methods: This study was a cross-sectional one that was performed on 639 children aged 3–6 years by referring to kindergartens. Studying these children included oral examination under normal light with a tongue depressor in upright position. By lifting the patient's lip and performing a blanching test, it was determined whether or not a person has normal frenulum. Information was also provided about the presence or absence of median diastema in upper jaw and the type of frenum adhesion. Also, the central teeth in maxilla were carefully examined in terms of spacing and caries. Data were analyzed by descriptive and analytic statistical methods. In the analytic part we used the binomial logistic regression test and also in the descriptive section of the frequency, tables and graphs are presented. Conclusion: In this research, a total of 639 children were studied, 341 of which were male and 298 were female. Among these 214 people (33.5%) had abnormal frenum and 425 people (66.5%) had normal frenum. Frenum adhesion site for 52.9% of the people was observed in attached gingiva and for 19.9% of people was observed in the mucogingival junction and for 18.8% of people was observed in the interdental papilla and for 8.5% of people the site of frenulum was in depth of the palatal papilla, and there was no significant difference between two sexes in terms of prevalence of different types of maxilla labial frenum. The results showed that there is a significant relationship between high frenum and maxillary median diastema and there is no significant relationship between age and high frenum.","author":[{"dropping-particle":"","family":"Seraj","given":"Bahman","non-dropping-particle":"","parse-names":false,"suffix":""},{"dropping-particle":"","family":"Shahrabi","given":"Mahdi","non-dropping-particle":"","parse-names":false,"suffix":""},{"dropping-particle":"","family":"Masoumi","given":"Samaneh","non-dropping-particle":"","parse-names":false,"suffix":""},{"dropping-particle":"","family":"Jabbarian","given":"Razieh","non-dropping-particle":"","parse-names":false,"suffix":""},{"dropping-particle":"","family":"Manesh","given":"Amir A.","non-dropping-particle":"","parse-names":false,"suffix":""},{"dropping-particle":"","family":"Fini","given":"Maryam B.","non-dropping-particle":"","parse-names":false,"suffix":""}],"container-title":"World Journal of Dentistry","id":"ITEM-3","issue":"2","issued":{"date-parts":[["2019"]]},"page":"93-97","title":"Studying maxillary labial frenulum types and their effect on median diastema in 3–6-year-old children in Tehran kindergartens","type":"article-journal","volume":"10"},"uris":["http://www.mendeley.com/documents/?uuid=f2f9a237-25f3-49cb-87a1-e9b48cd51f0f"]}],"mendeley":{"formattedCitation":"(Black &amp; Garbutt, 2002; Kalinowski et al., 2021; Seraj et al., 2019)","plainTextFormattedCitation":"(Black &amp; Garbutt, 2002; Kalinowski et al., 2021; Seraj et al., 2019)","previouslyFormattedCitation":"(Black &amp; Garbutt, 2002; Kalinowski et al., 2021; Seraj et al., 2019)"},"properties":{"noteIndex":0},"schema":"https://github.com/citation-style-language/schema/raw/master/csl-citation.json"}</w:instrText>
      </w:r>
      <w:r w:rsidR="002352DE">
        <w:rPr>
          <w:rFonts w:ascii="Times New Roman" w:hAnsi="Times New Roman" w:cs="Times New Roman"/>
        </w:rPr>
        <w:fldChar w:fldCharType="separate"/>
      </w:r>
      <w:r w:rsidR="002352DE" w:rsidRPr="002352DE">
        <w:rPr>
          <w:rFonts w:ascii="Times New Roman" w:hAnsi="Times New Roman" w:cs="Times New Roman"/>
          <w:noProof/>
        </w:rPr>
        <w:t>(Black &amp; Garbutt, 2002; Kalinowski et al., 2021; Seraj et al., 2019)</w:t>
      </w:r>
      <w:r w:rsidR="002352DE">
        <w:rPr>
          <w:rFonts w:ascii="Times New Roman" w:hAnsi="Times New Roman" w:cs="Times New Roman"/>
        </w:rPr>
        <w:fldChar w:fldCharType="end"/>
      </w:r>
      <w:r w:rsidRPr="00952CD4">
        <w:rPr>
          <w:rFonts w:ascii="Times New Roman" w:hAnsi="Times New Roman" w:cs="Times New Roman"/>
        </w:rPr>
        <w:t>. Research has consistently highlighted that adopting a balanced, nutrient-rich diet, engaging in moderate physical exercise such as walking or prenatal yoga, and employing stress-reducing techniques can help regulate thyroid hormone levels and maintain optimal blood pressure. Such interventions not only contribute to better pregnancy outcomes but also empower women through improved health awareness and self-efficacy</w:t>
      </w:r>
      <w:r w:rsidR="002352DE">
        <w:rPr>
          <w:rFonts w:ascii="Times New Roman" w:hAnsi="Times New Roman" w:cs="Times New Roman"/>
        </w:rPr>
        <w:t xml:space="preserve"> </w:t>
      </w:r>
      <w:r w:rsidR="002352DE">
        <w:rPr>
          <w:rFonts w:ascii="Times New Roman" w:hAnsi="Times New Roman" w:cs="Times New Roman"/>
        </w:rPr>
        <w:fldChar w:fldCharType="begin" w:fldLock="1"/>
      </w:r>
      <w:r w:rsidR="002352DE">
        <w:rPr>
          <w:rFonts w:ascii="Times New Roman" w:hAnsi="Times New Roman" w:cs="Times New Roman"/>
        </w:rPr>
        <w:instrText>ADDIN CSL_CITATION {"citationItems":[{"id":"ITEM-1","itemData":{"DOI":"10.1016/j.preghy.2021.09.008","ISSN":"22107797","PMID":"35066406","abstract":"All units managing hypertensive pregnant women should maintain and review uniform departmental management protocols and conduct regular audits of maternal &amp; fetal outcomes. The cause(s) of pre-eclampsia and the optimal clinical management of the hypertensive disorders of pregnancy remain uncertain; therefore, we recommend that every hypertensive pregnant woman be offered an opportunity to participate in research, clinical trials and follow-up studies.","author":[{"dropping-particle":"","family":"Magee","given":"Laura A.","non-dropping-particle":"","parse-names":false,"suffix":""},{"dropping-particle":"","family":"Brown","given":"Mark A.","non-dropping-particle":"","parse-names":false,"suffix":""},{"dropping-particle":"","family":"Hall","given":"David R.","non-dropping-particle":"","parse-names":false,"suffix":""},{"dropping-particle":"","family":"Gupte","given":"Sanjay","non-dropping-particle":"","parse-names":false,"suffix":""},{"dropping-particle":"","family":"Hennessy","given":"Annemarie","non-dropping-particle":"","parse-names":false,"suffix":""},{"dropping-particle":"","family":"Karumanchi","given":"S. Ananth","non-dropping-particle":"","parse-names":false,"suffix":""},{"dropping-particle":"","family":"Kenny","given":"Louise C.","non-dropping-particle":"","parse-names":false,"suffix":""},{"dropping-particle":"","family":"McCarthy","given":"Fergus","non-dropping-particle":"","parse-names":false,"suffix":""},{"dropping-particle":"","family":"Myers","given":"Jenny","non-dropping-particle":"","parse-names":false,"suffix":""},{"dropping-particle":"","family":"Poon","given":"Liona C.","non-dropping-particle":"","parse-names":false,"suffix":""},{"dropping-particle":"","family":"Rana","given":"Sarosh","non-dropping-particle":"","parse-names":false,"suffix":""},{"dropping-particle":"","family":"Saito","given":"Shigeru","non-dropping-particle":"","parse-names":false,"suffix":""},{"dropping-particle":"","family":"Staff","given":"Anne Cathrine","non-dropping-particle":"","parse-names":false,"suffix":""},{"dropping-particle":"","family":"Tsigas","given":"Eleni","non-dropping-particle":"","parse-names":false,"suffix":""},{"dropping-particle":"","family":"Dadelszen","given":"Peter","non-dropping-particle":"von","parse-names":false,"suffix":""}],"container-title":"Pregnancy Hypertension","id":"ITEM-1","issue":"October 2021","issued":{"date-parts":[["2022"]]},"page":"148-169","publisher":"Elsevier B.V.","title":"The 2021 International Society for the Study of Hypertension in Pregnancy classification, diagnosis &amp; management recommendations for international practice","type":"article-journal","volume":"27"},"uris":["http://www.mendeley.com/documents/?uuid=b2428a87-f3ee-498d-80bf-58463b6ac894"]},{"id":"ITEM-2","itemData":{"DOI":"10.1016/j.jadohealth.2020.05.053","ISSN":"18791972","PMID":"32713740","abstract":"Purpose: The purpose of the study was to better understand the progressive development of health self-management among adolescents and emerging adults (AEAs) with chronic medical conditions in order to identify opportunities to prepare AEA for transition to adult-based care. Methods: Twenty-three AEA aged 17–20 years with renal, inflammatory bowel, or rheumatologic diseases, and their parents, completed individual semistructured interviews describing each AEA's health self-management. Self-Determination Theory was used to frame interview questions, including the constructs of competence, autonomy, and autonomy support. Transcripts were analyzed using directed content analysis. Results: Four themes emerged: Development of Competence in Self-Management; Autonomy: Motivations to Self-Manage; Ways Important Others Support or Hinder Independence; and Normal Adolescent Development. AEA's competency and autonomy increased as they progressed from lack of knowledge about self-management to having knowledge without doing tasks, and, ultimately, to independent completion of tasks. Motivations to self-manage included avoiding sickness/weakness and wanting to engage in activities. Parents and providers supported AEA's autonomy through teaching and transferring responsibility. Parental fear/lack of trust in AEA's ability to self-manage hindered development of AEA's autonomy, producing anxiety. Normal adolescent development impacted timing of self-management task mastery. Conclusions: As AEA gain competence in increasingly complex self-management tasks, they assume greater responsibility for managing their health. Competence and autonomy are facilitated by a feedback loop: AEA successful self-management increased parent trust, enabling the parent to transfer responsibility for more complex tasks. Conversely, parents' fear of the AEA doing wrong hinders transfer of responsibility, limiting competence and autonomy. Health-care providers play an important role in fostering autonomy.","author":[{"dropping-particle":"","family":"Lee","given":"Celine C.","non-dropping-particle":"","parse-names":false,"suffix":""},{"dropping-particle":"","family":"Enzler","given":"Cassandra J.","non-dropping-particle":"","parse-names":false,"suffix":""},{"dropping-particle":"","family":"Garland","given":"Beth H.","non-dropping-particle":"","parse-names":false,"suffix":""},{"dropping-particle":"","family":"Zimmerman","given":"Cortney J.","non-dropping-particle":"","parse-names":false,"suffix":""},{"dropping-particle":"","family":"Raphael","given":"Jean L.","non-dropping-particle":"","parse-names":false,"suffix":""},{"dropping-particle":"","family":"Hergenroeder","given":"Albert C.","non-dropping-particle":"","parse-names":false,"suffix":""},{"dropping-particle":"","family":"Wiemann","given":"Constance M.","non-dropping-particle":"","parse-names":false,"suffix":""}],"container-title":"Journal of Adolescent Health","id":"ITEM-2","issue":"2","issued":{"date-parts":[["2021"]]},"page":"394-402","publisher":"Elsevier Inc.","title":"The Development of Health Self-Management Among Adolescents With Chronic Conditions: An Application of Self-Determination Theory","type":"article-journal","volume":"68"},"uris":["http://www.mendeley.com/documents/?uuid=a44a1e89-cc1b-4c5d-9131-89d6765ea768"]},{"id":"ITEM-3","itemData":{"DOI":"10.1038/jhh.2015.73","ISSN":"14765527","PMID":"26155993","abstract":"Preeclampsia is a disorder of pregnancy characterized by endothelial activation. It is believed to be a response to a 'toxin(s)' from the placenta including trophoblastic debris and inflammatory cytokines. Calcium is known to reduce the risk of preeclampsia but the mechanism of its protective effect remains unknown. In this study, we investigated the potential mechanism(s) of calcium supplementation for preventing endothelial activation induced by trophoblastic debris. Trophoblastic debris was harvested from preeclamptic placentae and also from first-trimester placentae, which had been treated with preeclamptic sera. Endothelial cells were then cultured with trophoblastic debris in the presence of calcium. Endothelial activation was measured by quantifying endothelial cell-surface intercellular adhesion molecule-1 (ICAM-1) and by U937 monocyte adhesion to endothelial cells. The expression of ICAM-1 and U937 adhesion to endothelial cells were significantly reduced following exposure of endothelial cells to trophoblastic debris from preeclamptic placenta or from first-trimester placentae treated with preeclamptic sera in the presence of calcium compared with treatment without calcium. The expression of ICAM-1 was also significantly reduced following exposure of endothelial cells to trophoblastic debris with the nitric oxide donor or following treatment of endothelial cells with interleukin (IL)-1β in the presence of calcium. Our study demonstrated that calcium supplementation prevented endothelial cell activation induced by trophoblastic debris from preeclamptic placentae. The nitric oxide synthase (NOS) pathway and anti-inflammatory effects are involved in the action of calcium on endothelial cell activation. These findings may suggest, at least in part, the protective mechanism of calcium supplementation on preeclampsia.","author":[{"dropping-particle":"","family":"Desousa","given":"J.","non-dropping-particle":"","parse-names":false,"suffix":""},{"dropping-particle":"","family":"Tong","given":"M.","non-dropping-particle":"","parse-names":false,"suffix":""},{"dropping-particle":"","family":"Wei","given":"J.","non-dropping-particle":"","parse-names":false,"suffix":""},{"dropping-particle":"","family":"Chamley","given":"L.","non-dropping-particle":"","parse-names":false,"suffix":""},{"dropping-particle":"","family":"Stone","given":"P.","non-dropping-particle":"","parse-names":false,"suffix":""},{"dropping-particle":"","family":"Chen","given":"Q.","non-dropping-particle":"","parse-names":false,"suffix":""}],"container-title":"Journal of Human Hypertension","id":"ITEM-3","issue":"5","issued":{"date-parts":[["2016"]]},"page":"303-308","publisher":"Nature Publishing Group","title":"The anti-inflammatory effect of calcium for preventing endothelial cell activation in preeclampsia","type":"article-journal","volume":"30"},"uris":["http://www.mendeley.com/documents/?uuid=fb6c56b8-d795-4329-96b9-2099a54c165a"]}],"mendeley":{"formattedCitation":"(Desousa et al., 2016; Lee et al., 2021; Magee et al., 2022)","plainTextFormattedCitation":"(Desousa et al., 2016; Lee et al., 2021; Magee et al., 2022)","previouslyFormattedCitation":"(Desousa et al., 2016; Lee et al., 2021; Magee et al., 2022)"},"properties":{"noteIndex":0},"schema":"https://github.com/citation-style-language/schema/raw/master/csl-citation.json"}</w:instrText>
      </w:r>
      <w:r w:rsidR="002352DE">
        <w:rPr>
          <w:rFonts w:ascii="Times New Roman" w:hAnsi="Times New Roman" w:cs="Times New Roman"/>
        </w:rPr>
        <w:fldChar w:fldCharType="separate"/>
      </w:r>
      <w:r w:rsidR="002352DE" w:rsidRPr="002352DE">
        <w:rPr>
          <w:rFonts w:ascii="Times New Roman" w:hAnsi="Times New Roman" w:cs="Times New Roman"/>
          <w:noProof/>
        </w:rPr>
        <w:t>(Desousa et al., 2016; Lee et al., 2021; Magee et al., 2022)</w:t>
      </w:r>
      <w:r w:rsidR="002352DE">
        <w:rPr>
          <w:rFonts w:ascii="Times New Roman" w:hAnsi="Times New Roman" w:cs="Times New Roman"/>
        </w:rPr>
        <w:fldChar w:fldCharType="end"/>
      </w:r>
      <w:r w:rsidRPr="00952CD4">
        <w:rPr>
          <w:rFonts w:ascii="Times New Roman" w:hAnsi="Times New Roman" w:cs="Times New Roman"/>
        </w:rPr>
        <w:t>.</w:t>
      </w:r>
    </w:p>
    <w:p w14:paraId="73761DB3" w14:textId="4B3EA672" w:rsidR="00952CD4" w:rsidRPr="00952CD4" w:rsidRDefault="00952CD4" w:rsidP="00EF0802">
      <w:pPr>
        <w:spacing w:line="360" w:lineRule="auto"/>
        <w:jc w:val="both"/>
        <w:rPr>
          <w:rFonts w:ascii="Times New Roman" w:hAnsi="Times New Roman" w:cs="Times New Roman"/>
        </w:rPr>
      </w:pPr>
      <w:r w:rsidRPr="00952CD4">
        <w:rPr>
          <w:rFonts w:ascii="Times New Roman" w:hAnsi="Times New Roman" w:cs="Times New Roman"/>
        </w:rPr>
        <w:t>Given the interrelationship between thyroid and hypertensive disorders, and the pivotal role lifestyle factors play in influencing maternal health trajectories, it becomes imperative to explore how lifestyle interventions can be systematically integrated into antenatal care</w:t>
      </w:r>
      <w:r w:rsidR="002352DE">
        <w:rPr>
          <w:rFonts w:ascii="Times New Roman" w:hAnsi="Times New Roman" w:cs="Times New Roman"/>
        </w:rPr>
        <w:t xml:space="preserve"> </w:t>
      </w:r>
      <w:r w:rsidR="002352DE">
        <w:rPr>
          <w:rFonts w:ascii="Times New Roman" w:hAnsi="Times New Roman" w:cs="Times New Roman"/>
        </w:rPr>
        <w:fldChar w:fldCharType="begin" w:fldLock="1"/>
      </w:r>
      <w:r w:rsidR="002352DE">
        <w:rPr>
          <w:rFonts w:ascii="Times New Roman" w:hAnsi="Times New Roman" w:cs="Times New Roman"/>
        </w:rPr>
        <w:instrText>ADDIN CSL_CITATION {"citationItems":[{"id":"ITEM-1","itemData":{"DOI":"10.1016/j.preghy.2015.04.001","ISSN":"22107797","PMID":"26597740","abstract":"Background Epidemiological findings suggest that the link between poverty and pre-eclampsia might be dietary calcium deficiency. Calcium supplementation has been associated with a modest reduction in pre-eclampsia, and also in blood pressure (BP). Methods This exploratory sub-study of the WHO Calcium and Pre-eclampsia (CAP) trial aims to determine the effect of 500 mg/day elemental calcium on the blood pressure of non-pregnant women with previous pre-eclampsia. Non-pregnant women with at least one subsequent follow-up trial visit at approximately 12 or 24 weeks after randomization were included. Results Of 836 women randomized by 9 September 2014, 1st visit data were available in 367 women of whom 217 had previously had severe pre-eclampsia, 2nd visit data were available in 201 women. There was an overall trend to reduced BP in the calcium supplementation group (1-2.5 mmHg) although differences were small and not statistically significant. In the subgroup with previous severe pre-eclampsia, the mean diastolic BP change in the calcium group (-2.6 mmHg) was statistically larger than in the placebo group (+0.8 mmHg), (mean difference -3.4, 95% CI -0.4 to -6.4; p = 0.025). The effect of calcium on diastolic BP at 12 weeks was greater than in those with non-severe pre-eclampsia (p = 0.020, ANOVA analysis). Conclusions There is an overall trend to reduced BP but only statistically significant in the diastolic BP of women with previous severe pre-eclampsia. This is consistent with our hypothesis that this group is more sensitive to calcium supplementation, however results need to be interpreted with caution.","author":[{"dropping-particle":"","family":"Hofmeyr","given":"G. J.","non-dropping-particle":"","parse-names":false,"suffix":""},{"dropping-particle":"","family":"Seuc","given":"A. H.","non-dropping-particle":"","parse-names":false,"suffix":""},{"dropping-particle":"","family":"Betrán","given":"A. P.","non-dropping-particle":"","parse-names":false,"suffix":""},{"dropping-particle":"","family":"Purnat","given":"T. D.","non-dropping-particle":"","parse-names":false,"suffix":""},{"dropping-particle":"","family":"Ciganda","given":"A.","non-dropping-particle":"","parse-names":false,"suffix":""},{"dropping-particle":"","family":"Munjanja","given":"S. P.","non-dropping-particle":"","parse-names":false,"suffix":""},{"dropping-particle":"","family":"Manyame","given":"S.","non-dropping-particle":"","parse-names":false,"suffix":""},{"dropping-particle":"","family":"Singata","given":"M.","non-dropping-particle":"","parse-names":false,"suffix":""},{"dropping-particle":"","family":"Fawcus","given":"S.","non-dropping-particle":"","parse-names":false,"suffix":""},{"dropping-particle":"","family":"Frank","given":"K.","non-dropping-particle":"","parse-names":false,"suffix":""},{"dropping-particle":"","family":"Hall","given":"D. R.","non-dropping-particle":"","parse-names":false,"suffix":""},{"dropping-particle":"","family":"Cormick","given":"G.","non-dropping-particle":"","parse-names":false,"suffix":""},{"dropping-particle":"","family":"Roberts","given":"J. M.","non-dropping-particle":"","parse-names":false,"suffix":""},{"dropping-particle":"","family":"Bergel","given":"E. F.","non-dropping-particle":"","parse-names":false,"suffix":""},{"dropping-particle":"","family":"Drebit","given":"S. K.","non-dropping-particle":"","parse-names":false,"suffix":""},{"dropping-particle":"","family":"Dadelszen","given":"P.","non-dropping-particle":"Von","parse-names":false,"suffix":""},{"dropping-particle":"","family":"Belizan","given":"J. M.","non-dropping-particle":"","parse-names":false,"suffix":""}],"container-title":"Pregnancy Hypertension","id":"ITEM-1","issue":"4","issued":{"date-parts":[["2015"]]},"page":"273-279","publisher":"International Society for the Study of Hypertension in Pregnancy","title":"The effect of calcium supplementation on blood pressure in non-pregnant women with previous pre-eclampsia: An exploratory, randomized placebo controlled study","type":"article-journal","volume":"5"},"uris":["http://www.mendeley.com/documents/?uuid=4e54a921-6838-449c-8649-d66f2189c848"]},{"id":"ITEM-2","itemData":{"DOI":"10.5603/KP.a2017.0184","ISSN":"18974279","PMID":"28980293","abstract":"Background and aim: The aim of the study was to assess the impact of individualised nutritional intervention based on the DASH diet (Dietary Approaches to Stop Hypertension) on the nutritional status, blood pressure, and selected biochemical parameters of obese/overweight patients with primary arterial hypertension. Methods: A total of 131 participants were randomised to the DASH intervention group (DIG; n = 69, 33 males) or the control group (CG; n = 62, 32 males). A three-month nutritional intervention was carried out in the DIG group, while the control group received only standard recommendations. Body weight, height, waist and hip circumference, body composition, blood pressure, serum glucose, and insulin and leptin concentrations were measured at the baseline and after the intervention. Results: Sixty-four (92.8%) participants in the intervention and 62 (100%) in the control group completed the study. In the DIG group a significant decrease in body mass, systolic and diastolic blood pressure, body fat content, fasting glucose, insulin, and leptin concentrations were observed in comparison to the control group (p &lt; 0.05). Conclusions: The DASH dietary intervention provides significant benefits to overweight/obese patients with primary hypertension.","author":[{"dropping-particle":"","family":"Kucharska","given":"Alicja","non-dropping-particle":"","parse-names":false,"suffix":""},{"dropping-particle":"","family":"Gajewska","given":"Danuta","non-dropping-particle":"","parse-names":false,"suffix":""},{"dropping-particle":"","family":"Kiedrowski","given":"Mirosław","non-dropping-particle":"","parse-names":false,"suffix":""},{"dropping-particle":"","family":"Sińska","given":"Beata","non-dropping-particle":"","parse-names":false,"suffix":""},{"dropping-particle":"","family":"Juszczyk","given":"Grzegorz","non-dropping-particle":"","parse-names":false,"suffix":""},{"dropping-particle":"","family":"Czerw","given":"Aleksandra","non-dropping-particle":"","parse-names":false,"suffix":""},{"dropping-particle":"","family":"Augustynowicz","given":"Anna","non-dropping-particle":"","parse-names":false,"suffix":""},{"dropping-particle":"","family":"Bobiński","given":"Krzysztof","non-dropping-particle":"","parse-names":false,"suffix":""},{"dropping-particle":"","family":"Deptała","given":"Andrzej","non-dropping-particle":"","parse-names":false,"suffix":""},{"dropping-particle":"","family":"Niegowska","given":"Joanna","non-dropping-particle":"","parse-names":false,"suffix":""}],"container-title":"Kardiologia Polska","id":"ITEM-2","issue":"1","issued":{"date-parts":[["2018"]]},"page":"158-165","title":"The impact of individualised nutritional therapy according to DASH diet on blood pressure, body mass, and selected biochemical parameters in overweight/obese patients with primary arterial hypertension: a prospective randomised study","type":"article-journal","volume":"76"},"uris":["http://www.mendeley.com/documents/?uuid=ee9998c0-e05a-4171-b501-76d74db2377a"]}],"mendeley":{"formattedCitation":"(Hofmeyr et al., 2015; Kucharska et al., 2018)","plainTextFormattedCitation":"(Hofmeyr et al., 2015; Kucharska et al., 2018)","previouslyFormattedCitation":"(Hofmeyr et al., 2015; Kucharska et al., 2018)"},"properties":{"noteIndex":0},"schema":"https://github.com/citation-style-language/schema/raw/master/csl-citation.json"}</w:instrText>
      </w:r>
      <w:r w:rsidR="002352DE">
        <w:rPr>
          <w:rFonts w:ascii="Times New Roman" w:hAnsi="Times New Roman" w:cs="Times New Roman"/>
        </w:rPr>
        <w:fldChar w:fldCharType="separate"/>
      </w:r>
      <w:r w:rsidR="002352DE" w:rsidRPr="002352DE">
        <w:rPr>
          <w:rFonts w:ascii="Times New Roman" w:hAnsi="Times New Roman" w:cs="Times New Roman"/>
          <w:noProof/>
        </w:rPr>
        <w:t>(Hofmeyr et al., 2015; Kucharska et al., 2018)</w:t>
      </w:r>
      <w:r w:rsidR="002352DE">
        <w:rPr>
          <w:rFonts w:ascii="Times New Roman" w:hAnsi="Times New Roman" w:cs="Times New Roman"/>
        </w:rPr>
        <w:fldChar w:fldCharType="end"/>
      </w:r>
      <w:r w:rsidRPr="00952CD4">
        <w:rPr>
          <w:rFonts w:ascii="Times New Roman" w:hAnsi="Times New Roman" w:cs="Times New Roman"/>
        </w:rPr>
        <w:t xml:space="preserve">. This literature review, therefore, aims to examine existing empirical evidence on thyroid dysfunction and hypertension during pregnancy, assess the awareness levels among pregnant women, and evaluate the role and effectiveness of lifestyle modifications as a preventive and management tool. This exploration sets the foundation for understanding the relevance of the present study and the development of targeted educational and </w:t>
      </w:r>
      <w:proofErr w:type="spellStart"/>
      <w:r w:rsidRPr="00952CD4">
        <w:rPr>
          <w:rFonts w:ascii="Times New Roman" w:hAnsi="Times New Roman" w:cs="Times New Roman"/>
        </w:rPr>
        <w:t>behavioral</w:t>
      </w:r>
      <w:proofErr w:type="spellEnd"/>
      <w:r w:rsidRPr="00952CD4">
        <w:rPr>
          <w:rFonts w:ascii="Times New Roman" w:hAnsi="Times New Roman" w:cs="Times New Roman"/>
        </w:rPr>
        <w:t xml:space="preserve"> interventions to improve maternal health outcomes.</w:t>
      </w:r>
    </w:p>
    <w:p w14:paraId="3F31ABEE" w14:textId="77777777" w:rsidR="00952CD4" w:rsidRPr="00952CD4" w:rsidRDefault="00952CD4" w:rsidP="00EF0802">
      <w:pPr>
        <w:spacing w:line="360" w:lineRule="auto"/>
        <w:jc w:val="both"/>
        <w:rPr>
          <w:rFonts w:ascii="Times New Roman" w:hAnsi="Times New Roman" w:cs="Times New Roman"/>
          <w:b/>
          <w:bCs/>
        </w:rPr>
      </w:pPr>
    </w:p>
    <w:p w14:paraId="155E4B60" w14:textId="6B192873" w:rsidR="00952CD4" w:rsidRDefault="00952CD4" w:rsidP="00EF0802">
      <w:pPr>
        <w:spacing w:line="360" w:lineRule="auto"/>
        <w:jc w:val="both"/>
        <w:rPr>
          <w:rFonts w:ascii="Times New Roman" w:hAnsi="Times New Roman" w:cs="Times New Roman"/>
          <w:b/>
          <w:bCs/>
        </w:rPr>
      </w:pPr>
      <w:r w:rsidRPr="00952CD4">
        <w:rPr>
          <w:rFonts w:ascii="Times New Roman" w:hAnsi="Times New Roman" w:cs="Times New Roman"/>
          <w:b/>
          <w:bCs/>
        </w:rPr>
        <w:t>2.2 Studies related to Knowledge regarding Hypertension</w:t>
      </w:r>
    </w:p>
    <w:p w14:paraId="631397D9" w14:textId="58CF4A2C" w:rsidR="00952CD4" w:rsidRPr="00952CD4" w:rsidRDefault="00952CD4" w:rsidP="00EF0802">
      <w:pPr>
        <w:spacing w:line="360" w:lineRule="auto"/>
        <w:jc w:val="both"/>
        <w:rPr>
          <w:rFonts w:ascii="Times New Roman" w:hAnsi="Times New Roman" w:cs="Times New Roman"/>
        </w:rPr>
      </w:pPr>
      <w:r w:rsidRPr="00952CD4">
        <w:rPr>
          <w:rFonts w:ascii="Times New Roman" w:hAnsi="Times New Roman" w:cs="Times New Roman"/>
        </w:rPr>
        <w:t xml:space="preserve">Studies related to knowledge regarding hypertension are presented as follows; </w:t>
      </w:r>
    </w:p>
    <w:p w14:paraId="382E76EA" w14:textId="77777777" w:rsidR="00952CD4" w:rsidRPr="00952CD4" w:rsidRDefault="00952CD4" w:rsidP="00EF0802">
      <w:pPr>
        <w:pStyle w:val="ListParagraph"/>
        <w:numPr>
          <w:ilvl w:val="0"/>
          <w:numId w:val="18"/>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 xml:space="preserve">According to the comprehensive review by Roberts et al. (2019), “Depression, Anxiety, and Post-Traumatic Stress Disorder Following a Hypertensive Disorder of Pregnancy: A Narrative Literature Review” examines the link between hypertensive disorders of pregnancy (HDP) and mental health conditions such as postpartum anxiety (PPA), postpartum depression (PPD), and post-traumatic stress disorder (PTSD). The authors </w:t>
      </w:r>
      <w:proofErr w:type="spellStart"/>
      <w:r w:rsidRPr="00952CD4">
        <w:rPr>
          <w:rFonts w:ascii="Times New Roman" w:eastAsia="Times New Roman" w:hAnsi="Times New Roman" w:cs="Times New Roman"/>
          <w:lang w:bidi="hi-IN"/>
        </w:rPr>
        <w:t>analyze</w:t>
      </w:r>
      <w:proofErr w:type="spellEnd"/>
      <w:r w:rsidRPr="00952CD4">
        <w:rPr>
          <w:rFonts w:ascii="Times New Roman" w:eastAsia="Times New Roman" w:hAnsi="Times New Roman" w:cs="Times New Roman"/>
          <w:lang w:bidi="hi-IN"/>
        </w:rPr>
        <w:t xml:space="preserve"> 17 studies, indicating that maternal morbidity and the severity of these conditions increase following severe HDP presentations. While the findings are not definitive, the potential association supports the need for further evaluation of mental health disorders in postpartum </w:t>
      </w:r>
      <w:r w:rsidRPr="00952CD4">
        <w:rPr>
          <w:rFonts w:ascii="Times New Roman" w:eastAsia="Times New Roman" w:hAnsi="Times New Roman" w:cs="Times New Roman"/>
          <w:lang w:bidi="hi-IN"/>
        </w:rPr>
        <w:lastRenderedPageBreak/>
        <w:t>women, particularly those with HDP. The review emphasizes the importance of future research to advance clinical strategies and improve the management of such patients.</w:t>
      </w:r>
    </w:p>
    <w:p w14:paraId="6994AE3F" w14:textId="77777777" w:rsidR="00952CD4" w:rsidRPr="00952CD4" w:rsidRDefault="00952CD4" w:rsidP="00EF0802">
      <w:pPr>
        <w:pStyle w:val="ListParagraph"/>
        <w:numPr>
          <w:ilvl w:val="0"/>
          <w:numId w:val="18"/>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According to the comprehensive review by Soomro et al. (2024), “Pregnant Women Struggling with High Blood Pressure and Stress in Pregnancy and Role of Nitric Oxide Supplement L-Arginine for Prolonged Period” highlights the positive effects of the supplement L-arginine, which the body utilizes to produce nitric oxide that improves blood vessel function in high-risk pregnancies by reducing diastolic blood pressure. The supplementation also extends the gestation period by one week and three days, although it shows no significant effect on systolic blood pressure. The findings support the assertion that L-arginine has favourable effects in preventing preeclampsia and managing hypertension, particularly in pregnant women.</w:t>
      </w:r>
    </w:p>
    <w:p w14:paraId="07ED8C6B" w14:textId="77777777" w:rsidR="00952CD4" w:rsidRPr="00952CD4" w:rsidRDefault="00952CD4" w:rsidP="00EF0802">
      <w:pPr>
        <w:pStyle w:val="ListParagraph"/>
        <w:numPr>
          <w:ilvl w:val="0"/>
          <w:numId w:val="18"/>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In their analysis, Schutte et al. (2021) discuss the increasing hypertension loads in LMICs where, despite the growing figure, the awareness and control of hypertension are critically low. The traditional risks include the consumption of undesirable diets, lack of physical activity, and obesity; whereas novel risks such as pollution and urbanization require more study. Global approaches discussed in the article include the HEARTS technical package and access to healthcare. Potential approaches include the salt-atherosclerosis campaign, expanding telehealth capability, and the use of low-cost compound regimens. There is an evident urgent political and scientific need to address hypertension in LMICs to bring about feasible measures for intervention, thus reducing hypertension disparities.</w:t>
      </w:r>
    </w:p>
    <w:p w14:paraId="3F309D11" w14:textId="77777777" w:rsidR="00952CD4" w:rsidRPr="00952CD4" w:rsidRDefault="00952CD4" w:rsidP="00EF0802">
      <w:pPr>
        <w:pStyle w:val="ListParagraph"/>
        <w:numPr>
          <w:ilvl w:val="0"/>
          <w:numId w:val="18"/>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 xml:space="preserve">According to the comprehensive review by </w:t>
      </w:r>
      <w:proofErr w:type="spellStart"/>
      <w:r w:rsidRPr="00952CD4">
        <w:rPr>
          <w:rFonts w:ascii="Times New Roman" w:eastAsia="Times New Roman" w:hAnsi="Times New Roman" w:cs="Times New Roman"/>
          <w:lang w:bidi="hi-IN"/>
        </w:rPr>
        <w:t>Tinawi</w:t>
      </w:r>
      <w:proofErr w:type="spellEnd"/>
      <w:r w:rsidRPr="00952CD4">
        <w:rPr>
          <w:rFonts w:ascii="Times New Roman" w:eastAsia="Times New Roman" w:hAnsi="Times New Roman" w:cs="Times New Roman"/>
          <w:lang w:bidi="hi-IN"/>
        </w:rPr>
        <w:t xml:space="preserve"> (2020), “Hypertension in Pregnancy” provides a brief but comprehensive understanding of hypertension during pregnancy, emphasizing the importance of prompt diagnosis and management. This article outlines the classificational system of hypertension, discusses treatment approaches for the condition, and highlights key parameters for preeclampsia management based on up-to-date guidelines. The review also underscores that untreated hypertension poses severe risks to both expectant mothers and their babies. As a working document, the article aims to offer a snapshot to assist clinicians in managing hypertensive complications during pregnancy.</w:t>
      </w:r>
    </w:p>
    <w:p w14:paraId="470677DB" w14:textId="77777777" w:rsidR="00952CD4" w:rsidRPr="00952CD4" w:rsidRDefault="00952CD4" w:rsidP="00EF0802">
      <w:pPr>
        <w:pStyle w:val="ListParagraph"/>
        <w:numPr>
          <w:ilvl w:val="0"/>
          <w:numId w:val="18"/>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lastRenderedPageBreak/>
        <w:t xml:space="preserve">A study conducted by </w:t>
      </w:r>
      <w:proofErr w:type="spellStart"/>
      <w:r w:rsidRPr="00952CD4">
        <w:rPr>
          <w:rFonts w:ascii="Times New Roman" w:eastAsia="Times New Roman" w:hAnsi="Times New Roman" w:cs="Times New Roman"/>
          <w:lang w:bidi="hi-IN"/>
        </w:rPr>
        <w:t>Kintiraki</w:t>
      </w:r>
      <w:proofErr w:type="spellEnd"/>
      <w:r w:rsidRPr="00952CD4">
        <w:rPr>
          <w:rFonts w:ascii="Times New Roman" w:eastAsia="Times New Roman" w:hAnsi="Times New Roman" w:cs="Times New Roman"/>
          <w:lang w:bidi="hi-IN"/>
        </w:rPr>
        <w:t xml:space="preserve"> et al. (2015) delves into “Pregnancy-induced Hypertension,” a condition that affects 6-10% of pregnant women. The disease is stratified according to blood pressure classes, with elevated risks to women until delivery, including the development of preeclampsia, placental problems, and adverse effects on the </w:t>
      </w:r>
      <w:proofErr w:type="spellStart"/>
      <w:r w:rsidRPr="00952CD4">
        <w:rPr>
          <w:rFonts w:ascii="Times New Roman" w:eastAsia="Times New Roman" w:hAnsi="Times New Roman" w:cs="Times New Roman"/>
          <w:lang w:bidi="hi-IN"/>
        </w:rPr>
        <w:t>fetus</w:t>
      </w:r>
      <w:proofErr w:type="spellEnd"/>
      <w:r w:rsidRPr="00952CD4">
        <w:rPr>
          <w:rFonts w:ascii="Times New Roman" w:eastAsia="Times New Roman" w:hAnsi="Times New Roman" w:cs="Times New Roman"/>
          <w:lang w:bidi="hi-IN"/>
        </w:rPr>
        <w:t>. The study discusses treatment approaches, key points regarding the initiation of hypertension medication, and suggests methyldopa as the first-line drug. The authors also address the importance of blood pressure checks and advocate for nonpharmacological treatment for mild hypertension.</w:t>
      </w:r>
    </w:p>
    <w:p w14:paraId="5E30EEDD" w14:textId="77777777" w:rsidR="00952CD4" w:rsidRPr="00952CD4" w:rsidRDefault="00952CD4" w:rsidP="00EF0802">
      <w:pPr>
        <w:pStyle w:val="ListParagraph"/>
        <w:numPr>
          <w:ilvl w:val="0"/>
          <w:numId w:val="18"/>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Pinheiro et al. (2016) highlight in their research that “Hypertensive Disorders During Pregnancy and Health Outcomes in the Offspring” can have medium and long-term effects on the health of offspring. The study, which reviewed 45 articles, established that maternal hypertension during pregnancy affects the offspring's cardiovascular, immune, and neurological development. Gestational hypertension is linked to elevated offspring blood pressure, while preeclampsia is associated with lower cognitive functioning. The review emphasizes the need for standardized guidelines to improve the consistency of future studies and to explore other metabolic impacts of hypertension disorders in pregnancy.</w:t>
      </w:r>
    </w:p>
    <w:p w14:paraId="16487A1E" w14:textId="77777777" w:rsidR="00952CD4" w:rsidRPr="00952CD4" w:rsidRDefault="00952CD4" w:rsidP="00EF0802">
      <w:pPr>
        <w:pStyle w:val="ListParagraph"/>
        <w:numPr>
          <w:ilvl w:val="0"/>
          <w:numId w:val="18"/>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 xml:space="preserve">The findings presented by Folk (2018) in “Hypertensive Disorders of Pregnancy: Overview and Current Recommendations” reveal a high level of both maternal and </w:t>
      </w:r>
      <w:proofErr w:type="spellStart"/>
      <w:r w:rsidRPr="00952CD4">
        <w:rPr>
          <w:rFonts w:ascii="Times New Roman" w:eastAsia="Times New Roman" w:hAnsi="Times New Roman" w:cs="Times New Roman"/>
          <w:lang w:bidi="hi-IN"/>
        </w:rPr>
        <w:t>fetal</w:t>
      </w:r>
      <w:proofErr w:type="spellEnd"/>
      <w:r w:rsidRPr="00952CD4">
        <w:rPr>
          <w:rFonts w:ascii="Times New Roman" w:eastAsia="Times New Roman" w:hAnsi="Times New Roman" w:cs="Times New Roman"/>
          <w:lang w:bidi="hi-IN"/>
        </w:rPr>
        <w:t xml:space="preserve"> morbidity and mortality related to hypertensive disorders of pregnancy and the limitations in accurately predicting preeclampsia due to the absence of specific biomarkers. The article focuses on the identification of hypertensive disorders, diagnostic procedures, therapy, and management plans, as well as providing advice on the future consequences of these conditions during the pregnancy period.</w:t>
      </w:r>
    </w:p>
    <w:p w14:paraId="75817E9A" w14:textId="77777777" w:rsidR="00952CD4" w:rsidRPr="00952CD4" w:rsidRDefault="00952CD4" w:rsidP="00EF0802">
      <w:pPr>
        <w:pStyle w:val="ListParagraph"/>
        <w:numPr>
          <w:ilvl w:val="0"/>
          <w:numId w:val="18"/>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 xml:space="preserve">Research led by Wu, Green, and Myers (2023) in “Hypertensive Disorders of Pregnancy” investigates hypertensive disorders of pregnancy (HDPs), including chronic hypertension, gestational hypertension, and pre-eclampsia. The study focuses on new directions in early pregnancy risk assessment, such as placental growth factor and the use of aspirin in preventing risks. It also examines changes in guidelines regarding blood pressure goals, the timing of birth, and postnatal period management. Highlighting the strong connection between HDPs and future cardiovascular disease, the research emphasizes the importance of </w:t>
      </w:r>
      <w:r w:rsidRPr="00952CD4">
        <w:rPr>
          <w:rFonts w:ascii="Times New Roman" w:eastAsia="Times New Roman" w:hAnsi="Times New Roman" w:cs="Times New Roman"/>
          <w:lang w:bidi="hi-IN"/>
        </w:rPr>
        <w:lastRenderedPageBreak/>
        <w:t>postnatal compliance and calls for future prospective research on primary prevention for the long-term cardiovascular health of high-risk women.</w:t>
      </w:r>
    </w:p>
    <w:p w14:paraId="03E2D282" w14:textId="77777777" w:rsidR="00952CD4" w:rsidRPr="00952CD4" w:rsidRDefault="00952CD4" w:rsidP="00EF0802">
      <w:pPr>
        <w:pStyle w:val="ListParagraph"/>
        <w:numPr>
          <w:ilvl w:val="0"/>
          <w:numId w:val="18"/>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Sakurai, Shishido, and Horiuchi (2022) present an in-depth review of “Experiences of Women with Hypertensive Disorders of Pregnancy: A Scoping Review.” In this scoping review, the authors outline how women perceive hypertensive disorders of pregnancy (HDP) as life-threatening, how they cope with the condition, their concerns for the baby, and their need for social support. The review highlights the long-term physical and psychological consequences of HDP and stresses the critical role of healthcare providers. According to the authors, future health risks for female patients diagnosed with HDP should be addressed through lifetime surveillance systems.</w:t>
      </w:r>
    </w:p>
    <w:p w14:paraId="2FB282BE" w14:textId="77777777" w:rsidR="00952CD4" w:rsidRPr="00952CD4" w:rsidRDefault="00952CD4" w:rsidP="00EF0802">
      <w:pPr>
        <w:pStyle w:val="ListParagraph"/>
        <w:numPr>
          <w:ilvl w:val="0"/>
          <w:numId w:val="18"/>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 xml:space="preserve">In examining the </w:t>
      </w:r>
      <w:r w:rsidRPr="00952CD4">
        <w:rPr>
          <w:rFonts w:ascii="Times New Roman" w:hAnsi="Times New Roman" w:cs="Times New Roman"/>
        </w:rPr>
        <w:t>“Impact of Educational Interventions on Knowledge About Hypertensive Disorders of Pregnancy Among Pregnant Women: A Systematic Review”</w:t>
      </w:r>
      <w:r w:rsidRPr="00952CD4">
        <w:rPr>
          <w:rFonts w:ascii="Times New Roman" w:eastAsia="Times New Roman" w:hAnsi="Times New Roman" w:cs="Times New Roman"/>
          <w:lang w:bidi="hi-IN"/>
        </w:rPr>
        <w:t xml:space="preserve">, Gholami et al. (2022) identify the results of a systematic review that analysed six papers with a total of 819 pregnant women. The interventions included pamphlets, smartphone applications, videos, and engaging presentations. The knowledge findings show a significant enhancement in participants’ understanding of HDP and the reduction of risks related to HDP complications. Consequently, the study re-emphasizes the need for individually appropriate educational interventions to reduce the risks of maternal and </w:t>
      </w:r>
      <w:proofErr w:type="spellStart"/>
      <w:r w:rsidRPr="00952CD4">
        <w:rPr>
          <w:rFonts w:ascii="Times New Roman" w:eastAsia="Times New Roman" w:hAnsi="Times New Roman" w:cs="Times New Roman"/>
          <w:lang w:bidi="hi-IN"/>
        </w:rPr>
        <w:t>fetal</w:t>
      </w:r>
      <w:proofErr w:type="spellEnd"/>
      <w:r w:rsidRPr="00952CD4">
        <w:rPr>
          <w:rFonts w:ascii="Times New Roman" w:eastAsia="Times New Roman" w:hAnsi="Times New Roman" w:cs="Times New Roman"/>
          <w:lang w:bidi="hi-IN"/>
        </w:rPr>
        <w:t xml:space="preserve"> complications among women experiencing HDP.</w:t>
      </w:r>
    </w:p>
    <w:p w14:paraId="6E4E91BB" w14:textId="77777777" w:rsidR="00952CD4" w:rsidRPr="00952CD4" w:rsidRDefault="00952CD4" w:rsidP="00EF0802">
      <w:pPr>
        <w:pStyle w:val="ListParagraph"/>
        <w:numPr>
          <w:ilvl w:val="0"/>
          <w:numId w:val="18"/>
        </w:numPr>
        <w:spacing w:line="360" w:lineRule="auto"/>
        <w:jc w:val="both"/>
        <w:rPr>
          <w:rFonts w:ascii="Times New Roman" w:eastAsia="Times New Roman" w:hAnsi="Times New Roman" w:cs="Times New Roman"/>
          <w:lang w:bidi="hi-IN"/>
        </w:rPr>
      </w:pPr>
      <w:proofErr w:type="spellStart"/>
      <w:r w:rsidRPr="00952CD4">
        <w:rPr>
          <w:rFonts w:ascii="Times New Roman" w:eastAsia="Times New Roman" w:hAnsi="Times New Roman" w:cs="Times New Roman"/>
          <w:lang w:bidi="hi-IN"/>
        </w:rPr>
        <w:t>Palve</w:t>
      </w:r>
      <w:proofErr w:type="spellEnd"/>
      <w:r w:rsidRPr="00952CD4">
        <w:rPr>
          <w:rFonts w:ascii="Times New Roman" w:eastAsia="Times New Roman" w:hAnsi="Times New Roman" w:cs="Times New Roman"/>
          <w:lang w:bidi="hi-IN"/>
        </w:rPr>
        <w:t xml:space="preserve"> (2019) offers valuable insights into gestational hypertension with “Gestational Hypertension: Overview and Current Recommendations.” This paper explores the role of hypertension in pregnancy as a significant cause of maternal and perinatal morbidities and mortality. It explains various hypertensive disorders, including preeclampsia and eclampsia, and reiterates the importance of proper diagnosis and intervention to prevent complications for both the mother and child. Preeclampsia is found in 8–10% of pregnancies in India, particularly in primigravidae women between 20 weeks of gestation. The research addresses risk factors, medications and vitamins, non-medicinal therapies for pregnancy-induced hypertension, the role of antenatal care, and self-care management in ensuring safe childbirth.</w:t>
      </w:r>
    </w:p>
    <w:p w14:paraId="5739A38D" w14:textId="77777777" w:rsidR="00952CD4" w:rsidRPr="00952CD4" w:rsidRDefault="00952CD4" w:rsidP="00EF0802">
      <w:pPr>
        <w:pStyle w:val="NormalWeb"/>
        <w:numPr>
          <w:ilvl w:val="0"/>
          <w:numId w:val="18"/>
        </w:numPr>
        <w:spacing w:before="0" w:beforeAutospacing="0" w:after="160" w:afterAutospacing="0" w:line="360" w:lineRule="auto"/>
        <w:jc w:val="both"/>
      </w:pPr>
      <w:r w:rsidRPr="00952CD4">
        <w:lastRenderedPageBreak/>
        <w:t>The research work by Pimenta (2012) sheds light on “Hypertension in Women” with a focus on the effects of combined oral contraceptives. This type of contraception can cause hypertension and increase cardiovascular risk among some users, although in most cases, blood pressure returns to normal within three months after cessation of use. The article also highlights unanswered questions concerning the impact of menopause and hormone replacement therapy (HRT) on blood pressure, and notes that new types of progestin are preferred for hypertensive females. While cancer is becoming more prevalent, cardiovascular diseases are now the leading cause of death among women. The study emphasizes that antihypertensive therapy remains the same for both men and women.</w:t>
      </w:r>
    </w:p>
    <w:p w14:paraId="5944325C" w14:textId="77777777" w:rsidR="00952CD4" w:rsidRPr="00952CD4" w:rsidRDefault="00952CD4" w:rsidP="00EF0802">
      <w:pPr>
        <w:pStyle w:val="NormalWeb"/>
        <w:numPr>
          <w:ilvl w:val="0"/>
          <w:numId w:val="18"/>
        </w:numPr>
        <w:spacing w:before="0" w:beforeAutospacing="0" w:after="160" w:afterAutospacing="0" w:line="360" w:lineRule="auto"/>
        <w:jc w:val="both"/>
      </w:pPr>
      <w:r w:rsidRPr="00952CD4">
        <w:t xml:space="preserve">Moussa, Arian, and </w:t>
      </w:r>
      <w:proofErr w:type="spellStart"/>
      <w:r w:rsidRPr="00952CD4">
        <w:t>Sibai</w:t>
      </w:r>
      <w:proofErr w:type="spellEnd"/>
      <w:r w:rsidRPr="00952CD4">
        <w:t xml:space="preserve"> (2014) systematically review the “Management of Hypertensive Disorders in Pregnancy”, highlighting these disorders as the most frequent medical complication of pregnancy, affecting 5-10% of pregnant women and significantly contributing to maternal mortality in the USA. With a 25% increase in the incidence of preeclampsia over two decades, the review discusses new task force recommendations, newly defined disorders, and updated approaches to managing them. It also reviews progress in understanding the pathophysiology of these conditions and the development of medical treatments that are less toxic and teratogenic to the </w:t>
      </w:r>
      <w:proofErr w:type="spellStart"/>
      <w:r w:rsidRPr="00952CD4">
        <w:t>fetus</w:t>
      </w:r>
      <w:proofErr w:type="spellEnd"/>
      <w:r w:rsidRPr="00952CD4">
        <w:t xml:space="preserve">. The review emphasizes </w:t>
      </w:r>
      <w:proofErr w:type="spellStart"/>
      <w:r w:rsidRPr="00952CD4">
        <w:t>fetal</w:t>
      </w:r>
      <w:proofErr w:type="spellEnd"/>
      <w:r w:rsidRPr="00952CD4">
        <w:t xml:space="preserve"> programming and adult disease prevention as essential milestones for future generation management.</w:t>
      </w:r>
    </w:p>
    <w:p w14:paraId="284CE0F8" w14:textId="77777777" w:rsidR="00952CD4" w:rsidRPr="00952CD4" w:rsidRDefault="00952CD4" w:rsidP="00EF0802">
      <w:pPr>
        <w:pStyle w:val="NormalWeb"/>
        <w:numPr>
          <w:ilvl w:val="0"/>
          <w:numId w:val="18"/>
        </w:numPr>
        <w:spacing w:before="0" w:beforeAutospacing="0" w:after="160" w:afterAutospacing="0" w:line="360" w:lineRule="auto"/>
        <w:jc w:val="both"/>
      </w:pPr>
      <w:r w:rsidRPr="00952CD4">
        <w:t xml:space="preserve">Through their investigation, Chapman et al. (2023) emphasize “Arterial Hypertension in Women: State of the Art and Knowledge Gaps” as a global risk factor for cardiovascular disease and mortality in women. The article highlights gaps in understanding the pathophysiology by sex, and the non-adherence to more comprehensive female risk factors in clinical recommendations, particularly for female patients. The review explores obstetric and social determinants of hypertension, such as </w:t>
      </w:r>
      <w:proofErr w:type="spellStart"/>
      <w:r w:rsidRPr="00952CD4">
        <w:t>gynecological</w:t>
      </w:r>
      <w:proofErr w:type="spellEnd"/>
      <w:r w:rsidRPr="00952CD4">
        <w:t xml:space="preserve"> conditions, adverse pregnancy outcomes, menopause, and gender inaccessibility to medical care. Focusing specifically on initial management in postmenopausal women with type 2 diabetes, it suggests that diagnostic and therapeutic cut-offs will likely need to be lower in women to prevent subsequent cardiovascular events.</w:t>
      </w:r>
    </w:p>
    <w:p w14:paraId="285F5300" w14:textId="77777777" w:rsidR="00952CD4" w:rsidRPr="00952CD4" w:rsidRDefault="00952CD4" w:rsidP="00EF0802">
      <w:pPr>
        <w:pStyle w:val="NormalWeb"/>
        <w:numPr>
          <w:ilvl w:val="0"/>
          <w:numId w:val="18"/>
        </w:numPr>
        <w:spacing w:before="0" w:beforeAutospacing="0" w:after="160" w:afterAutospacing="0" w:line="360" w:lineRule="auto"/>
        <w:jc w:val="both"/>
      </w:pPr>
      <w:r w:rsidRPr="00952CD4">
        <w:lastRenderedPageBreak/>
        <w:t>An evaluation by Abrams (2015) discusses “Hypertension in Pregnancy: A Review of Current Guidelines,” exploring hypertensive conditions with a focus on preeclampsia-eclampsia, chronic hypertension, and postpartum hypertension. Choi and co-authors conducted a literature review to highlight preeclampsia, noting that ACOG's seventh edition of “Hypertension in Pregnancy” recently reported a 25% increase in eclampsia cases over the last fifteen years. The guidelines aim to assist treatment managers in incorporating them into their practice, inform healthcare providers about the risks, and promote awareness among patients and families. The article also examines risk factors, diagnostic criteria, and management of these disorders in accordance with the current ACOG guidelines.</w:t>
      </w:r>
    </w:p>
    <w:p w14:paraId="6BFFF6B9" w14:textId="77777777" w:rsidR="00952CD4" w:rsidRPr="00952CD4" w:rsidRDefault="00952CD4" w:rsidP="00EF0802">
      <w:pPr>
        <w:pStyle w:val="NormalWeb"/>
        <w:numPr>
          <w:ilvl w:val="0"/>
          <w:numId w:val="18"/>
        </w:numPr>
        <w:spacing w:before="0" w:beforeAutospacing="0" w:after="160" w:afterAutospacing="0" w:line="360" w:lineRule="auto"/>
        <w:jc w:val="both"/>
      </w:pPr>
      <w:r w:rsidRPr="00952CD4">
        <w:t xml:space="preserve">Insights provided by Razak et al. (2018) indicate “Pregnancy-Induced Hypertension and Neonatal Outcomes: A Systematic Review and Meta-Analysis” explores the effect of pregnancy-induced hypertension (PIH) on preterm neonates. The study, which included patients from 2000 to 2016, compares PIH to neonatal mortality, severe retinopathy of prematurity, and severe brain injury. It reports an </w:t>
      </w:r>
      <w:proofErr w:type="spellStart"/>
      <w:r w:rsidRPr="00952CD4">
        <w:t>an</w:t>
      </w:r>
      <w:proofErr w:type="spellEnd"/>
      <w:r w:rsidRPr="00952CD4">
        <w:t xml:space="preserve"> increased risk of bronchopulmonary dysplasia (BPD), &lt;29-week infants in PIH, and higher risk of mortality and invasive ventilation in severe PIH cases. The study demonstrates that the effects of PIH on newborns are varied, underscoring the need for further investigation into the processes and outcomes associated with the phenomenon.</w:t>
      </w:r>
    </w:p>
    <w:p w14:paraId="55A8FB3C" w14:textId="77777777" w:rsidR="00952CD4" w:rsidRPr="00952CD4" w:rsidRDefault="00952CD4" w:rsidP="00EF0802">
      <w:pPr>
        <w:pStyle w:val="NormalWeb"/>
        <w:numPr>
          <w:ilvl w:val="0"/>
          <w:numId w:val="18"/>
        </w:numPr>
        <w:spacing w:before="0" w:beforeAutospacing="0" w:after="160" w:afterAutospacing="0" w:line="360" w:lineRule="auto"/>
        <w:jc w:val="both"/>
      </w:pPr>
      <w:r w:rsidRPr="00952CD4">
        <w:t xml:space="preserve">An in-depth assessment by </w:t>
      </w:r>
      <w:proofErr w:type="spellStart"/>
      <w:r w:rsidRPr="00952CD4">
        <w:t>Wertaschnigg</w:t>
      </w:r>
      <w:proofErr w:type="spellEnd"/>
      <w:r w:rsidRPr="00952CD4">
        <w:t xml:space="preserve"> et al. (2019) uncovers “Treatment of Severe Hypertension During Pregnancy: We Still Do Not Know What the Best Option Is,” emphasizing the importance of antihypertensive therapy to prevent maternal death from intracranial </w:t>
      </w:r>
      <w:proofErr w:type="spellStart"/>
      <w:r w:rsidRPr="00952CD4">
        <w:t>hemorrhage</w:t>
      </w:r>
      <w:proofErr w:type="spellEnd"/>
      <w:r w:rsidRPr="00952CD4">
        <w:t xml:space="preserve"> and stroke. However, the precise target levels for maternal and </w:t>
      </w:r>
      <w:proofErr w:type="spellStart"/>
      <w:r w:rsidRPr="00952CD4">
        <w:t>fetal</w:t>
      </w:r>
      <w:proofErr w:type="spellEnd"/>
      <w:r w:rsidRPr="00952CD4">
        <w:t xml:space="preserve"> outcomes remain unknown. In many cases, the choice of antihypertensive medications is a concern for clinicians due to the lack of standardized, large-scale, randomized clinical trials. Consequently, knowledge regarding optimal outcomes for offspring in concurrent and subsequent therapy is limited, underscoring the need for sufficient trials to assess the effectiveness of treatments and their effects on offspring.</w:t>
      </w:r>
    </w:p>
    <w:p w14:paraId="4EBB1984" w14:textId="77777777" w:rsidR="00952CD4" w:rsidRPr="00952CD4" w:rsidRDefault="00952CD4" w:rsidP="00EF0802">
      <w:pPr>
        <w:pStyle w:val="ListParagraph"/>
        <w:numPr>
          <w:ilvl w:val="0"/>
          <w:numId w:val="18"/>
        </w:numPr>
        <w:spacing w:line="360" w:lineRule="auto"/>
        <w:jc w:val="both"/>
        <w:rPr>
          <w:rStyle w:val="Strong"/>
          <w:rFonts w:ascii="Times New Roman" w:hAnsi="Times New Roman" w:cs="Times New Roman"/>
          <w:b w:val="0"/>
          <w:bCs w:val="0"/>
        </w:rPr>
      </w:pPr>
      <w:r w:rsidRPr="00952CD4">
        <w:rPr>
          <w:rStyle w:val="Strong"/>
          <w:rFonts w:ascii="Times New Roman" w:hAnsi="Times New Roman" w:cs="Times New Roman"/>
          <w:b w:val="0"/>
          <w:bCs w:val="0"/>
        </w:rPr>
        <w:lastRenderedPageBreak/>
        <w:t>Exploring current trends, Phipps et al. (2016) evaluate “Preeclampsia: Updates in Pathogenesis, Definitions, and Guidelines,” a condition with dangerous consequences for both mother and baby. The article discusses how advanced age at childbirth, overweight, and diseases affecting blood vessels characterize developed countries, while low birth-preparedness raises the incidence in developing countries. This review covers new insights into pathogenesis, such as angiogenesis, oxidative stress, and auto-antibodies, and updates the global classification and therapeutic goals. Preeclampsia is now recognized as a chronic systemic disease that carries lifelong cardiovascular risks for affected women, with a focus on prevention, treatment, and long-term follow-up care.</w:t>
      </w:r>
    </w:p>
    <w:p w14:paraId="7ACECC4B" w14:textId="77777777" w:rsidR="00952CD4" w:rsidRPr="00952CD4" w:rsidRDefault="00952CD4" w:rsidP="00EF0802">
      <w:pPr>
        <w:spacing w:line="360" w:lineRule="auto"/>
        <w:jc w:val="both"/>
        <w:rPr>
          <w:rStyle w:val="Strong"/>
          <w:rFonts w:ascii="Times New Roman" w:hAnsi="Times New Roman" w:cs="Times New Roman"/>
        </w:rPr>
      </w:pPr>
    </w:p>
    <w:p w14:paraId="6A80564D" w14:textId="42389F99" w:rsidR="00952CD4" w:rsidRDefault="00952CD4" w:rsidP="00EF0802">
      <w:pPr>
        <w:spacing w:line="360" w:lineRule="auto"/>
        <w:jc w:val="both"/>
        <w:rPr>
          <w:rStyle w:val="Strong"/>
          <w:rFonts w:ascii="Times New Roman" w:hAnsi="Times New Roman" w:cs="Times New Roman"/>
        </w:rPr>
      </w:pPr>
      <w:r w:rsidRPr="00952CD4">
        <w:rPr>
          <w:rStyle w:val="Strong"/>
          <w:rFonts w:ascii="Times New Roman" w:hAnsi="Times New Roman" w:cs="Times New Roman"/>
        </w:rPr>
        <w:t>2.3 Studies related to Healthy Lifestyle to Prevent Hypertension</w:t>
      </w:r>
    </w:p>
    <w:p w14:paraId="32F4291D" w14:textId="339EE17E" w:rsidR="00952CD4" w:rsidRPr="00952CD4" w:rsidRDefault="00952CD4" w:rsidP="00EF0802">
      <w:pPr>
        <w:spacing w:line="360" w:lineRule="auto"/>
        <w:jc w:val="both"/>
        <w:rPr>
          <w:rStyle w:val="Strong"/>
          <w:rFonts w:ascii="Times New Roman" w:hAnsi="Times New Roman" w:cs="Times New Roman"/>
          <w:b w:val="0"/>
          <w:bCs w:val="0"/>
        </w:rPr>
      </w:pPr>
      <w:r w:rsidRPr="00952CD4">
        <w:rPr>
          <w:rStyle w:val="Strong"/>
          <w:rFonts w:ascii="Times New Roman" w:hAnsi="Times New Roman" w:cs="Times New Roman"/>
          <w:b w:val="0"/>
          <w:bCs w:val="0"/>
        </w:rPr>
        <w:t xml:space="preserve">Studies related to healthy lifestyle to prevent hypertension are presented as follows; </w:t>
      </w:r>
    </w:p>
    <w:p w14:paraId="587BA7F4" w14:textId="77777777" w:rsidR="00952CD4" w:rsidRPr="00952CD4" w:rsidRDefault="00952CD4" w:rsidP="00EF0802">
      <w:pPr>
        <w:pStyle w:val="NormalWeb"/>
        <w:numPr>
          <w:ilvl w:val="0"/>
          <w:numId w:val="11"/>
        </w:numPr>
        <w:spacing w:before="0" w:beforeAutospacing="0" w:after="160" w:afterAutospacing="0" w:line="360" w:lineRule="auto"/>
        <w:jc w:val="both"/>
      </w:pPr>
      <w:r w:rsidRPr="00952CD4">
        <w:t>In their comprehensive analysis, Barakat et al. (2024) uncover “Influence of Physical Activity during Pregnancy on Maternal Hypertensive Disorders: A Systematic Review and Meta-Analysis of Randomized Controlled Trials,” exploring how physical activity impacts hypertensive disorders during pregnancy. The findings of the systematic review and meta-analysis of RCTs from 2010 to 2023 indicated that physical activity effectively reduced both the risk of gestational hypertension and improved systolic and diastolic blood pressure. However, no relationship was detected between physical activity and the development of preeclampsia. This study highlights the potential benefits of physical activity for maternal health during pregnancy.</w:t>
      </w:r>
    </w:p>
    <w:p w14:paraId="1AE72FA2" w14:textId="77777777" w:rsidR="00952CD4" w:rsidRPr="00952CD4" w:rsidRDefault="00952CD4" w:rsidP="00EF0802">
      <w:pPr>
        <w:pStyle w:val="NormalWeb"/>
        <w:numPr>
          <w:ilvl w:val="0"/>
          <w:numId w:val="11"/>
        </w:numPr>
        <w:spacing w:before="0" w:beforeAutospacing="0" w:after="160" w:afterAutospacing="0" w:line="360" w:lineRule="auto"/>
        <w:jc w:val="both"/>
      </w:pPr>
      <w:r w:rsidRPr="00952CD4">
        <w:t xml:space="preserve">A critical perspective is offered by Danielli et al. (2022) on “Effects of Supervised Exercise on the Development of Hypertensive Disorders of Pregnancy,” investigating the potential of supervised exercise to reduce the incidence of hypertensive disorders of pregnancy (HDP). The meta-analysis of 16 randomized controlled trials (RCTs) showed that supervised exercise was effective in decreasing the HDP risk in the intervention group (3%) compared to the control group (5%). The authors highlighted that both aerobic and anaerobic exercise, with or without yoga, provide added benefits to pregnancy and emphasized the </w:t>
      </w:r>
      <w:r w:rsidRPr="00952CD4">
        <w:lastRenderedPageBreak/>
        <w:t>importance of encouraging women to engage in structured exercises to reduce the risks of HDP.</w:t>
      </w:r>
    </w:p>
    <w:p w14:paraId="321B1439" w14:textId="77777777" w:rsidR="00952CD4" w:rsidRPr="00952CD4" w:rsidRDefault="00952CD4" w:rsidP="00EF0802">
      <w:pPr>
        <w:pStyle w:val="NormalWeb"/>
        <w:numPr>
          <w:ilvl w:val="0"/>
          <w:numId w:val="11"/>
        </w:numPr>
        <w:spacing w:before="0" w:beforeAutospacing="0" w:after="160" w:afterAutospacing="0" w:line="360" w:lineRule="auto"/>
        <w:jc w:val="both"/>
        <w:rPr>
          <w:rStyle w:val="Strong"/>
          <w:rFonts w:eastAsiaTheme="majorEastAsia"/>
          <w:b w:val="0"/>
          <w:bCs w:val="0"/>
        </w:rPr>
      </w:pPr>
      <w:r w:rsidRPr="00952CD4">
        <w:t xml:space="preserve">The investigation carried out by </w:t>
      </w:r>
      <w:proofErr w:type="spellStart"/>
      <w:r w:rsidRPr="00952CD4">
        <w:t>Dipietro</w:t>
      </w:r>
      <w:proofErr w:type="spellEnd"/>
      <w:r w:rsidRPr="00952CD4">
        <w:t xml:space="preserve"> et al. (2019) highlights “Benefits of Physical Activity during Pregnancy and Postpartum,” providing a summary of evidence on the impact of physical activity on maternal health. This review clearly demonstrates that moderate-intensity aerobic exercise significantly lowers the probability of weight gain, gestational diabetes, and postpartum depression. However, its effects on preeclampsia, gestational hypertension, or anxiety are not clearly established. The review strengthens the call for exercise during pregnancy and the postpartum period, acknowledging the large public health gains as society faces the growing concern that childbearing-age women are increasingly sedentary and overweight.</w:t>
      </w:r>
    </w:p>
    <w:p w14:paraId="53E3954A" w14:textId="77777777" w:rsidR="00952CD4" w:rsidRPr="00952CD4" w:rsidRDefault="00952CD4" w:rsidP="00EF0802">
      <w:pPr>
        <w:pStyle w:val="NormalWeb"/>
        <w:numPr>
          <w:ilvl w:val="0"/>
          <w:numId w:val="11"/>
        </w:numPr>
        <w:spacing w:before="0" w:beforeAutospacing="0" w:after="160" w:afterAutospacing="0" w:line="360" w:lineRule="auto"/>
        <w:jc w:val="both"/>
      </w:pPr>
      <w:r w:rsidRPr="00952CD4">
        <w:t xml:space="preserve">Focusing on “Maternal dietary patterns and risk of adverse pregnancy (hypertensive disorders of pregnancy and gestational diabetes mellitus) and birth (preterm birth and low birth weight) outcomes: a systematic review and meta-analysis,” </w:t>
      </w:r>
      <w:proofErr w:type="spellStart"/>
      <w:r w:rsidRPr="00952CD4">
        <w:t>Kibret</w:t>
      </w:r>
      <w:proofErr w:type="spellEnd"/>
      <w:r w:rsidRPr="00952CD4">
        <w:t xml:space="preserve"> et al. (2019) bring attention to the relationship between dietary </w:t>
      </w:r>
      <w:proofErr w:type="spellStart"/>
      <w:r w:rsidRPr="00952CD4">
        <w:t>behaviors</w:t>
      </w:r>
      <w:proofErr w:type="spellEnd"/>
      <w:r w:rsidRPr="00952CD4">
        <w:t>, nutrient intake, and outcomes such as hypertensive disorders of pregnancy, gestational diabetes mellitus, preterm birth, and low birth weight. The authors scrutinized 21 papers from around the world and demonstrated that compliance with a healthy diet, including fruits, vegetables, legumes, whole grains, and fish, is linked to lower odds of adverse outcomes. While this research is crucial for identifying dietary patterns in low-income settings, there are significant challenges due to resource limitations for managing maternal nutrition.</w:t>
      </w:r>
    </w:p>
    <w:p w14:paraId="5CE315C4" w14:textId="77777777" w:rsidR="00952CD4" w:rsidRPr="00952CD4" w:rsidRDefault="00952CD4" w:rsidP="00EF0802">
      <w:pPr>
        <w:pStyle w:val="NormalWeb"/>
        <w:numPr>
          <w:ilvl w:val="0"/>
          <w:numId w:val="11"/>
        </w:numPr>
        <w:spacing w:before="0" w:beforeAutospacing="0" w:after="160" w:afterAutospacing="0" w:line="360" w:lineRule="auto"/>
        <w:jc w:val="both"/>
      </w:pPr>
      <w:r w:rsidRPr="00952CD4">
        <w:t xml:space="preserve">The research findings of Lima (2023) contribute to “Major Clinical Approaches to Proper Nutrition and Lifestyle Change During Pregnancy: A Systematic Review” by highlighting the significance of appropriate nutrition and physical transformations during pregnancy. The study emphasizes how preparations initiated at least three months before conception can enhance gametes and gene regulation, ultimately improving the health of both mother and child. In response to dietary challenges posed by the rise of ultra-processed foods, the review advocates for supplementation during pregnancy to meet increased nutrient demands. Overall, this systematic review stresses the importance of guiding women of childbearing </w:t>
      </w:r>
      <w:r w:rsidRPr="00952CD4">
        <w:lastRenderedPageBreak/>
        <w:t>age towards adopting healthier diets and lifestyles for improved pregnancy outcomes and the well-being of unborn children.</w:t>
      </w:r>
    </w:p>
    <w:p w14:paraId="0EC6F0E6" w14:textId="77777777" w:rsidR="00952CD4" w:rsidRPr="00952CD4" w:rsidRDefault="00952CD4" w:rsidP="00EF0802">
      <w:pPr>
        <w:pStyle w:val="NormalWeb"/>
        <w:numPr>
          <w:ilvl w:val="0"/>
          <w:numId w:val="11"/>
        </w:numPr>
        <w:spacing w:before="0" w:beforeAutospacing="0" w:after="160" w:afterAutospacing="0" w:line="360" w:lineRule="auto"/>
        <w:jc w:val="both"/>
      </w:pPr>
      <w:r w:rsidRPr="00952CD4">
        <w:t>An exploration conducted by Valenzuela et al. (2021) emphasizes “Lifestyle Interventions for the Prevention and Treatment of Hypertension,” addressing preventable and treatable hypertension, defined as high blood pressure affecting over one-third of the world’s adult population. The authors highlight lifestyle factors such as daily exercise, proper diet, weight control, reduced stress, and proper sleep, which enhance blood vessel health, lower inflammation, and address underlying causes like obesity and poor insulin sensitivity. Additionally, the study examines mechanisms including improved myokine release and decreased sympathetic tone hyperactivity. The article underscores the importance of integrating lifestyle changes with medications to manage and prevent hypertension while enhancing overall health.</w:t>
      </w:r>
    </w:p>
    <w:p w14:paraId="0114623A" w14:textId="77777777" w:rsidR="00952CD4" w:rsidRPr="00952CD4" w:rsidRDefault="00952CD4" w:rsidP="00EF0802">
      <w:pPr>
        <w:pStyle w:val="NormalWeb"/>
        <w:numPr>
          <w:ilvl w:val="0"/>
          <w:numId w:val="11"/>
        </w:numPr>
        <w:spacing w:before="0" w:beforeAutospacing="0" w:after="160" w:afterAutospacing="0" w:line="360" w:lineRule="auto"/>
        <w:jc w:val="both"/>
      </w:pPr>
      <w:r w:rsidRPr="00952CD4">
        <w:t xml:space="preserve">Highlighting critical issues, </w:t>
      </w:r>
      <w:proofErr w:type="spellStart"/>
      <w:r w:rsidRPr="00952CD4">
        <w:t>Battarbee</w:t>
      </w:r>
      <w:proofErr w:type="spellEnd"/>
      <w:r w:rsidRPr="00952CD4">
        <w:t xml:space="preserve"> et al. (2020) examine "Chronic Hypertension in Pregnancy," discussing pre-eclampsia, preterm delivery, and both maternal and </w:t>
      </w:r>
      <w:proofErr w:type="spellStart"/>
      <w:r w:rsidRPr="00952CD4">
        <w:t>fetal</w:t>
      </w:r>
      <w:proofErr w:type="spellEnd"/>
      <w:r w:rsidRPr="00952CD4">
        <w:t xml:space="preserve"> mortality. The study raises concerns in the diagnosis and management of patients with the disease due to a scarcity of data and explores the imperative need for more studies to determine appropriate blood pressure to enhance patient outcomes. While noting that pregnancy timing matters, the article uses the case for LARCs to counter risks. It also includes specific recommendations for averting maternal harm and promoting equity for racially and ethnically diverse pregnant individuals, as well as a broad synthesis of the most recent guidance documents and key factors to consider when managing chronic hypertension during pregnancy.</w:t>
      </w:r>
    </w:p>
    <w:p w14:paraId="0609072B" w14:textId="77777777" w:rsidR="00952CD4" w:rsidRPr="00952CD4" w:rsidRDefault="00952CD4" w:rsidP="00EF0802">
      <w:pPr>
        <w:pStyle w:val="NormalWeb"/>
        <w:numPr>
          <w:ilvl w:val="0"/>
          <w:numId w:val="11"/>
        </w:numPr>
        <w:spacing w:before="0" w:beforeAutospacing="0" w:after="160" w:afterAutospacing="0" w:line="360" w:lineRule="auto"/>
        <w:jc w:val="both"/>
      </w:pPr>
      <w:r w:rsidRPr="00952CD4">
        <w:t xml:space="preserve">In pursuit of understanding “The Effect of Counselling on the Mother’s Level of Knowledge and Readiness in Preventing Hypertension Complications in Pregnancy: Scoping Review,” </w:t>
      </w:r>
      <w:proofErr w:type="spellStart"/>
      <w:r w:rsidRPr="00952CD4">
        <w:t>Agustini</w:t>
      </w:r>
      <w:proofErr w:type="spellEnd"/>
      <w:r w:rsidRPr="00952CD4">
        <w:t xml:space="preserve"> and Emilia (2023) study the effectiveness of </w:t>
      </w:r>
      <w:proofErr w:type="spellStart"/>
      <w:r w:rsidRPr="00952CD4">
        <w:t>counseling</w:t>
      </w:r>
      <w:proofErr w:type="spellEnd"/>
      <w:r w:rsidRPr="00952CD4">
        <w:t xml:space="preserve"> in improving pregnant women’s knowledge and readiness to prevent hypertensive complications. Specifically, using the PRISMA-</w:t>
      </w:r>
      <w:proofErr w:type="spellStart"/>
      <w:r w:rsidRPr="00952CD4">
        <w:t>ScR</w:t>
      </w:r>
      <w:proofErr w:type="spellEnd"/>
      <w:r w:rsidRPr="00952CD4">
        <w:t xml:space="preserve"> Checklist, the authors reviewed 500 articles from databases such as Google Scholar and Science Direct, ultimately selecting nine studies with various research designs. Four themes emerged from the analysis: hypertension in pregnancy, readiness for preventive intervention, </w:t>
      </w:r>
      <w:proofErr w:type="spellStart"/>
      <w:r w:rsidRPr="00952CD4">
        <w:t>counseling</w:t>
      </w:r>
      <w:proofErr w:type="spellEnd"/>
      <w:r w:rsidRPr="00952CD4">
        <w:t xml:space="preserve"> techniques, and maternal perception. The conclusions </w:t>
      </w:r>
      <w:r w:rsidRPr="00952CD4">
        <w:lastRenderedPageBreak/>
        <w:t xml:space="preserve">highlight the importance of </w:t>
      </w:r>
      <w:proofErr w:type="spellStart"/>
      <w:r w:rsidRPr="00952CD4">
        <w:t>counseling</w:t>
      </w:r>
      <w:proofErr w:type="spellEnd"/>
      <w:r w:rsidRPr="00952CD4">
        <w:t xml:space="preserve"> as a crucial factor in enhancing maternal health and reducing the risk of hypertension-related complications.</w:t>
      </w:r>
    </w:p>
    <w:p w14:paraId="2364A3A9" w14:textId="77777777" w:rsidR="00952CD4" w:rsidRPr="00952CD4" w:rsidRDefault="00952CD4" w:rsidP="00EF0802">
      <w:pPr>
        <w:pStyle w:val="NormalWeb"/>
        <w:numPr>
          <w:ilvl w:val="0"/>
          <w:numId w:val="11"/>
        </w:numPr>
        <w:spacing w:before="0" w:beforeAutospacing="0" w:after="160" w:afterAutospacing="0" w:line="360" w:lineRule="auto"/>
        <w:jc w:val="both"/>
      </w:pPr>
      <w:r w:rsidRPr="00952CD4">
        <w:t xml:space="preserve">Through detailed analysis, </w:t>
      </w:r>
      <w:proofErr w:type="spellStart"/>
      <w:r w:rsidRPr="00952CD4">
        <w:t>Thangada</w:t>
      </w:r>
      <w:proofErr w:type="spellEnd"/>
      <w:r w:rsidRPr="00952CD4">
        <w:t xml:space="preserve"> et al. (2018) uncover significant findings on “The Emerging Role of Mobile-Health Applications in the Management of Hypertension.” The study discusses the possibilities of m-health in hypertension, including medication administration alerts, compatibility with EMR systems, BP trend feedback, and point-of-care sensors. Applications of m-health have shown benefits in increasing medication compliance and enhancing communication between patients and doctors. However, areas of concern include the accuracy of smartphone sensors in recording patient BP. The authors emphasize the importance of these technologies being securely validated to support individuals with hypertension in reducing blood pressure through self-monitoring and feedback facilities.</w:t>
      </w:r>
    </w:p>
    <w:p w14:paraId="66E761B7" w14:textId="77777777" w:rsidR="00952CD4" w:rsidRPr="00952CD4" w:rsidRDefault="00952CD4" w:rsidP="00EF0802">
      <w:pPr>
        <w:pStyle w:val="NormalWeb"/>
        <w:numPr>
          <w:ilvl w:val="0"/>
          <w:numId w:val="11"/>
        </w:numPr>
        <w:spacing w:before="0" w:beforeAutospacing="0" w:after="160" w:afterAutospacing="0" w:line="360" w:lineRule="auto"/>
        <w:jc w:val="both"/>
      </w:pPr>
      <w:r w:rsidRPr="00952CD4">
        <w:t>According to the comprehensive review by Koroma et al. (2024) on “Prevalence of Hypertension, Awareness, Treatment, and Blood Pressure Control in Sierra Leone: A Systematic Review and Meta-Analysis,” the burden of hypertension (HTN) in Sierra Leone is substantial. Through 15 cross-sectional studies involving 14,707 participants, the review calculated an aggregate uncontrolled HTN prevalence estimate of 27.64% among the investigated population, with a slightly higher prevalence among urban dwellers (29.76%) compared to rural areas (15.77%). The prevalence, treatment, and control rates as percentages were 37.21%, 12.87%, and 29.73%, respectively. Significant differences in gender and location also influenced the data. These findings underscore the compelling need for practices, interventions, and policies to prevent, manage, and reduce hypertension in Sierra Leone.</w:t>
      </w:r>
    </w:p>
    <w:p w14:paraId="559CA9CB" w14:textId="77777777" w:rsidR="00952CD4" w:rsidRPr="00952CD4" w:rsidRDefault="00952CD4" w:rsidP="00EF0802">
      <w:pPr>
        <w:pStyle w:val="NormalWeb"/>
        <w:numPr>
          <w:ilvl w:val="0"/>
          <w:numId w:val="11"/>
        </w:numPr>
        <w:spacing w:before="0" w:beforeAutospacing="0" w:after="160" w:afterAutospacing="0" w:line="360" w:lineRule="auto"/>
        <w:jc w:val="both"/>
      </w:pPr>
      <w:r w:rsidRPr="00952CD4">
        <w:t xml:space="preserve">In their analysis, Wenger et al. (2018) examine “Hypertension Across a Woman’s Life Cycle” as a major contributing factor to cardiovascular death in women in the United States of America. This paper discusses the effects of high blood pressure across different phases of childhood and adult development: adolescents, pregnant and lactating women, post-menopausal women, and elderly men and women, highlighting relative risk factors and strategies for its primary prevention and control. The review considers emerging biomarkers, including race/ethnicity and </w:t>
      </w:r>
      <w:r w:rsidRPr="00952CD4">
        <w:lastRenderedPageBreak/>
        <w:t>hormonal therapies, alongside knowledge gaps such as blood pressure goals in elderly women and the cardiovascular effects of hypertensive pregnancy complications. Hypertension control remains a critical measure to enhance cardiovascular health.</w:t>
      </w:r>
    </w:p>
    <w:p w14:paraId="762AC016" w14:textId="77777777" w:rsidR="00952CD4" w:rsidRPr="00952CD4" w:rsidRDefault="00952CD4" w:rsidP="00EF0802">
      <w:pPr>
        <w:numPr>
          <w:ilvl w:val="0"/>
          <w:numId w:val="11"/>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A study conducted by Psara et al. (2020) delves into “Critical Review of Nutrition, Blood Pressure, and Risk of Hypertension Through the Lifecycle: Do B Vitamins Play a Role?” by summarizing the various factors contributing to hypertension development. This paper revisits and evaluates prior potential risk factors such as obesity, physical inactivity, and social usage, along with previous dietary strategies like the DASH diet. New findings highlight that RBC B vitamins, particularly riboflavin, may reduce SBP in individuals with genetic susceptibility. The present review provides a critical evaluation of the effects of nutrition on hypertension risk and identifies knowledge gaps that warrant further investigation.</w:t>
      </w:r>
    </w:p>
    <w:p w14:paraId="6118090C" w14:textId="77777777" w:rsidR="00952CD4" w:rsidRPr="00952CD4" w:rsidRDefault="00952CD4" w:rsidP="00EF0802">
      <w:pPr>
        <w:pStyle w:val="NormalWeb"/>
        <w:numPr>
          <w:ilvl w:val="0"/>
          <w:numId w:val="11"/>
        </w:numPr>
        <w:spacing w:before="0" w:beforeAutospacing="0" w:after="160" w:afterAutospacing="0" w:line="360" w:lineRule="auto"/>
        <w:jc w:val="both"/>
      </w:pPr>
      <w:r w:rsidRPr="00952CD4">
        <w:t xml:space="preserve">Magee and von </w:t>
      </w:r>
      <w:proofErr w:type="spellStart"/>
      <w:r w:rsidRPr="00952CD4">
        <w:t>Dadelszen</w:t>
      </w:r>
      <w:proofErr w:type="spellEnd"/>
      <w:r w:rsidRPr="00952CD4">
        <w:t xml:space="preserve"> (2021) highlight in their research that “Management of Hypertension in Pregnancy” </w:t>
      </w:r>
      <w:proofErr w:type="spellStart"/>
      <w:r w:rsidRPr="00952CD4">
        <w:t>analyzes</w:t>
      </w:r>
      <w:proofErr w:type="spellEnd"/>
      <w:r w:rsidRPr="00952CD4">
        <w:t xml:space="preserve"> state-of-the-art guidelines for hypertension in pregnancy, focusing on targeted blood pressure levels and antihypertensive treatment. The study emphasizes results from the CHIPS trial, indicating that a BP target of 135/85 mmHg does not harm the </w:t>
      </w:r>
      <w:proofErr w:type="spellStart"/>
      <w:r w:rsidRPr="00952CD4">
        <w:t>fetus</w:t>
      </w:r>
      <w:proofErr w:type="spellEnd"/>
      <w:r w:rsidRPr="00952CD4">
        <w:t xml:space="preserve"> while reducing rates of severe hypertension and maternal complications. Commonly prescribed antihypertensive medications such as methyldopa, labetalol, and nifedipine are discussed alongside recommendations for managing severe hypertension. The authors stress the importance of shared decision-making processes and propose further research to refine BP targets and assess medication efficacy based on maternal and physiological characteristics.</w:t>
      </w:r>
    </w:p>
    <w:p w14:paraId="721FF157" w14:textId="77777777" w:rsidR="00952CD4" w:rsidRPr="00952CD4" w:rsidRDefault="00952CD4" w:rsidP="00EF0802">
      <w:pPr>
        <w:pStyle w:val="NormalWeb"/>
        <w:numPr>
          <w:ilvl w:val="0"/>
          <w:numId w:val="11"/>
        </w:numPr>
        <w:spacing w:before="0" w:beforeAutospacing="0" w:after="160" w:afterAutospacing="0" w:line="360" w:lineRule="auto"/>
        <w:jc w:val="both"/>
      </w:pPr>
      <w:r w:rsidRPr="00952CD4">
        <w:t xml:space="preserve">The findings presented by Mate et al. (2021) reveal that “Lifestyle, Maternal Nutrition and Healthy Pregnancy” emphasizes the importance of healthy </w:t>
      </w:r>
      <w:proofErr w:type="spellStart"/>
      <w:r w:rsidRPr="00952CD4">
        <w:t>behaviors</w:t>
      </w:r>
      <w:proofErr w:type="spellEnd"/>
      <w:r w:rsidRPr="00952CD4">
        <w:t xml:space="preserve"> and nutrition during preconception, pregnancy, and postpartum to achieve positive outcomes and avoid gestational diseases. The article underscores the role of proper proportions of vegetables, polyunsaturated fats, </w:t>
      </w:r>
      <w:proofErr w:type="spellStart"/>
      <w:r w:rsidRPr="00952CD4">
        <w:t>fiber</w:t>
      </w:r>
      <w:proofErr w:type="spellEnd"/>
      <w:r w:rsidRPr="00952CD4">
        <w:t xml:space="preserve">, and micronutrient levels, especially in overweight or diabetic women. It highlights the benefits of 30 minutes of daily exercise in reducing preeclampsia, gestational diabetes, and postnatal weight gain. Additionally, the review explores the roles of microbiome modulation, </w:t>
      </w:r>
      <w:proofErr w:type="spellStart"/>
      <w:r w:rsidRPr="00952CD4">
        <w:lastRenderedPageBreak/>
        <w:t>behavioral</w:t>
      </w:r>
      <w:proofErr w:type="spellEnd"/>
      <w:r w:rsidRPr="00952CD4">
        <w:t xml:space="preserve"> interventions, and other factors in promoting good maternal and </w:t>
      </w:r>
      <w:proofErr w:type="spellStart"/>
      <w:r w:rsidRPr="00952CD4">
        <w:t>fetal</w:t>
      </w:r>
      <w:proofErr w:type="spellEnd"/>
      <w:r w:rsidRPr="00952CD4">
        <w:t xml:space="preserve"> health.</w:t>
      </w:r>
    </w:p>
    <w:p w14:paraId="4E7A8A98" w14:textId="77777777" w:rsidR="00952CD4" w:rsidRPr="00952CD4" w:rsidRDefault="00952CD4" w:rsidP="00EF0802">
      <w:pPr>
        <w:pStyle w:val="NormalWeb"/>
        <w:numPr>
          <w:ilvl w:val="0"/>
          <w:numId w:val="11"/>
        </w:numPr>
        <w:spacing w:before="0" w:beforeAutospacing="0" w:after="160" w:afterAutospacing="0" w:line="360" w:lineRule="auto"/>
        <w:jc w:val="both"/>
      </w:pPr>
      <w:proofErr w:type="spellStart"/>
      <w:r w:rsidRPr="00952CD4">
        <w:t>Nayluzzuharo</w:t>
      </w:r>
      <w:proofErr w:type="spellEnd"/>
      <w:r w:rsidRPr="00952CD4">
        <w:t xml:space="preserve"> et al. (2024) present an in-depth review of “Interventions to Prevent Hypertension in Pregnant Women: A Systematic Review,” </w:t>
      </w:r>
      <w:proofErr w:type="spellStart"/>
      <w:r w:rsidRPr="00952CD4">
        <w:t>analyzing</w:t>
      </w:r>
      <w:proofErr w:type="spellEnd"/>
      <w:r w:rsidRPr="00952CD4">
        <w:t xml:space="preserve"> various aspects of preeclampsia, a dangerous pregnancy complication affecting 5-8% of pregnancies globally. Using the PRISMA method, the review examines six published studies from 2019 to 2024 across Asia, America, and Europe. The study includes approaches such as m-Health applications, brochures, movies, nutrition, and the assessment of low-dose aspirin and probiotics. The authors highlight the importance of education, lifestyle changes, and pharmacological intervention as practical recommendations to prevent hypertension in pregnancy and increase the chances of safe motherhood.</w:t>
      </w:r>
    </w:p>
    <w:p w14:paraId="4E23C9F3" w14:textId="77777777" w:rsidR="00952CD4" w:rsidRPr="00952CD4" w:rsidRDefault="00952CD4" w:rsidP="00EF0802">
      <w:pPr>
        <w:pStyle w:val="NormalWeb"/>
        <w:numPr>
          <w:ilvl w:val="0"/>
          <w:numId w:val="11"/>
        </w:numPr>
        <w:spacing w:before="0" w:beforeAutospacing="0" w:after="160" w:afterAutospacing="0" w:line="360" w:lineRule="auto"/>
        <w:jc w:val="both"/>
      </w:pPr>
      <w:r w:rsidRPr="00952CD4">
        <w:t xml:space="preserve">A detailed study by </w:t>
      </w:r>
      <w:proofErr w:type="spellStart"/>
      <w:r w:rsidRPr="00952CD4">
        <w:t>Ożarowski</w:t>
      </w:r>
      <w:proofErr w:type="spellEnd"/>
      <w:r w:rsidRPr="00952CD4">
        <w:t xml:space="preserve"> et al. (2018) discusses the “Pharmacological Effect of Quercetin in Hypertension and Its Potential Application in Pregnancy-Induced Hypertension,” highlighting the benefits of using quercetin to control hypertension during pregnancy. With traditional treatments like methyldopa associated with side effects, the search for natural remedies led to the discovery of quercetin, a flavonoid isolated from plant sources. Quercetin has antihypertensive, antioxidant, and anti-inflammatory properties, improving endothelial function and </w:t>
      </w:r>
      <w:proofErr w:type="spellStart"/>
      <w:r w:rsidRPr="00952CD4">
        <w:t>fetal</w:t>
      </w:r>
      <w:proofErr w:type="spellEnd"/>
      <w:r w:rsidRPr="00952CD4">
        <w:t xml:space="preserve"> development without the risk of teratogenicity. The review elaborates on the safety and effectiveness of quercetin, focusing on its potential as a preventive and curative intervention for pregnancy-induced hypertension (PIH), particularly in high-risk pregnant women.</w:t>
      </w:r>
    </w:p>
    <w:p w14:paraId="0FED5E5E" w14:textId="2049F300" w:rsidR="00952CD4" w:rsidRPr="00952CD4" w:rsidRDefault="00952CD4" w:rsidP="00EF0802">
      <w:pPr>
        <w:pStyle w:val="ListParagraph"/>
        <w:spacing w:line="360" w:lineRule="auto"/>
        <w:ind w:left="360"/>
        <w:jc w:val="both"/>
        <w:rPr>
          <w:rFonts w:ascii="Times New Roman" w:hAnsi="Times New Roman" w:cs="Times New Roman"/>
          <w:b/>
          <w:bCs/>
        </w:rPr>
      </w:pPr>
    </w:p>
    <w:p w14:paraId="4E075C39" w14:textId="278D218D" w:rsidR="00952CD4" w:rsidRDefault="00952CD4" w:rsidP="00EF0802">
      <w:pPr>
        <w:pStyle w:val="ListParagraph"/>
        <w:spacing w:line="360" w:lineRule="auto"/>
        <w:ind w:left="360"/>
        <w:jc w:val="both"/>
        <w:rPr>
          <w:rFonts w:ascii="Times New Roman" w:hAnsi="Times New Roman" w:cs="Times New Roman"/>
          <w:b/>
          <w:bCs/>
        </w:rPr>
      </w:pPr>
      <w:r w:rsidRPr="00952CD4">
        <w:rPr>
          <w:rFonts w:ascii="Times New Roman" w:hAnsi="Times New Roman" w:cs="Times New Roman"/>
          <w:b/>
          <w:bCs/>
        </w:rPr>
        <w:t>2.4 Studies related to Knowledge regarding Thyroid in pregnancy</w:t>
      </w:r>
    </w:p>
    <w:p w14:paraId="47AEDDA3" w14:textId="2C6149EC" w:rsidR="00952CD4" w:rsidRPr="00F41D70" w:rsidRDefault="00952CD4" w:rsidP="00EF0802">
      <w:pPr>
        <w:pStyle w:val="ListParagraph"/>
        <w:spacing w:line="360" w:lineRule="auto"/>
        <w:ind w:left="360"/>
        <w:jc w:val="both"/>
        <w:rPr>
          <w:rFonts w:ascii="Times New Roman" w:hAnsi="Times New Roman" w:cs="Times New Roman"/>
        </w:rPr>
      </w:pPr>
      <w:r w:rsidRPr="00F41D70">
        <w:rPr>
          <w:rFonts w:ascii="Times New Roman" w:hAnsi="Times New Roman" w:cs="Times New Roman"/>
        </w:rPr>
        <w:t xml:space="preserve">Studies related to </w:t>
      </w:r>
      <w:r w:rsidR="00F41D70" w:rsidRPr="00F41D70">
        <w:rPr>
          <w:rFonts w:ascii="Times New Roman" w:hAnsi="Times New Roman" w:cs="Times New Roman"/>
        </w:rPr>
        <w:t>k</w:t>
      </w:r>
      <w:r w:rsidRPr="00F41D70">
        <w:rPr>
          <w:rFonts w:ascii="Times New Roman" w:hAnsi="Times New Roman" w:cs="Times New Roman"/>
        </w:rPr>
        <w:t xml:space="preserve">nowledge regarding </w:t>
      </w:r>
      <w:r w:rsidR="00F41D70" w:rsidRPr="00F41D70">
        <w:rPr>
          <w:rFonts w:ascii="Times New Roman" w:hAnsi="Times New Roman" w:cs="Times New Roman"/>
        </w:rPr>
        <w:t>t</w:t>
      </w:r>
      <w:r w:rsidRPr="00F41D70">
        <w:rPr>
          <w:rFonts w:ascii="Times New Roman" w:hAnsi="Times New Roman" w:cs="Times New Roman"/>
        </w:rPr>
        <w:t>hyroid in pregnanc</w:t>
      </w:r>
      <w:r w:rsidR="00F41D70" w:rsidRPr="00F41D70">
        <w:rPr>
          <w:rFonts w:ascii="Times New Roman" w:hAnsi="Times New Roman" w:cs="Times New Roman"/>
        </w:rPr>
        <w:t>y are presented as follows;</w:t>
      </w:r>
    </w:p>
    <w:p w14:paraId="0B69D499" w14:textId="77777777" w:rsidR="00952CD4" w:rsidRPr="00952CD4" w:rsidRDefault="00952CD4" w:rsidP="00EF0802">
      <w:pPr>
        <w:pStyle w:val="NormalWeb"/>
        <w:numPr>
          <w:ilvl w:val="0"/>
          <w:numId w:val="19"/>
        </w:numPr>
        <w:spacing w:before="0" w:beforeAutospacing="0" w:after="160" w:afterAutospacing="0" w:line="360" w:lineRule="auto"/>
        <w:jc w:val="both"/>
      </w:pPr>
      <w:r w:rsidRPr="00952CD4">
        <w:t xml:space="preserve">Joshi et al. (2024) offer valuable insights into “From Conception to Delivery: A Comprehensive Review of Thyroid Disorders and Their Far-Reaching Impact on </w:t>
      </w:r>
      <w:proofErr w:type="spellStart"/>
      <w:r w:rsidRPr="00952CD4">
        <w:t>Feto</w:t>
      </w:r>
      <w:proofErr w:type="spellEnd"/>
      <w:r w:rsidRPr="00952CD4">
        <w:t xml:space="preserve">-Maternal Health,” emphasizing the severe ramifications of thyroid disorders on both the pregnant woman and her </w:t>
      </w:r>
      <w:proofErr w:type="spellStart"/>
      <w:r w:rsidRPr="00952CD4">
        <w:t>fetus</w:t>
      </w:r>
      <w:proofErr w:type="spellEnd"/>
      <w:r w:rsidRPr="00952CD4">
        <w:t xml:space="preserve">. The article highlights the importance of timely screening and targeted interventions, as well as a </w:t>
      </w:r>
      <w:r w:rsidRPr="00952CD4">
        <w:lastRenderedPageBreak/>
        <w:t>personalized care approach supported by emerging technologies like telehealth. It also stresses the necessity of follow-up care for postpartum conditions such as thyroiditis. The authors advocate for the education of healthcare providers, public awareness, and standardized screening policies, underscoring the need for collaborative approaches to improve outcomes and ensure safe mother-infant wellness.</w:t>
      </w:r>
    </w:p>
    <w:p w14:paraId="760D958B" w14:textId="77777777" w:rsidR="00952CD4" w:rsidRPr="00952CD4" w:rsidRDefault="00952CD4" w:rsidP="00EF0802">
      <w:pPr>
        <w:pStyle w:val="NormalWeb"/>
        <w:numPr>
          <w:ilvl w:val="0"/>
          <w:numId w:val="19"/>
        </w:numPr>
        <w:spacing w:before="0" w:beforeAutospacing="0" w:after="160" w:afterAutospacing="0" w:line="360" w:lineRule="auto"/>
        <w:jc w:val="both"/>
      </w:pPr>
      <w:r w:rsidRPr="00952CD4">
        <w:t xml:space="preserve">The research work by </w:t>
      </w:r>
      <w:proofErr w:type="spellStart"/>
      <w:r w:rsidRPr="00952CD4">
        <w:t>Petca</w:t>
      </w:r>
      <w:proofErr w:type="spellEnd"/>
      <w:r w:rsidRPr="00952CD4">
        <w:t xml:space="preserve"> et al. (2023) sheds light on “Management of Hyperthyroidism during Pregnancy: A Systematic Literature Review,” providing an overview of hyperthyroidism management in pregnancy with a particular focus on Graves' disease and </w:t>
      </w:r>
      <w:proofErr w:type="spellStart"/>
      <w:r w:rsidRPr="00952CD4">
        <w:t>hCG</w:t>
      </w:r>
      <w:proofErr w:type="spellEnd"/>
      <w:r w:rsidRPr="00952CD4">
        <w:t>-mediated thyroiditis. The review emphasizes the importance of a collaborative management approach, as antithyroid medications are the primary treatment for subclinical hyperthyroidism. The article also notes that radioactive iodine therapy is prohibited, and thyroidectomy is restricted to certain cases. Additionally, it highlights the critical need for all pregnant or childbearing women to undergo screening for thyroid dysfunction, irrespective of pre-specified protocols and algorithms.</w:t>
      </w:r>
    </w:p>
    <w:p w14:paraId="022EFCE5" w14:textId="77777777" w:rsidR="00952CD4" w:rsidRPr="00952CD4" w:rsidRDefault="00952CD4" w:rsidP="00EF0802">
      <w:pPr>
        <w:pStyle w:val="NormalWeb"/>
        <w:numPr>
          <w:ilvl w:val="0"/>
          <w:numId w:val="19"/>
        </w:numPr>
        <w:spacing w:before="0" w:beforeAutospacing="0" w:after="160" w:afterAutospacing="0" w:line="360" w:lineRule="auto"/>
        <w:jc w:val="both"/>
      </w:pPr>
      <w:r w:rsidRPr="00952CD4">
        <w:t>Shulhai et al. (2024) systematically reviews “The Role of Nutrition on Thyroid Function,” focusing on the interdependent nature of nutrition, the gut, and thyroid functioning via the diet-gut-thyroid axis. The article examines the influence of micronutrients including iodine, selenium, iron, vitamin A, and B12 on thyroid hormone synthesis and regulation, as well as their impact on gut bacteria. It highlights how malnutrition can lead to thyroid disorders, autoimmune thyroid diseases, and thyroid cancer. The review underscores the importance of a balanced diet with essential micronutrients for thyroid health and suggests several areas that warrant future investigation.</w:t>
      </w:r>
    </w:p>
    <w:p w14:paraId="5FA8995B" w14:textId="77777777" w:rsidR="00952CD4" w:rsidRPr="00952CD4" w:rsidRDefault="00952CD4" w:rsidP="00EF0802">
      <w:pPr>
        <w:pStyle w:val="NormalWeb"/>
        <w:numPr>
          <w:ilvl w:val="0"/>
          <w:numId w:val="19"/>
        </w:numPr>
        <w:spacing w:before="0" w:beforeAutospacing="0" w:after="160" w:afterAutospacing="0" w:line="360" w:lineRule="auto"/>
        <w:jc w:val="both"/>
      </w:pPr>
      <w:r w:rsidRPr="00952CD4">
        <w:t xml:space="preserve">An evaluation by Szpunar and Parry (2018) discusses “A Systematic Review of Cortisol, Thyroid-Stimulating Hormone, and Prolactin in Peripartum Women with Major Depression,” highlighting that morning cortisol levels were significantly decreased in pregnant and postpartum women diagnosed with major depression (MD). Conversely, alterations in TSH or prolactin were not associated with MD during this period. The paper concludes by stressing the </w:t>
      </w:r>
      <w:r w:rsidRPr="00952CD4">
        <w:lastRenderedPageBreak/>
        <w:t>importance of future research to identify clear hormonal correlates of peripartum mood disorders.</w:t>
      </w:r>
    </w:p>
    <w:p w14:paraId="621032CB" w14:textId="77777777" w:rsidR="00952CD4" w:rsidRPr="00952CD4" w:rsidRDefault="00952CD4" w:rsidP="00EF0802">
      <w:pPr>
        <w:pStyle w:val="NormalWeb"/>
        <w:numPr>
          <w:ilvl w:val="0"/>
          <w:numId w:val="19"/>
        </w:numPr>
        <w:spacing w:before="0" w:beforeAutospacing="0" w:after="160" w:afterAutospacing="0" w:line="360" w:lineRule="auto"/>
        <w:jc w:val="both"/>
      </w:pPr>
      <w:r w:rsidRPr="00952CD4">
        <w:t xml:space="preserve">Insights provided by Carvalho et al. (2022) indicate “Gaps in the Knowledge of Thyroid Hormones and Placental Biology,” </w:t>
      </w:r>
      <w:proofErr w:type="spellStart"/>
      <w:r w:rsidRPr="00952CD4">
        <w:t>analyzing</w:t>
      </w:r>
      <w:proofErr w:type="spellEnd"/>
      <w:r w:rsidRPr="00952CD4">
        <w:t xml:space="preserve"> the function of thyroid hormones (TH) in </w:t>
      </w:r>
      <w:proofErr w:type="spellStart"/>
      <w:r w:rsidRPr="00952CD4">
        <w:t>fetal</w:t>
      </w:r>
      <w:proofErr w:type="spellEnd"/>
      <w:r w:rsidRPr="00952CD4">
        <w:t xml:space="preserve"> development and their regulation during pregnancy. The authors highlight evidence that changes in maternal TH affect the </w:t>
      </w:r>
      <w:proofErr w:type="spellStart"/>
      <w:r w:rsidRPr="00952CD4">
        <w:t>fetus</w:t>
      </w:r>
      <w:proofErr w:type="spellEnd"/>
      <w:r w:rsidRPr="00952CD4">
        <w:t>, yet the mechanisms by which the placenta modulates maternal TH concentrations remain unclear. The review also points out insufficient knowledge regarding the developmental expression patterns of TH transporters, receptors, and metabolic enzymes in the placenta. It calls for further exploration into the genomic and nongenomic impacts of TH on the placenta during maternal thyroid disease, which may improve pregnancy outcomes and the treatment of thyroid disorders.</w:t>
      </w:r>
    </w:p>
    <w:p w14:paraId="22797475" w14:textId="77777777" w:rsidR="00952CD4" w:rsidRPr="00952CD4" w:rsidRDefault="00952CD4" w:rsidP="00EF0802">
      <w:pPr>
        <w:pStyle w:val="NormalWeb"/>
        <w:numPr>
          <w:ilvl w:val="0"/>
          <w:numId w:val="19"/>
        </w:numPr>
        <w:spacing w:before="0" w:beforeAutospacing="0" w:after="160" w:afterAutospacing="0" w:line="360" w:lineRule="auto"/>
        <w:jc w:val="both"/>
      </w:pPr>
      <w:r w:rsidRPr="00952CD4">
        <w:t xml:space="preserve">The study by </w:t>
      </w:r>
      <w:proofErr w:type="spellStart"/>
      <w:r w:rsidRPr="00952CD4">
        <w:t>Zgliczynska</w:t>
      </w:r>
      <w:proofErr w:type="spellEnd"/>
      <w:r w:rsidRPr="00952CD4">
        <w:t xml:space="preserve"> et al. (2023) critically </w:t>
      </w:r>
      <w:proofErr w:type="spellStart"/>
      <w:r w:rsidRPr="00952CD4">
        <w:t>analyzes</w:t>
      </w:r>
      <w:proofErr w:type="spellEnd"/>
      <w:r w:rsidRPr="00952CD4">
        <w:t xml:space="preserve"> “Maternal Thyroid Function in Multiple Pregnancies: A Systematic Review,” focusing on the changes in thyroid hormones during pregnancy and how elements of multiple pregnancies (MP), such as high concentrations of HCG, affect thyroid hormones. The review of 12 articles published between 1997 and 2022 reveals that women with MP exhibit abnormal thyroid-stimulating hormone and free thyroid hormone levels, particularly in the first trimester. The authors call for the establishment of new reference ranges for thyroid function in MP to improve the recognition and management of thyroid abnormalities, urging further studies on this topic.</w:t>
      </w:r>
    </w:p>
    <w:p w14:paraId="287576C2" w14:textId="77777777" w:rsidR="00952CD4" w:rsidRPr="00952CD4" w:rsidRDefault="00952CD4" w:rsidP="00EF0802">
      <w:pPr>
        <w:pStyle w:val="NormalWeb"/>
        <w:numPr>
          <w:ilvl w:val="0"/>
          <w:numId w:val="19"/>
        </w:numPr>
        <w:spacing w:before="0" w:beforeAutospacing="0" w:after="160" w:afterAutospacing="0" w:line="360" w:lineRule="auto"/>
        <w:jc w:val="both"/>
      </w:pPr>
      <w:r w:rsidRPr="00952CD4">
        <w:t xml:space="preserve">An in-depth assessment by Springer et al. (2017) uncovers “Thyroid in Pregnancy: From Physiology to Screening,” focusing on the crucial role of thyroid hormones in </w:t>
      </w:r>
      <w:proofErr w:type="spellStart"/>
      <w:r w:rsidRPr="00952CD4">
        <w:t>fetal</w:t>
      </w:r>
      <w:proofErr w:type="spellEnd"/>
      <w:r w:rsidRPr="00952CD4">
        <w:t xml:space="preserve"> growth and morphogenesis, including brain and skeletal development. The study emphasizes the significance of thyroxine during the first trimester and the potential consequences of maternal hypothyroidism, which may lead to irreversible developmental changes in the </w:t>
      </w:r>
      <w:proofErr w:type="spellStart"/>
      <w:r w:rsidRPr="00952CD4">
        <w:t>fetal</w:t>
      </w:r>
      <w:proofErr w:type="spellEnd"/>
      <w:r w:rsidRPr="00952CD4">
        <w:t xml:space="preserve"> brain. The article also discusses the epidemiology and impact of thyroid diseases, hypothyroidism, and thyroid autoimmunity. The authors explore laboratory methods, TSH reference intervals by trimester, and the debate </w:t>
      </w:r>
      <w:r w:rsidRPr="00952CD4">
        <w:lastRenderedPageBreak/>
        <w:t xml:space="preserve">between case finding and universal screening, advocating for universal screening to enhance maternal and </w:t>
      </w:r>
      <w:proofErr w:type="spellStart"/>
      <w:r w:rsidRPr="00952CD4">
        <w:t>fetal</w:t>
      </w:r>
      <w:proofErr w:type="spellEnd"/>
      <w:r w:rsidRPr="00952CD4">
        <w:t xml:space="preserve"> outcomes.</w:t>
      </w:r>
    </w:p>
    <w:p w14:paraId="3D59CA8A" w14:textId="77777777" w:rsidR="00952CD4" w:rsidRPr="00952CD4" w:rsidRDefault="00952CD4" w:rsidP="00EF0802">
      <w:pPr>
        <w:pStyle w:val="NormalWeb"/>
        <w:numPr>
          <w:ilvl w:val="0"/>
          <w:numId w:val="19"/>
        </w:numPr>
        <w:spacing w:before="0" w:beforeAutospacing="0" w:after="160" w:afterAutospacing="0" w:line="360" w:lineRule="auto"/>
        <w:jc w:val="both"/>
      </w:pPr>
      <w:r w:rsidRPr="00952CD4">
        <w:t xml:space="preserve">A critical perspective is offered by </w:t>
      </w:r>
      <w:proofErr w:type="spellStart"/>
      <w:r w:rsidRPr="00952CD4">
        <w:t>Delitala</w:t>
      </w:r>
      <w:proofErr w:type="spellEnd"/>
      <w:r w:rsidRPr="00952CD4">
        <w:t xml:space="preserve"> et al. (2019) on “Thyroid Function and Thyroid Disorders During Pregnancy: A Review and Care Pathway,” discussing the impact of thyroid dysfunction on both pregnancy and </w:t>
      </w:r>
      <w:proofErr w:type="spellStart"/>
      <w:r w:rsidRPr="00952CD4">
        <w:t>fetal</w:t>
      </w:r>
      <w:proofErr w:type="spellEnd"/>
      <w:r w:rsidRPr="00952CD4">
        <w:t xml:space="preserve"> health. The authors stress the importance of maintaining a maternal euthyroid state to avoid adverse outcomes such as poor </w:t>
      </w:r>
      <w:proofErr w:type="spellStart"/>
      <w:r w:rsidRPr="00952CD4">
        <w:t>fetal</w:t>
      </w:r>
      <w:proofErr w:type="spellEnd"/>
      <w:r w:rsidRPr="00952CD4">
        <w:t xml:space="preserve"> neurological development, preterm </w:t>
      </w:r>
      <w:proofErr w:type="spellStart"/>
      <w:r w:rsidRPr="00952CD4">
        <w:t>labor</w:t>
      </w:r>
      <w:proofErr w:type="spellEnd"/>
      <w:r w:rsidRPr="00952CD4">
        <w:t xml:space="preserve">, and congenital abnormalities. The review covers diagnostic cut-off points for TSH, the differential treatment of primary and subclinical hypothyroidism, and gestational transient hyperthyroidism. The paper emphasizes the necessity of close monitoring of both the woman and </w:t>
      </w:r>
      <w:proofErr w:type="spellStart"/>
      <w:r w:rsidRPr="00952CD4">
        <w:t>fetus</w:t>
      </w:r>
      <w:proofErr w:type="spellEnd"/>
      <w:r w:rsidRPr="00952CD4">
        <w:t>, particularly regarding thyroxine replacement and the use of antithyroid drugs.</w:t>
      </w:r>
    </w:p>
    <w:p w14:paraId="38BBF6B6" w14:textId="77777777" w:rsidR="00952CD4" w:rsidRPr="00952CD4" w:rsidRDefault="00952CD4" w:rsidP="00EF0802">
      <w:pPr>
        <w:pStyle w:val="NormalWeb"/>
        <w:numPr>
          <w:ilvl w:val="0"/>
          <w:numId w:val="19"/>
        </w:numPr>
        <w:spacing w:before="0" w:beforeAutospacing="0" w:after="160" w:afterAutospacing="0" w:line="360" w:lineRule="auto"/>
        <w:jc w:val="both"/>
      </w:pPr>
      <w:r w:rsidRPr="00952CD4">
        <w:t xml:space="preserve">The investigation carried out by De Leo and Pearce (2018) highlights “Autoimmune Thyroid Disease During Pregnancy,” focusing on the effects of thyroid autoimmunity on pregnancy. Anti-thyroid antibodies are found in approximately 2-18% of pregnant women, and they are associated with outcomes such as miscarriage, preterm birth, and postpartum thyroiditis. The review examines the potential effectiveness of levothyroxine in enhancing fertility and pregnancy outcomes for euthyroid women with thyroid antibodies. It also stresses the importance of future research in understanding the </w:t>
      </w:r>
      <w:proofErr w:type="spellStart"/>
      <w:r w:rsidRPr="00952CD4">
        <w:t>etiology</w:t>
      </w:r>
      <w:proofErr w:type="spellEnd"/>
      <w:r w:rsidRPr="00952CD4">
        <w:t xml:space="preserve"> and treatment of the condition. To optimize pregnancy health, the authors underscore the necessity of screening for </w:t>
      </w:r>
      <w:proofErr w:type="spellStart"/>
      <w:r w:rsidRPr="00952CD4">
        <w:t>fetal</w:t>
      </w:r>
      <w:proofErr w:type="spellEnd"/>
      <w:r w:rsidRPr="00952CD4">
        <w:t xml:space="preserve"> and neonatal hyperthyroidism in TRAb-positive pregnancies.</w:t>
      </w:r>
    </w:p>
    <w:p w14:paraId="1DF47125" w14:textId="77777777" w:rsidR="00952CD4" w:rsidRPr="00952CD4" w:rsidRDefault="00952CD4" w:rsidP="00EF0802">
      <w:pPr>
        <w:pStyle w:val="NormalWeb"/>
        <w:numPr>
          <w:ilvl w:val="0"/>
          <w:numId w:val="19"/>
        </w:numPr>
        <w:spacing w:before="0" w:beforeAutospacing="0" w:after="160" w:afterAutospacing="0" w:line="360" w:lineRule="auto"/>
        <w:jc w:val="both"/>
      </w:pPr>
      <w:r w:rsidRPr="00952CD4">
        <w:t xml:space="preserve">Focusing on “Thyroid Disorders in Subfertility and Early Pregnancy,” </w:t>
      </w:r>
      <w:proofErr w:type="spellStart"/>
      <w:r w:rsidRPr="00952CD4">
        <w:t>Anandappa</w:t>
      </w:r>
      <w:proofErr w:type="spellEnd"/>
      <w:r w:rsidRPr="00952CD4">
        <w:t xml:space="preserve"> et al. (2020) bring attention to the effect of thyroid autoimmunity, as measured by raised anti-thyroid antibodies, on miscarriage. The article also explores modifications in thyroid function during pregnancy, approaches to thyroxine administration, and thyroid profile measurement. While much of the guidance is based on consensus statements, clinical trials have provided further insights into hypothyroidism and the use of thyroid hormones in subclinical hypothyroidism and autoimmune thyroid disorders.</w:t>
      </w:r>
    </w:p>
    <w:p w14:paraId="45A567CA" w14:textId="77777777" w:rsidR="00952CD4" w:rsidRPr="00952CD4" w:rsidRDefault="00952CD4" w:rsidP="00EF0802">
      <w:pPr>
        <w:pStyle w:val="NormalWeb"/>
        <w:numPr>
          <w:ilvl w:val="0"/>
          <w:numId w:val="19"/>
        </w:numPr>
        <w:spacing w:before="0" w:beforeAutospacing="0" w:after="160" w:afterAutospacing="0" w:line="360" w:lineRule="auto"/>
        <w:jc w:val="both"/>
      </w:pPr>
      <w:r w:rsidRPr="00952CD4">
        <w:lastRenderedPageBreak/>
        <w:t xml:space="preserve">The research findings of Sari (2024) contribute to understanding “The Effect of Thyroid Dysfunction on Pregnancy Outcome: Systematic Review and Meta-Analysis”. The study highlights the secondary consequences of thyroid dysfunction observed at 13 weeks of pregnancy, such as preterm birth, pre-eclampsia, placental abruption, </w:t>
      </w:r>
      <w:proofErr w:type="spellStart"/>
      <w:r w:rsidRPr="00952CD4">
        <w:t>fetal</w:t>
      </w:r>
      <w:proofErr w:type="spellEnd"/>
      <w:r w:rsidRPr="00952CD4">
        <w:t xml:space="preserve"> distress, and postpartum </w:t>
      </w:r>
      <w:proofErr w:type="spellStart"/>
      <w:r w:rsidRPr="00952CD4">
        <w:t>hemorrhage</w:t>
      </w:r>
      <w:proofErr w:type="spellEnd"/>
      <w:r w:rsidRPr="00952CD4">
        <w:t>. The findings are statistically significant and emphasize the importance of enhancing maternal thyroid status control during pregnancy to improve perinatal outcomes.</w:t>
      </w:r>
    </w:p>
    <w:p w14:paraId="758B97EE" w14:textId="77777777" w:rsidR="00952CD4" w:rsidRPr="00952CD4" w:rsidRDefault="00952CD4" w:rsidP="00EF0802">
      <w:pPr>
        <w:pStyle w:val="NormalWeb"/>
        <w:numPr>
          <w:ilvl w:val="0"/>
          <w:numId w:val="19"/>
        </w:numPr>
        <w:spacing w:before="0" w:beforeAutospacing="0" w:after="160" w:afterAutospacing="0" w:line="360" w:lineRule="auto"/>
        <w:jc w:val="both"/>
      </w:pPr>
      <w:r w:rsidRPr="00952CD4">
        <w:t xml:space="preserve">An exploration conducted by McNeil and Stanford (2015) emphasizes the importance of “Reporting Thyroid Function Tests in Pregnancy,” particularly in detecting manifest hypothyroidism and evaluating the treatment of subclinical hypothyroidism. The authors discuss the role of TSH in relation to gestational age, ethnic background, iodine status, and assessment methodologies. They also critique current clinical guidelines, arguing that individual values for thyrotropin in early pregnancy should range between 3.0 and 4.0 </w:t>
      </w:r>
      <w:proofErr w:type="spellStart"/>
      <w:r w:rsidRPr="00952CD4">
        <w:t>mIU</w:t>
      </w:r>
      <w:proofErr w:type="spellEnd"/>
      <w:r w:rsidRPr="00952CD4">
        <w:t xml:space="preserve">/L, rather than the commonly used 2.5 </w:t>
      </w:r>
      <w:proofErr w:type="spellStart"/>
      <w:r w:rsidRPr="00952CD4">
        <w:t>mIU</w:t>
      </w:r>
      <w:proofErr w:type="spellEnd"/>
      <w:r w:rsidRPr="00952CD4">
        <w:t>/L, which underestimates the necessary thresholds for optimal care.</w:t>
      </w:r>
    </w:p>
    <w:p w14:paraId="075086B7" w14:textId="77777777" w:rsidR="00952CD4" w:rsidRPr="00952CD4" w:rsidRDefault="00952CD4" w:rsidP="00EF0802">
      <w:pPr>
        <w:pStyle w:val="NormalWeb"/>
        <w:numPr>
          <w:ilvl w:val="0"/>
          <w:numId w:val="19"/>
        </w:numPr>
        <w:spacing w:before="0" w:beforeAutospacing="0" w:after="160" w:afterAutospacing="0" w:line="360" w:lineRule="auto"/>
        <w:jc w:val="both"/>
      </w:pPr>
      <w:r w:rsidRPr="00952CD4">
        <w:t xml:space="preserve">In their thorough exploration, Sheehan et al. (2015) identify the relationship between “Maternal Thyroid Disease and Preterm Birth: Systematic Review and Meta-Analysis” of 15 studies involving 2,538,949 participants. The authors found that hypothyroidism and hyperthyroidism are associated with a statistically significant risk of preterm birth, with odds ratios of 1.19 and 1.24, respectively. However, subclinical hypothyroidism and isolated </w:t>
      </w:r>
      <w:proofErr w:type="spellStart"/>
      <w:r w:rsidRPr="00952CD4">
        <w:t>hypothyroxinemia</w:t>
      </w:r>
      <w:proofErr w:type="spellEnd"/>
      <w:r w:rsidRPr="00952CD4">
        <w:t xml:space="preserve"> showed no significant correlation. These findings emphasize the need for controlling manifest thyroid diseases during pregnancy to reduce adverse outcomes such as preterm birth.</w:t>
      </w:r>
    </w:p>
    <w:p w14:paraId="374CDAB2" w14:textId="77777777" w:rsidR="00952CD4" w:rsidRPr="00952CD4" w:rsidRDefault="00952CD4" w:rsidP="00EF0802">
      <w:pPr>
        <w:pStyle w:val="NormalWeb"/>
        <w:numPr>
          <w:ilvl w:val="0"/>
          <w:numId w:val="19"/>
        </w:numPr>
        <w:spacing w:before="0" w:beforeAutospacing="0" w:after="160" w:afterAutospacing="0" w:line="360" w:lineRule="auto"/>
        <w:jc w:val="both"/>
      </w:pPr>
      <w:r w:rsidRPr="00952CD4">
        <w:t xml:space="preserve">Highlighting critical issues, Yalamanchi and Cooper (2015) examine “Thyroid Disorders in Pregnancy” with a focus on the diagnosis and management of thyroid disease in pregnant women. The authors emphasize the management of overt hypothyroidism and hyperthyroidism while addressing the current controversies surrounding subclinical hypothyroidism, thyroid antibody-positive </w:t>
      </w:r>
      <w:proofErr w:type="spellStart"/>
      <w:r w:rsidRPr="00952CD4">
        <w:t>euthyroidism</w:t>
      </w:r>
      <w:proofErr w:type="spellEnd"/>
      <w:r w:rsidRPr="00952CD4">
        <w:t xml:space="preserve">, and the screening of thyroid disorders in pregnant </w:t>
      </w:r>
      <w:r w:rsidRPr="00952CD4">
        <w:lastRenderedPageBreak/>
        <w:t>women. The review draws attention to the differences in guidelines among professional associations and underscores the importance of proper thyroid disease control for the well-being of both mother and child.</w:t>
      </w:r>
    </w:p>
    <w:p w14:paraId="1A6EABB1" w14:textId="77777777" w:rsidR="00952CD4" w:rsidRPr="00952CD4" w:rsidRDefault="00952CD4" w:rsidP="00EF0802">
      <w:pPr>
        <w:pStyle w:val="NormalWeb"/>
        <w:numPr>
          <w:ilvl w:val="0"/>
          <w:numId w:val="19"/>
        </w:numPr>
        <w:spacing w:before="0" w:beforeAutospacing="0" w:after="160" w:afterAutospacing="0" w:line="360" w:lineRule="auto"/>
        <w:jc w:val="both"/>
      </w:pPr>
      <w:r w:rsidRPr="00952CD4">
        <w:t xml:space="preserve">In pursuit of understanding “Thyroid Disease in Pregnancy: A Review of Diagnosis, Complications, and Management,” Moore (2016) studies thyroid dysfunction, one of the second most common endocrine disorders during pregnancy. The review highlights the impact of overt thyroid disease, including hyperthyroidism and hypothyroidism, on pregnancy outcomes, and addresses concerns regarding the effects of subclinical hypothyroidism on </w:t>
      </w:r>
      <w:proofErr w:type="spellStart"/>
      <w:r w:rsidRPr="00952CD4">
        <w:t>fetal</w:t>
      </w:r>
      <w:proofErr w:type="spellEnd"/>
      <w:r w:rsidRPr="00952CD4">
        <w:t xml:space="preserve"> cognitive function. The paper conducts a comprehensive literature review, </w:t>
      </w:r>
      <w:proofErr w:type="spellStart"/>
      <w:r w:rsidRPr="00952CD4">
        <w:t>analyzing</w:t>
      </w:r>
      <w:proofErr w:type="spellEnd"/>
      <w:r w:rsidRPr="00952CD4">
        <w:t xml:space="preserve"> recent guidelines for the safe diagnosis and management of thyroid diseases during pregnancy and the postpartum period to ensure the well-being of both mother and child.</w:t>
      </w:r>
    </w:p>
    <w:p w14:paraId="22BD74A7" w14:textId="77777777" w:rsidR="00952CD4" w:rsidRPr="00952CD4" w:rsidRDefault="00952CD4" w:rsidP="00EF0802">
      <w:pPr>
        <w:pStyle w:val="NormalWeb"/>
        <w:numPr>
          <w:ilvl w:val="0"/>
          <w:numId w:val="19"/>
        </w:numPr>
        <w:spacing w:before="0" w:beforeAutospacing="0" w:after="160" w:afterAutospacing="0" w:line="360" w:lineRule="auto"/>
        <w:jc w:val="both"/>
      </w:pPr>
      <w:r w:rsidRPr="00952CD4">
        <w:t xml:space="preserve">Through detailed analysis, Pamma et al. (2024) uncover significant findings on “Regulation of Thyroid Hormone: An Important Aspect During Pregnancy.” The review emphasizes that even minimal thyroid dysfunction can result in neurodevelopmental disorders in the </w:t>
      </w:r>
      <w:proofErr w:type="spellStart"/>
      <w:r w:rsidRPr="00952CD4">
        <w:t>fetus</w:t>
      </w:r>
      <w:proofErr w:type="spellEnd"/>
      <w:r w:rsidRPr="00952CD4">
        <w:t>. It discusses the challenges in diagnosing thyroid dysfunction, as these conditions are often asymptomatic, and stresses the importance of periodizing thyroid function studies according to pregnancy trimesters. The paper also addresses the management of thyroid hormones and iodine intake, highlighting their crucial role in achieving better pregnancy outcomes.</w:t>
      </w:r>
    </w:p>
    <w:p w14:paraId="5930EBDB" w14:textId="77777777" w:rsidR="00952CD4" w:rsidRPr="00952CD4" w:rsidRDefault="00952CD4" w:rsidP="00EF0802">
      <w:pPr>
        <w:pStyle w:val="NormalWeb"/>
        <w:numPr>
          <w:ilvl w:val="0"/>
          <w:numId w:val="19"/>
        </w:numPr>
        <w:spacing w:before="0" w:beforeAutospacing="0" w:after="160" w:afterAutospacing="0" w:line="360" w:lineRule="auto"/>
        <w:jc w:val="both"/>
      </w:pPr>
      <w:r w:rsidRPr="00952CD4">
        <w:t>According to the comprehensive review by Léger et al. (2022), “</w:t>
      </w:r>
      <w:proofErr w:type="spellStart"/>
      <w:r w:rsidRPr="00952CD4">
        <w:t>Fetal</w:t>
      </w:r>
      <w:proofErr w:type="spellEnd"/>
      <w:r w:rsidRPr="00952CD4">
        <w:t xml:space="preserve"> and Neonatal Thyroid Dysfunction” summarizes a limited number of disorders affecting thyroid function during pregnancy and after birth. The review highlights congenital hypothyroidism (CH), both primary and central, emphasizing the importance of early identification and timely treatment through neonatal screening. It also discusses neonatal Graves' disease, which occurs due to the transmission of thyrotropin receptor antibodies from the mother to the </w:t>
      </w:r>
      <w:proofErr w:type="spellStart"/>
      <w:r w:rsidRPr="00952CD4">
        <w:t>fetus</w:t>
      </w:r>
      <w:proofErr w:type="spellEnd"/>
      <w:r w:rsidRPr="00952CD4">
        <w:t>, and the impact of antithyroid medications. Early diagnosis and management are crucial for improving outcomes in affected infants.</w:t>
      </w:r>
    </w:p>
    <w:p w14:paraId="44D50B72" w14:textId="77777777" w:rsidR="00952CD4" w:rsidRPr="00952CD4" w:rsidRDefault="00952CD4" w:rsidP="00EF0802">
      <w:pPr>
        <w:pStyle w:val="NormalWeb"/>
        <w:numPr>
          <w:ilvl w:val="0"/>
          <w:numId w:val="19"/>
        </w:numPr>
        <w:spacing w:before="0" w:beforeAutospacing="0" w:after="160" w:afterAutospacing="0" w:line="360" w:lineRule="auto"/>
        <w:jc w:val="both"/>
      </w:pPr>
      <w:r w:rsidRPr="00952CD4">
        <w:lastRenderedPageBreak/>
        <w:t xml:space="preserve">In their analysis, </w:t>
      </w:r>
      <w:proofErr w:type="spellStart"/>
      <w:r w:rsidRPr="00952CD4">
        <w:t>Moleti</w:t>
      </w:r>
      <w:proofErr w:type="spellEnd"/>
      <w:r w:rsidRPr="00952CD4">
        <w:t xml:space="preserve"> et al. (2014) examine “Thyroid Physiology in Pregnancy” and emphasize the significance of hypothyroidism, which occurs in 3-5% of pregnant women, with subclinical hypothyroidism being more prevalent than overt hypothyroidism. The paper describes both subclinical and overt hypothyroidism, offering recommendations for the treatment of overt hypothyroidism, particularly for elderly and pregnant women who should undergo levothyroxine therapy to normalize TSH levels. The article also addresses the ongoing controversy surrounding the treatment of subclinical hypothyroidism and the cautious approach to screening all pregnant women for thyroid disorders.</w:t>
      </w:r>
    </w:p>
    <w:p w14:paraId="3C24FAEB" w14:textId="77777777" w:rsidR="00952CD4" w:rsidRPr="00952CD4" w:rsidRDefault="00952CD4" w:rsidP="00EF0802">
      <w:pPr>
        <w:pStyle w:val="NormalWeb"/>
        <w:numPr>
          <w:ilvl w:val="0"/>
          <w:numId w:val="19"/>
        </w:numPr>
        <w:spacing w:before="0" w:beforeAutospacing="0" w:after="160" w:afterAutospacing="0" w:line="360" w:lineRule="auto"/>
        <w:jc w:val="both"/>
      </w:pPr>
      <w:r w:rsidRPr="00952CD4">
        <w:t xml:space="preserve">Parkes et al. (2012) highlight in their research that “Thyroid Disorders During Pregnancy” provides an overview of normal thyroid changes during pregnancy, such as increased TBG, the effect of </w:t>
      </w:r>
      <w:proofErr w:type="spellStart"/>
      <w:r w:rsidRPr="00952CD4">
        <w:t>hCG</w:t>
      </w:r>
      <w:proofErr w:type="spellEnd"/>
      <w:r w:rsidRPr="00952CD4">
        <w:t xml:space="preserve"> on TSH receptors, and increased peripheral thyroid hormone utilization. The paper discusses hyperthyroid and hypothyroid diseases in women of childbearing age and their effects on both the mother and the future baby. The review emphasizes the importance of screening and prevention of thyroid disorders during pregnancy and the postpartum period, along with the management of thyroid dysfunction during pregnancy.</w:t>
      </w:r>
    </w:p>
    <w:p w14:paraId="71BACF6D" w14:textId="77777777" w:rsidR="00952CD4" w:rsidRPr="00952CD4" w:rsidRDefault="00952CD4" w:rsidP="00EF0802">
      <w:pPr>
        <w:pStyle w:val="NormalWeb"/>
        <w:numPr>
          <w:ilvl w:val="0"/>
          <w:numId w:val="19"/>
        </w:numPr>
        <w:spacing w:before="0" w:beforeAutospacing="0" w:after="160" w:afterAutospacing="0" w:line="360" w:lineRule="auto"/>
        <w:jc w:val="both"/>
      </w:pPr>
      <w:r w:rsidRPr="00952CD4">
        <w:t>The findings presented by Laurberg et al. (2013) reveal that “Screening for Overt Thyroid Disease in Early Pregnancy May Be Preferable to Searching for Small Aberrations in Thyroid Function Tests.” The authors discuss meta-analyses of thyroid function, pregnancy, and child cognition, arguing that small abnormalities in thyroid function tests may be influenced by uteroplacental changes and are unlikely to require treatment. In contrast, screening can identify cases of obvious hypothyroidism in 200-300 women per 100,000 pregnancies, preventing complications if thyroid disorders are diagnosed early with no neurocognitive loss. The article advocates for specific testing rather than modifying thyroid tests that show slight alterations.</w:t>
      </w:r>
    </w:p>
    <w:p w14:paraId="6A2507F6" w14:textId="77777777" w:rsidR="00952CD4" w:rsidRPr="00952CD4" w:rsidRDefault="00952CD4" w:rsidP="00EF0802">
      <w:pPr>
        <w:spacing w:line="360" w:lineRule="auto"/>
        <w:ind w:left="360"/>
        <w:jc w:val="both"/>
        <w:rPr>
          <w:rFonts w:ascii="Times New Roman" w:hAnsi="Times New Roman" w:cs="Times New Roman"/>
          <w:b/>
          <w:bCs/>
        </w:rPr>
      </w:pPr>
    </w:p>
    <w:p w14:paraId="26B4826F" w14:textId="7620C106" w:rsidR="00952CD4" w:rsidRDefault="00952CD4" w:rsidP="00EF0802">
      <w:pPr>
        <w:spacing w:line="360" w:lineRule="auto"/>
        <w:ind w:left="360"/>
        <w:jc w:val="both"/>
        <w:rPr>
          <w:rFonts w:ascii="Times New Roman" w:hAnsi="Times New Roman" w:cs="Times New Roman"/>
          <w:b/>
          <w:bCs/>
        </w:rPr>
      </w:pPr>
      <w:r w:rsidRPr="00952CD4">
        <w:rPr>
          <w:rFonts w:ascii="Times New Roman" w:hAnsi="Times New Roman" w:cs="Times New Roman"/>
          <w:b/>
          <w:bCs/>
        </w:rPr>
        <w:t>2.5 Studies related to Healthy Lifestyle to prevent the Thyroid in Pregnancy</w:t>
      </w:r>
    </w:p>
    <w:p w14:paraId="37CC6853" w14:textId="254D24D7" w:rsidR="00F41D70" w:rsidRPr="00F41D70" w:rsidRDefault="00F41D70" w:rsidP="00EF0802">
      <w:pPr>
        <w:spacing w:line="360" w:lineRule="auto"/>
        <w:ind w:left="360"/>
        <w:jc w:val="both"/>
        <w:rPr>
          <w:rFonts w:ascii="Times New Roman" w:hAnsi="Times New Roman" w:cs="Times New Roman"/>
        </w:rPr>
      </w:pPr>
      <w:r w:rsidRPr="00F41D70">
        <w:rPr>
          <w:rFonts w:ascii="Times New Roman" w:hAnsi="Times New Roman" w:cs="Times New Roman"/>
        </w:rPr>
        <w:t xml:space="preserve">Studies related to healthy lifestyle to prevent the thyroid in pregnancy are presented as follows; </w:t>
      </w:r>
    </w:p>
    <w:p w14:paraId="75FC9D49" w14:textId="77777777" w:rsidR="00952CD4" w:rsidRPr="00F41D70" w:rsidRDefault="00952CD4" w:rsidP="00EF0802">
      <w:pPr>
        <w:pStyle w:val="ListParagraph"/>
        <w:numPr>
          <w:ilvl w:val="0"/>
          <w:numId w:val="20"/>
        </w:numPr>
        <w:spacing w:line="360" w:lineRule="auto"/>
        <w:jc w:val="both"/>
        <w:rPr>
          <w:rFonts w:ascii="Times New Roman" w:hAnsi="Times New Roman" w:cs="Times New Roman"/>
        </w:rPr>
      </w:pPr>
      <w:r w:rsidRPr="00F41D70">
        <w:rPr>
          <w:rFonts w:ascii="Times New Roman" w:hAnsi="Times New Roman" w:cs="Times New Roman"/>
        </w:rPr>
        <w:lastRenderedPageBreak/>
        <w:t>The systematic review with the title ‘Effect of Yoga Therapy on Hypothyroidism,’ by Bhandari and Mahto (2024) focuses on the effects of hypothyroidism (HT). It assesses eight qualifying studies, comprising both RCTs and the other intervention, in 421 HT patients. The current literature review establishes that yoga has a positive impact on thyroid hormone levels, lipid profile, cardiovascular autonomic function, lung functions, and psychological distress. Due to the clinical and methodological variability of the investigated studies, yoga is proposed as an additional cost-effective intervention for HT, we need further large well-designed research on the effectiveness of this practice and relevant pathways.</w:t>
      </w:r>
    </w:p>
    <w:p w14:paraId="772AE5DD" w14:textId="77777777" w:rsidR="00952CD4" w:rsidRPr="00F41D70" w:rsidRDefault="00952CD4" w:rsidP="00EF0802">
      <w:pPr>
        <w:pStyle w:val="ListParagraph"/>
        <w:numPr>
          <w:ilvl w:val="0"/>
          <w:numId w:val="20"/>
        </w:numPr>
        <w:spacing w:line="360" w:lineRule="auto"/>
        <w:jc w:val="both"/>
        <w:rPr>
          <w:rFonts w:ascii="Times New Roman" w:eastAsia="Times New Roman" w:hAnsi="Times New Roman" w:cs="Times New Roman"/>
          <w:lang w:bidi="hi-IN"/>
        </w:rPr>
      </w:pPr>
      <w:r w:rsidRPr="00F41D70">
        <w:rPr>
          <w:rFonts w:ascii="Times New Roman" w:eastAsia="Times New Roman" w:hAnsi="Times New Roman" w:cs="Times New Roman"/>
          <w:lang w:bidi="hi-IN"/>
        </w:rPr>
        <w:t xml:space="preserve">According to the comprehensive review by Duñabeitia et al. (2023), “Effect of Physical Exercise in People with Hypothyroidism,” the impact of exercise in hypothyroid patients is </w:t>
      </w:r>
      <w:proofErr w:type="spellStart"/>
      <w:r w:rsidRPr="00F41D70">
        <w:rPr>
          <w:rFonts w:ascii="Times New Roman" w:eastAsia="Times New Roman" w:hAnsi="Times New Roman" w:cs="Times New Roman"/>
          <w:lang w:bidi="hi-IN"/>
        </w:rPr>
        <w:t>analyzed</w:t>
      </w:r>
      <w:proofErr w:type="spellEnd"/>
      <w:r w:rsidRPr="00F41D70">
        <w:rPr>
          <w:rFonts w:ascii="Times New Roman" w:eastAsia="Times New Roman" w:hAnsi="Times New Roman" w:cs="Times New Roman"/>
          <w:lang w:bidi="hi-IN"/>
        </w:rPr>
        <w:t>. The study combines data from 10 trials of low to moderate methodological quality that mostly included women with subclinical hypothyroidism. The meta-analysis showed that even if exercise had no direct effect on thyroid function status, it was effective in improving physical and mental health. The studies demonstrate that aerobic and resistance training is safe and effective for hypothyroidism, though exercise does not appear to change TSH levels.</w:t>
      </w:r>
    </w:p>
    <w:p w14:paraId="43C1424D" w14:textId="77777777" w:rsidR="00952CD4" w:rsidRPr="00F41D70" w:rsidRDefault="00952CD4" w:rsidP="00EF0802">
      <w:pPr>
        <w:pStyle w:val="ListParagraph"/>
        <w:numPr>
          <w:ilvl w:val="0"/>
          <w:numId w:val="20"/>
        </w:numPr>
        <w:spacing w:line="360" w:lineRule="auto"/>
        <w:jc w:val="both"/>
        <w:rPr>
          <w:rFonts w:ascii="Times New Roman" w:eastAsia="Times New Roman" w:hAnsi="Times New Roman" w:cs="Times New Roman"/>
          <w:lang w:bidi="hi-IN"/>
        </w:rPr>
      </w:pPr>
      <w:r w:rsidRPr="00F41D70">
        <w:rPr>
          <w:rFonts w:ascii="Times New Roman" w:eastAsia="Times New Roman" w:hAnsi="Times New Roman" w:cs="Times New Roman"/>
          <w:lang w:bidi="hi-IN"/>
        </w:rPr>
        <w:t xml:space="preserve">In their analysis, Lee and Pearce (2022) examine “Assessment and Treatment of Thyroid Disorders in Pregnancy and the Postpartum Period.” The study describes courses of thyroid disorders in pregnant women. Both hyperthyroidism and hypothyroidism, forms of thyroid disorders, can impact the health of the would-be mother as well as the development of the </w:t>
      </w:r>
      <w:proofErr w:type="spellStart"/>
      <w:r w:rsidRPr="00F41D70">
        <w:rPr>
          <w:rFonts w:ascii="Times New Roman" w:eastAsia="Times New Roman" w:hAnsi="Times New Roman" w:cs="Times New Roman"/>
          <w:lang w:bidi="hi-IN"/>
        </w:rPr>
        <w:t>fetus</w:t>
      </w:r>
      <w:proofErr w:type="spellEnd"/>
      <w:r w:rsidRPr="00F41D70">
        <w:rPr>
          <w:rFonts w:ascii="Times New Roman" w:eastAsia="Times New Roman" w:hAnsi="Times New Roman" w:cs="Times New Roman"/>
          <w:lang w:bidi="hi-IN"/>
        </w:rPr>
        <w:t>. This review emphasizes the need for early and appropriate treatment of diseases such as Graves’ disease, Hashimoto thyroiditis, and gestational transient thyrotoxicosis. It also covers iodine deficiency, thyroid cancer, and postpartum thyroiditis. By presenting the most recent data, the authors include recommendations for the assessment and management of thyroid disorders in pregnancy and puerperium to promote maternal and neonatal well-being.</w:t>
      </w:r>
    </w:p>
    <w:p w14:paraId="2F285222" w14:textId="77777777" w:rsidR="00952CD4" w:rsidRPr="00F41D70" w:rsidRDefault="00952CD4" w:rsidP="00EF0802">
      <w:pPr>
        <w:pStyle w:val="ListParagraph"/>
        <w:numPr>
          <w:ilvl w:val="0"/>
          <w:numId w:val="20"/>
        </w:numPr>
        <w:spacing w:line="360" w:lineRule="auto"/>
        <w:jc w:val="both"/>
        <w:rPr>
          <w:rFonts w:ascii="Times New Roman" w:eastAsia="Times New Roman" w:hAnsi="Times New Roman" w:cs="Times New Roman"/>
          <w:lang w:bidi="hi-IN"/>
        </w:rPr>
      </w:pPr>
      <w:r w:rsidRPr="00F41D70">
        <w:rPr>
          <w:rFonts w:ascii="Times New Roman" w:eastAsia="Times New Roman" w:hAnsi="Times New Roman" w:cs="Times New Roman"/>
          <w:lang w:bidi="hi-IN"/>
        </w:rPr>
        <w:t xml:space="preserve">A study conducted by Ruggeri et al. (2023) delves into “Autoimmune Thyroid Disorders: The Mediterranean Diet as a Protective Choice.” The article focuses on the growing trend in autoimmune thyroid diseases and the effects of diet on its progression. More so, the authors comment on the negative impact of the </w:t>
      </w:r>
      <w:r w:rsidRPr="00F41D70">
        <w:rPr>
          <w:rFonts w:ascii="Times New Roman" w:eastAsia="Times New Roman" w:hAnsi="Times New Roman" w:cs="Times New Roman"/>
          <w:lang w:bidi="hi-IN"/>
        </w:rPr>
        <w:lastRenderedPageBreak/>
        <w:t>Western palate diet, which is comprised of fats and sugars, on the immune system balance and gut bacteria, contributing to autoimmune diseases. On the other hand, the Mediterranean dietary pattern, which is high in vegetables, olive oil, and moderate in fish, is protective. It is pro-immune, pro-gut, and anti-inflammatory – the three factors identified as helpful for avoiding thyroid autoimmunity.</w:t>
      </w:r>
    </w:p>
    <w:p w14:paraId="38E3B73F" w14:textId="77777777" w:rsidR="00952CD4" w:rsidRPr="00F41D70" w:rsidRDefault="00952CD4" w:rsidP="00EF0802">
      <w:pPr>
        <w:pStyle w:val="ListParagraph"/>
        <w:numPr>
          <w:ilvl w:val="0"/>
          <w:numId w:val="20"/>
        </w:numPr>
        <w:spacing w:line="360" w:lineRule="auto"/>
        <w:jc w:val="both"/>
        <w:rPr>
          <w:rFonts w:ascii="Times New Roman" w:eastAsia="Times New Roman" w:hAnsi="Times New Roman" w:cs="Times New Roman"/>
          <w:lang w:bidi="hi-IN"/>
        </w:rPr>
      </w:pPr>
      <w:r w:rsidRPr="00F41D70">
        <w:rPr>
          <w:rFonts w:ascii="Times New Roman" w:eastAsia="Times New Roman" w:hAnsi="Times New Roman" w:cs="Times New Roman"/>
          <w:lang w:bidi="hi-IN"/>
        </w:rPr>
        <w:t xml:space="preserve">Bath (2024) highlights in their research that “Thyroid Function and Iodine Intake: Global Recommendations and Relevant Dietary Trends.” The article focuses on the importance of iodine in making thyroid hormones, especially during pregnancy and early childhood when brain development relies on these hormones. While iodine intake varies globally and has been enhanced through programs such as salt iodization, countries without such programs face challenges, particularly during dietary transitions. The review examines variations in iodine intake among populations based on their dietary patterns, such as dairy consumption, and </w:t>
      </w:r>
      <w:proofErr w:type="spellStart"/>
      <w:r w:rsidRPr="00F41D70">
        <w:rPr>
          <w:rFonts w:ascii="Times New Roman" w:eastAsia="Times New Roman" w:hAnsi="Times New Roman" w:cs="Times New Roman"/>
          <w:lang w:bidi="hi-IN"/>
        </w:rPr>
        <w:t>analyzes</w:t>
      </w:r>
      <w:proofErr w:type="spellEnd"/>
      <w:r w:rsidRPr="00F41D70">
        <w:rPr>
          <w:rFonts w:ascii="Times New Roman" w:eastAsia="Times New Roman" w:hAnsi="Times New Roman" w:cs="Times New Roman"/>
          <w:lang w:bidi="hi-IN"/>
        </w:rPr>
        <w:t xml:space="preserve"> the effects of current trends, including reduced salt intake for cardiovascular health and the shift to plant-based diets, on iodine status.</w:t>
      </w:r>
    </w:p>
    <w:p w14:paraId="12F9BE03" w14:textId="77777777" w:rsidR="00952CD4" w:rsidRPr="00F41D70" w:rsidRDefault="00952CD4" w:rsidP="00EF0802">
      <w:pPr>
        <w:pStyle w:val="ListParagraph"/>
        <w:numPr>
          <w:ilvl w:val="0"/>
          <w:numId w:val="20"/>
        </w:numPr>
        <w:spacing w:line="360" w:lineRule="auto"/>
        <w:jc w:val="both"/>
        <w:rPr>
          <w:rFonts w:ascii="Times New Roman" w:eastAsia="Times New Roman" w:hAnsi="Times New Roman" w:cs="Times New Roman"/>
          <w:lang w:bidi="hi-IN"/>
        </w:rPr>
      </w:pPr>
      <w:r w:rsidRPr="00F41D70">
        <w:rPr>
          <w:rFonts w:ascii="Times New Roman" w:eastAsia="Times New Roman" w:hAnsi="Times New Roman" w:cs="Times New Roman"/>
          <w:lang w:bidi="hi-IN"/>
        </w:rPr>
        <w:t xml:space="preserve">The findings presented by </w:t>
      </w:r>
      <w:proofErr w:type="spellStart"/>
      <w:r w:rsidRPr="00F41D70">
        <w:rPr>
          <w:rFonts w:ascii="Times New Roman" w:eastAsia="Times New Roman" w:hAnsi="Times New Roman" w:cs="Times New Roman"/>
          <w:lang w:bidi="hi-IN"/>
        </w:rPr>
        <w:t>Panaitescu</w:t>
      </w:r>
      <w:proofErr w:type="spellEnd"/>
      <w:r w:rsidRPr="00F41D70">
        <w:rPr>
          <w:rFonts w:ascii="Times New Roman" w:eastAsia="Times New Roman" w:hAnsi="Times New Roman" w:cs="Times New Roman"/>
          <w:lang w:bidi="hi-IN"/>
        </w:rPr>
        <w:t xml:space="preserve"> et al. (2021) reveal “Pregnancy Complications Can Foreshadow Future Disease—Long-Term Outcomes of a Complicated Pregnancy.” The article examines how hypertensive disorders of pregnancy, such as gestational hypertension, preeclampsia, and gestational diabetes mellitus, portend future cardiovascular and metabolic diseases. The review notes that while some symptoms may resolve after childbirth, others may manifest later, particularly during the postmenopausal period. It emphasizes the importance of lifestyle and dietary changes and advocates routine blood pressure and glucose profile checks to prevent long-term complications. The authors argue that a woman’s obstetric history can be effectively used to predict and mitigate the risk of future diseases.</w:t>
      </w:r>
    </w:p>
    <w:p w14:paraId="11FB2F91" w14:textId="77777777" w:rsidR="00952CD4" w:rsidRPr="00F41D70" w:rsidRDefault="00952CD4" w:rsidP="00EF0802">
      <w:pPr>
        <w:pStyle w:val="ListParagraph"/>
        <w:numPr>
          <w:ilvl w:val="0"/>
          <w:numId w:val="20"/>
        </w:numPr>
        <w:spacing w:line="360" w:lineRule="auto"/>
        <w:jc w:val="both"/>
        <w:rPr>
          <w:rFonts w:ascii="Times New Roman" w:eastAsia="Times New Roman" w:hAnsi="Times New Roman" w:cs="Times New Roman"/>
          <w:lang w:bidi="hi-IN"/>
        </w:rPr>
      </w:pPr>
      <w:r w:rsidRPr="00F41D70">
        <w:rPr>
          <w:rFonts w:ascii="Times New Roman" w:eastAsia="Times New Roman" w:hAnsi="Times New Roman" w:cs="Times New Roman"/>
          <w:lang w:bidi="hi-IN"/>
        </w:rPr>
        <w:t xml:space="preserve">The findings presented by </w:t>
      </w:r>
      <w:proofErr w:type="spellStart"/>
      <w:r w:rsidRPr="00F41D70">
        <w:rPr>
          <w:rFonts w:ascii="Times New Roman" w:eastAsia="Times New Roman" w:hAnsi="Times New Roman" w:cs="Times New Roman"/>
          <w:lang w:bidi="hi-IN"/>
        </w:rPr>
        <w:t>Panaitescu</w:t>
      </w:r>
      <w:proofErr w:type="spellEnd"/>
      <w:r w:rsidRPr="00F41D70">
        <w:rPr>
          <w:rFonts w:ascii="Times New Roman" w:eastAsia="Times New Roman" w:hAnsi="Times New Roman" w:cs="Times New Roman"/>
          <w:lang w:bidi="hi-IN"/>
        </w:rPr>
        <w:t xml:space="preserve"> et al. (2021) reveal “Pregnancy Complications Can Foreshadow Future Disease—Long-Term Outcomes of a Complicated Pregnancy.” The article examines how hypertensive disorders of pregnancy, such as gestational hypertension, preeclampsia, and gestational diabetes mellitus, portend future cardiovascular and metabolic diseases. The review notes that while some symptoms may resolve after childbirth, others may </w:t>
      </w:r>
      <w:r w:rsidRPr="00F41D70">
        <w:rPr>
          <w:rFonts w:ascii="Times New Roman" w:eastAsia="Times New Roman" w:hAnsi="Times New Roman" w:cs="Times New Roman"/>
          <w:lang w:bidi="hi-IN"/>
        </w:rPr>
        <w:lastRenderedPageBreak/>
        <w:t>manifest later, particularly during the postmenopausal period. It emphasizes the importance of lifestyle and dietary changes and advocates routine blood pressure and glucose profile checks to prevent long-term complications. The authors argue that a woman’s obstetric history can be effectively used to predict and mitigate the risk of future diseases.</w:t>
      </w:r>
    </w:p>
    <w:p w14:paraId="6C5C832C" w14:textId="77777777" w:rsidR="00952CD4" w:rsidRPr="00F41D70" w:rsidRDefault="00952CD4" w:rsidP="00EF0802">
      <w:pPr>
        <w:pStyle w:val="ListParagraph"/>
        <w:numPr>
          <w:ilvl w:val="0"/>
          <w:numId w:val="20"/>
        </w:numPr>
        <w:spacing w:line="360" w:lineRule="auto"/>
        <w:jc w:val="both"/>
        <w:rPr>
          <w:rFonts w:ascii="Times New Roman" w:eastAsia="Times New Roman" w:hAnsi="Times New Roman" w:cs="Times New Roman"/>
          <w:lang w:bidi="hi-IN"/>
        </w:rPr>
      </w:pPr>
      <w:r w:rsidRPr="00F41D70">
        <w:rPr>
          <w:rFonts w:ascii="Times New Roman" w:eastAsia="Times New Roman" w:hAnsi="Times New Roman" w:cs="Times New Roman"/>
          <w:lang w:bidi="hi-IN"/>
        </w:rPr>
        <w:t>As noted by Yim (2016), the study focuses on “Update on the Management of Thyroid Disease During Pregnancy.” It examines the effects of thyroid diseases on pregnancy alongside their management. While apparent thyroid disorders pose significant risks to both mother and infant, these risks can generally be mitigated through appropriate management. The review highlights that current finding on the risks of subclinical hypothyroidism are insufficient to support the routine use of levothyroxine, leading most guidelines to recommend targeted testing. However, new research revealing the limitations of case-finding approaches has prompted calls for routine screening. This study outlines changes in thyroid function, the management of thyroid disorders, and the ongoing controversy surrounding screening practices during pregnancy.</w:t>
      </w:r>
    </w:p>
    <w:p w14:paraId="34212359" w14:textId="77777777" w:rsidR="00952CD4" w:rsidRPr="00F41D70" w:rsidRDefault="00952CD4" w:rsidP="00EF0802">
      <w:pPr>
        <w:pStyle w:val="ListParagraph"/>
        <w:numPr>
          <w:ilvl w:val="0"/>
          <w:numId w:val="20"/>
        </w:numPr>
        <w:spacing w:line="360" w:lineRule="auto"/>
        <w:jc w:val="both"/>
        <w:rPr>
          <w:rFonts w:ascii="Times New Roman" w:eastAsia="Times New Roman" w:hAnsi="Times New Roman" w:cs="Times New Roman"/>
          <w:lang w:bidi="hi-IN"/>
        </w:rPr>
      </w:pPr>
      <w:r w:rsidRPr="00F41D70">
        <w:rPr>
          <w:rFonts w:ascii="Times New Roman" w:eastAsia="Times New Roman" w:hAnsi="Times New Roman" w:cs="Times New Roman"/>
          <w:lang w:bidi="hi-IN"/>
        </w:rPr>
        <w:t xml:space="preserve">Candido et al. (2023) presents an in-depth review of “Prevalence of Excessive Iodine Intake in Pregnancy and Its Health Consequences.” The study revealed that 52% of 10,736 pregnant women across various regions had high iodine levels, leading to </w:t>
      </w:r>
      <w:proofErr w:type="spellStart"/>
      <w:r w:rsidRPr="00F41D70">
        <w:rPr>
          <w:rFonts w:ascii="Times New Roman" w:eastAsia="Times New Roman" w:hAnsi="Times New Roman" w:cs="Times New Roman"/>
          <w:lang w:bidi="hi-IN"/>
        </w:rPr>
        <w:t>hypothyroxinemia</w:t>
      </w:r>
      <w:proofErr w:type="spellEnd"/>
      <w:r w:rsidRPr="00F41D70">
        <w:rPr>
          <w:rFonts w:ascii="Times New Roman" w:eastAsia="Times New Roman" w:hAnsi="Times New Roman" w:cs="Times New Roman"/>
          <w:lang w:bidi="hi-IN"/>
        </w:rPr>
        <w:t>, hypothyroidism, and hyperthyroidism in mothers, as well as thyroid dysfunction and macrosomia in newborns. The review highlights the role of high-iodine-content drinking water in contributing to excessive intake and examines the impact of gestational trimesters and FT4 levels in populations with excess iodine.</w:t>
      </w:r>
    </w:p>
    <w:p w14:paraId="7655EA9D" w14:textId="77777777" w:rsidR="00952CD4" w:rsidRPr="00952CD4" w:rsidRDefault="00952CD4" w:rsidP="00EF0802">
      <w:pPr>
        <w:pStyle w:val="ListParagraph"/>
        <w:spacing w:line="360" w:lineRule="auto"/>
        <w:ind w:left="360"/>
        <w:jc w:val="both"/>
        <w:rPr>
          <w:rFonts w:ascii="Times New Roman" w:hAnsi="Times New Roman" w:cs="Times New Roman"/>
          <w:color w:val="000000" w:themeColor="text1"/>
          <w:shd w:val="clear" w:color="auto" w:fill="FFFFFF"/>
        </w:rPr>
      </w:pPr>
    </w:p>
    <w:p w14:paraId="516D9164" w14:textId="5BAA9559" w:rsidR="00952CD4" w:rsidRDefault="00952CD4" w:rsidP="00EF0802">
      <w:pPr>
        <w:spacing w:line="360" w:lineRule="auto"/>
        <w:jc w:val="both"/>
        <w:rPr>
          <w:rFonts w:ascii="Times New Roman" w:hAnsi="Times New Roman" w:cs="Times New Roman"/>
          <w:b/>
          <w:bCs/>
          <w:color w:val="000000" w:themeColor="text1"/>
        </w:rPr>
      </w:pPr>
      <w:r w:rsidRPr="00952CD4">
        <w:rPr>
          <w:rFonts w:ascii="Times New Roman" w:hAnsi="Times New Roman" w:cs="Times New Roman"/>
          <w:b/>
          <w:bCs/>
          <w:color w:val="000000" w:themeColor="text1"/>
        </w:rPr>
        <w:t>2.6 Importance of Thyroid and Hypertension Management in Pregnancy</w:t>
      </w:r>
    </w:p>
    <w:p w14:paraId="0AD835B5" w14:textId="3595CA7D" w:rsidR="00F41D70" w:rsidRPr="00F41D70" w:rsidRDefault="00F41D70" w:rsidP="00EF0802">
      <w:pPr>
        <w:spacing w:line="360" w:lineRule="auto"/>
        <w:jc w:val="both"/>
        <w:rPr>
          <w:rFonts w:ascii="Times New Roman" w:hAnsi="Times New Roman" w:cs="Times New Roman"/>
          <w:color w:val="000000" w:themeColor="text1"/>
        </w:rPr>
      </w:pPr>
      <w:r w:rsidRPr="00F41D70">
        <w:rPr>
          <w:rFonts w:ascii="Times New Roman" w:hAnsi="Times New Roman" w:cs="Times New Roman"/>
          <w:color w:val="000000" w:themeColor="text1"/>
        </w:rPr>
        <w:t xml:space="preserve">Importance of thyroid and hypertension management in pregnancy are presented as follows; </w:t>
      </w:r>
    </w:p>
    <w:p w14:paraId="736F88C9" w14:textId="77777777" w:rsidR="00952CD4" w:rsidRPr="00952CD4" w:rsidRDefault="00952CD4" w:rsidP="00EF0802">
      <w:pPr>
        <w:pStyle w:val="NormalWeb"/>
        <w:numPr>
          <w:ilvl w:val="0"/>
          <w:numId w:val="14"/>
        </w:numPr>
        <w:spacing w:before="0" w:beforeAutospacing="0" w:after="160" w:afterAutospacing="0" w:line="360" w:lineRule="auto"/>
        <w:jc w:val="both"/>
      </w:pPr>
      <w:r w:rsidRPr="00952CD4">
        <w:t xml:space="preserve">Research led by Agrawal and Wenger (2020) investigates “Hypertension During Pregnancy,” discussing the prevalence of hypertensive disorders in pregnancy and the cardiovascular consequences for about 5-10% of pregnant women. The study shows that women with chronic hypertension have higher risks of pre-eclampsia, </w:t>
      </w:r>
      <w:proofErr w:type="spellStart"/>
      <w:r w:rsidRPr="00952CD4">
        <w:lastRenderedPageBreak/>
        <w:t>cesarean</w:t>
      </w:r>
      <w:proofErr w:type="spellEnd"/>
      <w:r w:rsidRPr="00952CD4">
        <w:t xml:space="preserve"> section, preterm delivery, low birth weight babies, and perinatal complications. New guidelines for blood pressure in the general population diagnose more at-risk women but target below 140/90, which may impair placental blood flow. The article emphasizes the role of low-dose aspirin in preventing preeclampsia and balancing antihypertensive activity with </w:t>
      </w:r>
      <w:proofErr w:type="spellStart"/>
      <w:r w:rsidRPr="00952CD4">
        <w:t>fetal</w:t>
      </w:r>
      <w:proofErr w:type="spellEnd"/>
      <w:r w:rsidRPr="00952CD4">
        <w:t xml:space="preserve"> outcomes. It suggests that shared care by obstetricians and cardiologists should be provided to control maternal and neonatal complications and potential future cardiovascular effects.</w:t>
      </w:r>
    </w:p>
    <w:p w14:paraId="18DF7099" w14:textId="77777777" w:rsidR="00952CD4" w:rsidRPr="00952CD4" w:rsidRDefault="00952CD4" w:rsidP="00EF0802">
      <w:pPr>
        <w:pStyle w:val="NormalWeb"/>
        <w:numPr>
          <w:ilvl w:val="0"/>
          <w:numId w:val="14"/>
        </w:numPr>
        <w:spacing w:before="0" w:beforeAutospacing="0" w:after="160" w:afterAutospacing="0" w:line="360" w:lineRule="auto"/>
        <w:jc w:val="both"/>
      </w:pPr>
      <w:r w:rsidRPr="00952CD4">
        <w:t xml:space="preserve">Alves Junior et al. (2022) presents an in-depth review of “Effect of Hyperthyroidism Control During Pregnancy on Maternal and </w:t>
      </w:r>
      <w:proofErr w:type="spellStart"/>
      <w:r w:rsidRPr="00952CD4">
        <w:t>Fetal</w:t>
      </w:r>
      <w:proofErr w:type="spellEnd"/>
      <w:r w:rsidRPr="00952CD4">
        <w:t xml:space="preserve"> Outcome,” examining how hyperthyroidism affects pregnancy. The meta-analysis of seven cohort studies concluded that although the treatment of hyperthyroidism decreased the risk of preeclampsia, low birth weight, spontaneous abortion, and preterm birth, no major impact was observed on outcomes such as abruptio placentae, </w:t>
      </w:r>
      <w:proofErr w:type="spellStart"/>
      <w:r w:rsidRPr="00952CD4">
        <w:t>fetal</w:t>
      </w:r>
      <w:proofErr w:type="spellEnd"/>
      <w:r w:rsidRPr="00952CD4">
        <w:t xml:space="preserve"> growth retardation, gestational diabetes, postpartum </w:t>
      </w:r>
      <w:proofErr w:type="spellStart"/>
      <w:r w:rsidRPr="00952CD4">
        <w:t>hemorrhage</w:t>
      </w:r>
      <w:proofErr w:type="spellEnd"/>
      <w:r w:rsidRPr="00952CD4">
        <w:t>, or stillbirth. The paper emphasizes the need to manage hyperthyroidism during pregnancy, even if some risks remain unaltered.</w:t>
      </w:r>
    </w:p>
    <w:p w14:paraId="4DA3C285" w14:textId="77777777" w:rsidR="00952CD4" w:rsidRPr="00952CD4" w:rsidRDefault="00952CD4" w:rsidP="00EF0802">
      <w:pPr>
        <w:pStyle w:val="NormalWeb"/>
        <w:numPr>
          <w:ilvl w:val="0"/>
          <w:numId w:val="14"/>
        </w:numPr>
        <w:spacing w:before="0" w:beforeAutospacing="0" w:after="160" w:afterAutospacing="0" w:line="360" w:lineRule="auto"/>
        <w:jc w:val="both"/>
      </w:pPr>
      <w:r w:rsidRPr="00952CD4">
        <w:t xml:space="preserve">A detailed study by </w:t>
      </w:r>
      <w:proofErr w:type="spellStart"/>
      <w:r w:rsidRPr="00952CD4">
        <w:t>Mégier</w:t>
      </w:r>
      <w:proofErr w:type="spellEnd"/>
      <w:r w:rsidRPr="00952CD4">
        <w:t xml:space="preserve">, </w:t>
      </w:r>
      <w:proofErr w:type="spellStart"/>
      <w:r w:rsidRPr="00952CD4">
        <w:t>Dumery</w:t>
      </w:r>
      <w:proofErr w:type="spellEnd"/>
      <w:r w:rsidRPr="00952CD4">
        <w:t xml:space="preserve">, and Luton (2023) discusses “Iodine and Thyroid Maternal and </w:t>
      </w:r>
      <w:proofErr w:type="spellStart"/>
      <w:r w:rsidRPr="00952CD4">
        <w:t>Fetal</w:t>
      </w:r>
      <w:proofErr w:type="spellEnd"/>
      <w:r w:rsidRPr="00952CD4">
        <w:t xml:space="preserve"> Metabolism During Pregnancy,” highlighting the crucial importance of thyroid hormones and iodine in regulating basal metabolism during pregnancy as well as </w:t>
      </w:r>
      <w:proofErr w:type="spellStart"/>
      <w:r w:rsidRPr="00952CD4">
        <w:t>fetal</w:t>
      </w:r>
      <w:proofErr w:type="spellEnd"/>
      <w:r w:rsidRPr="00952CD4">
        <w:t xml:space="preserve"> growth and neuronal development. It focuses on the possible adverse effects of thyroid disease, including hypo- or hyperthyroidism, on both the postpartum woman and the </w:t>
      </w:r>
      <w:proofErr w:type="spellStart"/>
      <w:r w:rsidRPr="00952CD4">
        <w:t>fetus</w:t>
      </w:r>
      <w:proofErr w:type="spellEnd"/>
      <w:r w:rsidRPr="00952CD4">
        <w:t>. The study also covers aspects of placental control of thyroid and iodine metabolism, as well as changes in both normal pregnant women and those with pathologic states. This review emphasizes the importance of proper thyroid and iodine nutrient regulation for optimal health in both mother and offspring.</w:t>
      </w:r>
    </w:p>
    <w:p w14:paraId="1E6A345F" w14:textId="77777777" w:rsidR="00952CD4" w:rsidRPr="00952CD4" w:rsidRDefault="00952CD4" w:rsidP="00EF0802">
      <w:pPr>
        <w:pStyle w:val="NormalWeb"/>
        <w:numPr>
          <w:ilvl w:val="0"/>
          <w:numId w:val="14"/>
        </w:numPr>
        <w:spacing w:before="0" w:beforeAutospacing="0" w:after="160" w:afterAutospacing="0" w:line="360" w:lineRule="auto"/>
        <w:jc w:val="both"/>
      </w:pPr>
      <w:r w:rsidRPr="00952CD4">
        <w:t xml:space="preserve">Van </w:t>
      </w:r>
      <w:proofErr w:type="spellStart"/>
      <w:r w:rsidRPr="00952CD4">
        <w:t>Trotsenburg</w:t>
      </w:r>
      <w:proofErr w:type="spellEnd"/>
      <w:r w:rsidRPr="00952CD4">
        <w:t xml:space="preserve"> (2020) offers valuable insights into “Management of Neonates Born to Mothers with Thyroid Dysfunction, and Points for Attention During Pregnancy,” investigating the relation between thyroid hormone and </w:t>
      </w:r>
      <w:proofErr w:type="spellStart"/>
      <w:r w:rsidRPr="00952CD4">
        <w:t>fetal</w:t>
      </w:r>
      <w:proofErr w:type="spellEnd"/>
      <w:r w:rsidRPr="00952CD4">
        <w:t xml:space="preserve"> development, as well as the effect of antithyroid agents on pregnancy. This review illustrates the impact of autoimmune thyroid disorders, including autoimmune </w:t>
      </w:r>
      <w:r w:rsidRPr="00952CD4">
        <w:lastRenderedPageBreak/>
        <w:t xml:space="preserve">thyroiditis and Graves’ disease, on </w:t>
      </w:r>
      <w:proofErr w:type="spellStart"/>
      <w:r w:rsidRPr="00952CD4">
        <w:t>fetal</w:t>
      </w:r>
      <w:proofErr w:type="spellEnd"/>
      <w:r w:rsidRPr="00952CD4">
        <w:t xml:space="preserve"> and neonatal thyroid function, resulting in transient neonatal hyper- or hypothyroidism. It also describes how maternal thyroid antibodies and anti-thyroid medications cross the placental barrier and outlines the approach to newborns of mothers with thyroid disorders.</w:t>
      </w:r>
    </w:p>
    <w:p w14:paraId="6B67E1FF" w14:textId="77777777" w:rsidR="00952CD4" w:rsidRPr="00952CD4" w:rsidRDefault="00952CD4" w:rsidP="00EF0802">
      <w:pPr>
        <w:pStyle w:val="NormalWeb"/>
        <w:numPr>
          <w:ilvl w:val="0"/>
          <w:numId w:val="14"/>
        </w:numPr>
        <w:spacing w:before="0" w:beforeAutospacing="0" w:after="160" w:afterAutospacing="0" w:line="360" w:lineRule="auto"/>
        <w:jc w:val="both"/>
      </w:pPr>
      <w:r w:rsidRPr="00952CD4">
        <w:t>The research work by Pearce (2015) sheds light on “Thyroid Disorders During Pregnancy and Postpartum,” explaining the changes to thyroid functioning during pregnancy and the consequences of a dysfunctional thyroid for the baby and the mother. It brings awareness to the orderly tackling of thyroid illnesses such as hypothyroidism and hyperthyroidism to avoid harm. The review gives an overview of the management during pregnancy and after birth, with a particular focus on the ongoing contentious issues within the area of specialty. These findings will be informative to clinicians and contribute to the ongoing pursuit of more evidence and collaboration to improve the treatment of pregnant and postpartum patients with thyroid dysfunction.</w:t>
      </w:r>
    </w:p>
    <w:p w14:paraId="0B55EA67" w14:textId="77777777" w:rsidR="00952CD4" w:rsidRPr="00952CD4" w:rsidRDefault="00952CD4" w:rsidP="00EF0802">
      <w:pPr>
        <w:pStyle w:val="NormalWeb"/>
        <w:numPr>
          <w:ilvl w:val="0"/>
          <w:numId w:val="14"/>
        </w:numPr>
        <w:spacing w:before="0" w:beforeAutospacing="0" w:after="160" w:afterAutospacing="0" w:line="360" w:lineRule="auto"/>
        <w:jc w:val="both"/>
      </w:pPr>
      <w:r w:rsidRPr="00952CD4">
        <w:t xml:space="preserve">Andersen (2019) systematically reviews “Frequency and Outcomes of Maternal Thyroid Function Abnormalities in Early Pregnancy,” noting that although thyroid hormones play a key role in the maturation of </w:t>
      </w:r>
      <w:proofErr w:type="spellStart"/>
      <w:r w:rsidRPr="00952CD4">
        <w:t>fetal</w:t>
      </w:r>
      <w:proofErr w:type="spellEnd"/>
      <w:r w:rsidRPr="00952CD4">
        <w:t xml:space="preserve"> brain tissue, the routine measurement of thyroid function during pregnancy lacks adequate evidence. The review focuses on problems related to biochemical diagnostics and presents findings from the Danish National Birth Cohort, including a high prevalence of undiagnosed abnormal thyroid function. It also investigates the possible association of maternal thyroid dysfunctions and neurodevelopmental profiles in offspring.</w:t>
      </w:r>
    </w:p>
    <w:p w14:paraId="7A0E2125" w14:textId="77777777" w:rsidR="00952CD4" w:rsidRPr="00952CD4" w:rsidRDefault="00952CD4" w:rsidP="00EF0802">
      <w:pPr>
        <w:pStyle w:val="ListParagraph"/>
        <w:numPr>
          <w:ilvl w:val="0"/>
          <w:numId w:val="14"/>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 xml:space="preserve">A detailed study by Alemu et al. (2016) discusses “Thyroid Hormone Dysfunction During Pregnancy: A Review.” The review highlights thyroid dysfunctions such as hypothyroidism and thyrotoxicosis during pregnancy, which are associated with poor pregnancy outcomes, increased risk of abortion, preeclampsia, and negative effects on </w:t>
      </w:r>
      <w:proofErr w:type="spellStart"/>
      <w:r w:rsidRPr="00952CD4">
        <w:rPr>
          <w:rFonts w:ascii="Times New Roman" w:eastAsia="Times New Roman" w:hAnsi="Times New Roman" w:cs="Times New Roman"/>
          <w:lang w:bidi="hi-IN"/>
        </w:rPr>
        <w:t>fetal</w:t>
      </w:r>
      <w:proofErr w:type="spellEnd"/>
      <w:r w:rsidRPr="00952CD4">
        <w:rPr>
          <w:rFonts w:ascii="Times New Roman" w:eastAsia="Times New Roman" w:hAnsi="Times New Roman" w:cs="Times New Roman"/>
          <w:lang w:bidi="hi-IN"/>
        </w:rPr>
        <w:t xml:space="preserve"> intellectual capacity. It reemphasizes the significance of maternal thyroid hormones in </w:t>
      </w:r>
      <w:proofErr w:type="spellStart"/>
      <w:r w:rsidRPr="00952CD4">
        <w:rPr>
          <w:rFonts w:ascii="Times New Roman" w:eastAsia="Times New Roman" w:hAnsi="Times New Roman" w:cs="Times New Roman"/>
          <w:lang w:bidi="hi-IN"/>
        </w:rPr>
        <w:t>fetal</w:t>
      </w:r>
      <w:proofErr w:type="spellEnd"/>
      <w:r w:rsidRPr="00952CD4">
        <w:rPr>
          <w:rFonts w:ascii="Times New Roman" w:eastAsia="Times New Roman" w:hAnsi="Times New Roman" w:cs="Times New Roman"/>
          <w:lang w:bidi="hi-IN"/>
        </w:rPr>
        <w:t xml:space="preserve"> neuronal development and the need for early evaluation and management of thyroid disorders to minimize risks of adverse outcomes such as preterm birth and newborn morbidity. Particularly, it considers management strategies effective for both maternal and </w:t>
      </w:r>
      <w:proofErr w:type="spellStart"/>
      <w:r w:rsidRPr="00952CD4">
        <w:rPr>
          <w:rFonts w:ascii="Times New Roman" w:eastAsia="Times New Roman" w:hAnsi="Times New Roman" w:cs="Times New Roman"/>
          <w:lang w:bidi="hi-IN"/>
        </w:rPr>
        <w:t>fetal</w:t>
      </w:r>
      <w:proofErr w:type="spellEnd"/>
      <w:r w:rsidRPr="00952CD4">
        <w:rPr>
          <w:rFonts w:ascii="Times New Roman" w:eastAsia="Times New Roman" w:hAnsi="Times New Roman" w:cs="Times New Roman"/>
          <w:lang w:bidi="hi-IN"/>
        </w:rPr>
        <w:t xml:space="preserve"> health during pregnancy.</w:t>
      </w:r>
    </w:p>
    <w:p w14:paraId="0B1A7D55" w14:textId="77777777" w:rsidR="00952CD4" w:rsidRPr="00952CD4" w:rsidRDefault="00952CD4" w:rsidP="00EF0802">
      <w:pPr>
        <w:pStyle w:val="ListParagraph"/>
        <w:numPr>
          <w:ilvl w:val="0"/>
          <w:numId w:val="14"/>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lastRenderedPageBreak/>
        <w:t xml:space="preserve">In examining “Thyroid Dysfunction and Thyroid Autoimmunity in Euthyroid Women in Achieving Fertility,” </w:t>
      </w:r>
      <w:proofErr w:type="spellStart"/>
      <w:r w:rsidRPr="00952CD4">
        <w:rPr>
          <w:rFonts w:ascii="Times New Roman" w:eastAsia="Times New Roman" w:hAnsi="Times New Roman" w:cs="Times New Roman"/>
          <w:lang w:bidi="hi-IN"/>
        </w:rPr>
        <w:t>Medenica</w:t>
      </w:r>
      <w:proofErr w:type="spellEnd"/>
      <w:r w:rsidRPr="00952CD4">
        <w:rPr>
          <w:rFonts w:ascii="Times New Roman" w:eastAsia="Times New Roman" w:hAnsi="Times New Roman" w:cs="Times New Roman"/>
          <w:lang w:bidi="hi-IN"/>
        </w:rPr>
        <w:t xml:space="preserve"> et al. (2015) identify the role of thyroid hormones in regulating menstrual cycles and fertility-related hormonal actions. The review discusses hypothyroidism, hyperthyroidism, and thyroid autoimmunity, along with their maternal and </w:t>
      </w:r>
      <w:proofErr w:type="spellStart"/>
      <w:r w:rsidRPr="00952CD4">
        <w:rPr>
          <w:rFonts w:ascii="Times New Roman" w:eastAsia="Times New Roman" w:hAnsi="Times New Roman" w:cs="Times New Roman"/>
          <w:lang w:bidi="hi-IN"/>
        </w:rPr>
        <w:t>fetal</w:t>
      </w:r>
      <w:proofErr w:type="spellEnd"/>
      <w:r w:rsidRPr="00952CD4">
        <w:rPr>
          <w:rFonts w:ascii="Times New Roman" w:eastAsia="Times New Roman" w:hAnsi="Times New Roman" w:cs="Times New Roman"/>
          <w:lang w:bidi="hi-IN"/>
        </w:rPr>
        <w:t xml:space="preserve"> complications. As with all issues concerning screening and treatment, there is debate over these findings. However, some research suggests that levothyroxine therapy could enhance fertility, particularly in women with thyroid autoimmunity.</w:t>
      </w:r>
    </w:p>
    <w:p w14:paraId="1246E725" w14:textId="77777777" w:rsidR="00952CD4" w:rsidRPr="00952CD4" w:rsidRDefault="00952CD4" w:rsidP="00EF0802">
      <w:pPr>
        <w:pStyle w:val="ListParagraph"/>
        <w:numPr>
          <w:ilvl w:val="0"/>
          <w:numId w:val="14"/>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 xml:space="preserve">Andersen and Laurberg (2016) offer valuable insights into “Managing Hyperthyroidism in Pregnancy: Current Perspectives,” explaining that while hyperthyroidism in pregnant women is comparatively rare, it is most commonly represented by Graves’ disease. This article reviews methods of thyroid function tests and highlights the challenges of interpreting these tests due to the physiological changes in pregnancy that impact thyroid hormone synthesis and metabolism. The authors emphasize the importance of managing hyperthyroidism to prevent serious consequences and pregnancy complications, particularly regarding the use of antithyroid drugs (ATDs) and the potential risk of </w:t>
      </w:r>
      <w:proofErr w:type="spellStart"/>
      <w:r w:rsidRPr="00952CD4">
        <w:rPr>
          <w:rFonts w:ascii="Times New Roman" w:eastAsia="Times New Roman" w:hAnsi="Times New Roman" w:cs="Times New Roman"/>
          <w:lang w:bidi="hi-IN"/>
        </w:rPr>
        <w:t>fetal</w:t>
      </w:r>
      <w:proofErr w:type="spellEnd"/>
      <w:r w:rsidRPr="00952CD4">
        <w:rPr>
          <w:rFonts w:ascii="Times New Roman" w:eastAsia="Times New Roman" w:hAnsi="Times New Roman" w:cs="Times New Roman"/>
          <w:lang w:bidi="hi-IN"/>
        </w:rPr>
        <w:t xml:space="preserve"> hyper- or hypothyroidism, which can lead to malformations if the mother is exposed during early pregnancy.</w:t>
      </w:r>
    </w:p>
    <w:p w14:paraId="451E31EF" w14:textId="77777777" w:rsidR="00952CD4" w:rsidRPr="00952CD4" w:rsidRDefault="00952CD4" w:rsidP="00EF0802">
      <w:pPr>
        <w:pStyle w:val="ListParagraph"/>
        <w:numPr>
          <w:ilvl w:val="0"/>
          <w:numId w:val="14"/>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 xml:space="preserve">The research work by Sarkar and Bischoff (2016) sheds light on “Management of Hyperthyroidism During the Preconception Phase, Pregnancy, and the Postpartum Period,” exploring the physiological changes in pregnancy and the risks associated with antithyroid agents like methimazole and propylthiouracil during the first trimester. The article also addresses other conditions that may accompany pregnancy or breastfeeding, such as hyperemesis gravidarum and postpartum thyroiditis, and discusses potential therapies including surgery. The authors provide detailed information on various maternal, </w:t>
      </w:r>
      <w:proofErr w:type="spellStart"/>
      <w:r w:rsidRPr="00952CD4">
        <w:rPr>
          <w:rFonts w:ascii="Times New Roman" w:eastAsia="Times New Roman" w:hAnsi="Times New Roman" w:cs="Times New Roman"/>
          <w:lang w:bidi="hi-IN"/>
        </w:rPr>
        <w:t>fetal</w:t>
      </w:r>
      <w:proofErr w:type="spellEnd"/>
      <w:r w:rsidRPr="00952CD4">
        <w:rPr>
          <w:rFonts w:ascii="Times New Roman" w:eastAsia="Times New Roman" w:hAnsi="Times New Roman" w:cs="Times New Roman"/>
          <w:lang w:bidi="hi-IN"/>
        </w:rPr>
        <w:t>, and neonatal adverse outcomes and their management during these stages.</w:t>
      </w:r>
    </w:p>
    <w:p w14:paraId="326E8035" w14:textId="77777777" w:rsidR="00952CD4" w:rsidRPr="00952CD4" w:rsidRDefault="00952CD4" w:rsidP="00EF0802">
      <w:pPr>
        <w:pStyle w:val="ListParagraph"/>
        <w:numPr>
          <w:ilvl w:val="0"/>
          <w:numId w:val="14"/>
        </w:numPr>
        <w:spacing w:line="360" w:lineRule="auto"/>
        <w:jc w:val="both"/>
        <w:rPr>
          <w:rFonts w:ascii="Times New Roman" w:hAnsi="Times New Roman" w:cs="Times New Roman"/>
        </w:rPr>
      </w:pPr>
      <w:r w:rsidRPr="00952CD4">
        <w:rPr>
          <w:rFonts w:ascii="Times New Roman" w:hAnsi="Times New Roman" w:cs="Times New Roman"/>
        </w:rPr>
        <w:t xml:space="preserve">The article titled “Turning to Thyroid Disease in Pregnant Women” by Andersen and Andersen (2020) has a clinical and scientific relevance since thyroid disease in pregnant women can negatively affect both the mother and the unborn child. The contents of the review discuss the management of obvious thyroid disorders while exploring the developing interest in ‘borderline’ thyroid disorders and isolated thyroid dysfunction. It also examines innovation in measuring thyroid </w:t>
      </w:r>
      <w:r w:rsidRPr="00952CD4">
        <w:rPr>
          <w:rFonts w:ascii="Times New Roman" w:hAnsi="Times New Roman" w:cs="Times New Roman"/>
        </w:rPr>
        <w:lastRenderedPageBreak/>
        <w:t>function tests and the difference between observational studies and RCTs before discussing the future trends in the management and evaluation of maternal thyroid dysfunction during pregnancy.</w:t>
      </w:r>
    </w:p>
    <w:p w14:paraId="543937B0" w14:textId="77777777" w:rsidR="00952CD4" w:rsidRPr="00952CD4" w:rsidRDefault="00952CD4" w:rsidP="00EF0802">
      <w:pPr>
        <w:pStyle w:val="ListParagraph"/>
        <w:numPr>
          <w:ilvl w:val="0"/>
          <w:numId w:val="14"/>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Ferreira, Gomes, and Príncipe (2020) systematically review “Controversial Screening for Thyroid Dysfunction in Preconception and Pregnancy: An Evidence-Based Review,” discussing the ATA 2017 guidelines that recommend selective screening while introducing evidence supporting universal screening, especially in the first trimester of pregnancy. The review highlights that general population screening is cost-effective, simple, and helps prevent negative outcomes. However, the authors emphasize the need for further research to develop recommendations for a more individualized approach to preconception thyroid screening.</w:t>
      </w:r>
    </w:p>
    <w:p w14:paraId="321A2AE3" w14:textId="77777777" w:rsidR="00952CD4" w:rsidRPr="00952CD4" w:rsidRDefault="00952CD4" w:rsidP="00EF0802">
      <w:pPr>
        <w:pStyle w:val="ListParagraph"/>
        <w:numPr>
          <w:ilvl w:val="0"/>
          <w:numId w:val="14"/>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Through their investigation, Moroz et al. (2016) emphasize “Management of Severe Hypertension in Pregnancy,” reviewing diagnostic criteria for severe hypertension during pregnancy, antihypertensive agents, and management algorithms. The article highlights the importance of adopting appropriate management to prevent or minimize maternal morbidities and mortalities. The authors stress that increased attention and prompt response to high-risk patients improve outcomes through adherence to standards and constant monitoring of pregnant women with severe hypertension.</w:t>
      </w:r>
    </w:p>
    <w:p w14:paraId="6C894E8D" w14:textId="33010F7C" w:rsidR="00952CD4" w:rsidRPr="00F41D70" w:rsidRDefault="00952CD4" w:rsidP="00EF0802">
      <w:pPr>
        <w:pStyle w:val="ListParagraph"/>
        <w:numPr>
          <w:ilvl w:val="0"/>
          <w:numId w:val="14"/>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An evaluation by Ryan et al. (2024) discusses “Hypertension Management in Pregnancy,” examining the characteristics and definitions of hypertension in pregnancy and childbirth. The article explores differences in blood pressure management between general practitioners and obstetricians and reviews various treatment strategies for hypertension during pregnancy. The authors emphasize the importance of addressing issues in the postpartum period and highlight the relevance of continued care with a primary care physician to reduce cardiovascular risks and improve maternal health outcomes for hypertensive patients.</w:t>
      </w:r>
    </w:p>
    <w:p w14:paraId="6A9760B8" w14:textId="77777777" w:rsidR="00952CD4" w:rsidRPr="00952CD4" w:rsidRDefault="00952CD4" w:rsidP="00EF0802">
      <w:pPr>
        <w:pStyle w:val="ListParagraph"/>
        <w:spacing w:line="360" w:lineRule="auto"/>
        <w:jc w:val="both"/>
        <w:rPr>
          <w:rFonts w:ascii="Times New Roman" w:hAnsi="Times New Roman" w:cs="Times New Roman"/>
        </w:rPr>
      </w:pPr>
    </w:p>
    <w:p w14:paraId="4C666974" w14:textId="60ACA3DE" w:rsidR="00952CD4" w:rsidRDefault="00952CD4" w:rsidP="00EF0802">
      <w:pPr>
        <w:spacing w:line="360" w:lineRule="auto"/>
        <w:jc w:val="both"/>
        <w:rPr>
          <w:rFonts w:ascii="Times New Roman" w:hAnsi="Times New Roman" w:cs="Times New Roman"/>
          <w:b/>
          <w:bCs/>
        </w:rPr>
      </w:pPr>
      <w:r w:rsidRPr="00952CD4">
        <w:rPr>
          <w:rFonts w:ascii="Times New Roman" w:hAnsi="Times New Roman" w:cs="Times New Roman"/>
          <w:b/>
          <w:bCs/>
        </w:rPr>
        <w:t>2.7 Risks associated with Unmanaged Thyroid Disorders and Hypertension During Pregnancy</w:t>
      </w:r>
    </w:p>
    <w:p w14:paraId="406E1BBE" w14:textId="07A9B1DF" w:rsidR="00F41D70" w:rsidRPr="00F41D70" w:rsidRDefault="00F41D70" w:rsidP="00EF0802">
      <w:pPr>
        <w:spacing w:line="360" w:lineRule="auto"/>
        <w:jc w:val="both"/>
        <w:rPr>
          <w:rFonts w:ascii="Times New Roman" w:hAnsi="Times New Roman" w:cs="Times New Roman"/>
        </w:rPr>
      </w:pPr>
      <w:r w:rsidRPr="00F41D70">
        <w:rPr>
          <w:rFonts w:ascii="Times New Roman" w:hAnsi="Times New Roman" w:cs="Times New Roman"/>
        </w:rPr>
        <w:t xml:space="preserve">Risks associated with unmanaged thyroid disorders and hypertension during pregnancy are presented as follows; </w:t>
      </w:r>
    </w:p>
    <w:p w14:paraId="1ACAC0E2" w14:textId="01723DDA" w:rsidR="00952CD4" w:rsidRPr="00ED03FB" w:rsidRDefault="00952CD4" w:rsidP="00EF0802">
      <w:pPr>
        <w:pStyle w:val="ListParagraph"/>
        <w:numPr>
          <w:ilvl w:val="0"/>
          <w:numId w:val="16"/>
        </w:numPr>
        <w:spacing w:line="360" w:lineRule="auto"/>
        <w:jc w:val="both"/>
        <w:rPr>
          <w:rFonts w:ascii="Times New Roman" w:hAnsi="Times New Roman" w:cs="Times New Roman"/>
          <w:b/>
          <w:bCs/>
        </w:rPr>
      </w:pPr>
      <w:r w:rsidRPr="00952CD4">
        <w:rPr>
          <w:rFonts w:ascii="Times New Roman" w:eastAsia="Times New Roman" w:hAnsi="Times New Roman" w:cs="Times New Roman"/>
          <w:lang w:bidi="hi-IN"/>
        </w:rPr>
        <w:lastRenderedPageBreak/>
        <w:t xml:space="preserve">Insights provided by Berta et al. (2019) indicate “Hypertension in Thyroid Disorders,” examining the correlation between thyroid disorders and arterial hypertension, a prevalent condition affecting more than one-quarter of the world’s population. While most hypertensive individuals have primary or essential hypertension, secondary causes, including thyroid abnormalities, occur in about 10% of cases. Overt and subclinical hyper- and hypothyroidism can contribute to mild hypertension, with probable pathogenetic factors such as mutations in the genes of the hypothalamus-pituitary-thyroid axis and </w:t>
      </w:r>
      <w:proofErr w:type="spellStart"/>
      <w:r w:rsidRPr="00952CD4">
        <w:rPr>
          <w:rFonts w:ascii="Times New Roman" w:eastAsia="Times New Roman" w:hAnsi="Times New Roman" w:cs="Times New Roman"/>
          <w:lang w:bidi="hi-IN"/>
        </w:rPr>
        <w:t>dyslipidemia</w:t>
      </w:r>
      <w:proofErr w:type="spellEnd"/>
      <w:r w:rsidRPr="00952CD4">
        <w:rPr>
          <w:rFonts w:ascii="Times New Roman" w:eastAsia="Times New Roman" w:hAnsi="Times New Roman" w:cs="Times New Roman"/>
          <w:lang w:bidi="hi-IN"/>
        </w:rPr>
        <w:t xml:space="preserve"> leading to atherosclerotic vasculopathy. This article offers insights into the interaction between thyroid hormone metabolism, cardiovascular health, and hypertension prevalence, particularly focusing on thyroid-linked cardiovascular risks.</w:t>
      </w:r>
    </w:p>
    <w:p w14:paraId="6F566043" w14:textId="77777777" w:rsidR="00952CD4" w:rsidRPr="00952CD4" w:rsidRDefault="00952CD4" w:rsidP="00EF0802">
      <w:pPr>
        <w:pStyle w:val="ListParagraph"/>
        <w:numPr>
          <w:ilvl w:val="0"/>
          <w:numId w:val="16"/>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 xml:space="preserve">The study by Shulhai et al. (2024) critically </w:t>
      </w:r>
      <w:proofErr w:type="spellStart"/>
      <w:r w:rsidRPr="00952CD4">
        <w:rPr>
          <w:rFonts w:ascii="Times New Roman" w:eastAsia="Times New Roman" w:hAnsi="Times New Roman" w:cs="Times New Roman"/>
          <w:lang w:bidi="hi-IN"/>
        </w:rPr>
        <w:t>analyzes</w:t>
      </w:r>
      <w:proofErr w:type="spellEnd"/>
      <w:r w:rsidRPr="00952CD4">
        <w:rPr>
          <w:rFonts w:ascii="Times New Roman" w:eastAsia="Times New Roman" w:hAnsi="Times New Roman" w:cs="Times New Roman"/>
          <w:lang w:bidi="hi-IN"/>
        </w:rPr>
        <w:t xml:space="preserve"> “The Role of Nutrition on Thyroid Function,” focusing on the diet–gut–thyroid axis. It highlights the significance of micronutrients, including iodine, selenium, iron, vitamin A, and vitamin B12, with particular attention to their role in thyroid hormone synthesis and management. The review emphasizes how dietary modifications and gut microbiota alterations can lead to dysbiosis, deficiencies in trace elements, and thyroid disorders such as hypothyroidism, hyperthyroidism, and autoimmune thyroid disorders. This study serves as a reminder of the essential value of micronutrients in thyroid health and underscores areas that may warrant further investigation.</w:t>
      </w:r>
    </w:p>
    <w:p w14:paraId="5FB7D317" w14:textId="77777777" w:rsidR="00952CD4" w:rsidRPr="00952CD4" w:rsidRDefault="00952CD4" w:rsidP="00EF0802">
      <w:pPr>
        <w:pStyle w:val="ListParagraph"/>
        <w:numPr>
          <w:ilvl w:val="0"/>
          <w:numId w:val="16"/>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Exploring current trends, Gronowski (2018) evaluates “Evaluation of Thyroid Function During Pregnancy: Have We Taken a Wrong Turn?” The article critiques the American Thyroid Association’s guidelines for diagnosing and managing thyroid disorders during pregnancy. While the ATA recommends screening for thyroid abnormalities using TSH and the FT4 index to estimate free thyroxine levels, the author questions the validity of this approach. Instead, the article advocates for the use of immunoassays with state-of-the-art technologies or LC-MS/MS for accurate FT4 determination. It also discusses variability in FT4 measurement during pregnancy and suggests factors for reconsideration to enhance clinical thyroid function assessments.</w:t>
      </w:r>
    </w:p>
    <w:p w14:paraId="2A29F0CC" w14:textId="77777777" w:rsidR="00952CD4" w:rsidRPr="00952CD4" w:rsidRDefault="00952CD4" w:rsidP="00EF0802">
      <w:pPr>
        <w:pStyle w:val="ListParagraph"/>
        <w:numPr>
          <w:ilvl w:val="0"/>
          <w:numId w:val="16"/>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 xml:space="preserve">An in-depth assessment by Reddy and Jim (2019) uncovers “Hypertension and Pregnancy: Management and Future Risks.” The article explores the challenges of pregnancy-induced hypertension, a leading cause of maternal and </w:t>
      </w:r>
      <w:proofErr w:type="spellStart"/>
      <w:r w:rsidRPr="00952CD4">
        <w:rPr>
          <w:rFonts w:ascii="Times New Roman" w:eastAsia="Times New Roman" w:hAnsi="Times New Roman" w:cs="Times New Roman"/>
          <w:lang w:bidi="hi-IN"/>
        </w:rPr>
        <w:t>fetal</w:t>
      </w:r>
      <w:proofErr w:type="spellEnd"/>
      <w:r w:rsidRPr="00952CD4">
        <w:rPr>
          <w:rFonts w:ascii="Times New Roman" w:eastAsia="Times New Roman" w:hAnsi="Times New Roman" w:cs="Times New Roman"/>
          <w:lang w:bidi="hi-IN"/>
        </w:rPr>
        <w:t xml:space="preserve"> </w:t>
      </w:r>
      <w:r w:rsidRPr="00952CD4">
        <w:rPr>
          <w:rFonts w:ascii="Times New Roman" w:eastAsia="Times New Roman" w:hAnsi="Times New Roman" w:cs="Times New Roman"/>
          <w:lang w:bidi="hi-IN"/>
        </w:rPr>
        <w:lastRenderedPageBreak/>
        <w:t xml:space="preserve">complications. It emphasizes strategies to prevent maternal cardiovascular and cerebrovascular risks while ensuring </w:t>
      </w:r>
      <w:proofErr w:type="spellStart"/>
      <w:r w:rsidRPr="00952CD4">
        <w:rPr>
          <w:rFonts w:ascii="Times New Roman" w:eastAsia="Times New Roman" w:hAnsi="Times New Roman" w:cs="Times New Roman"/>
          <w:lang w:bidi="hi-IN"/>
        </w:rPr>
        <w:t>fetal</w:t>
      </w:r>
      <w:proofErr w:type="spellEnd"/>
      <w:r w:rsidRPr="00952CD4">
        <w:rPr>
          <w:rFonts w:ascii="Times New Roman" w:eastAsia="Times New Roman" w:hAnsi="Times New Roman" w:cs="Times New Roman"/>
          <w:lang w:bidi="hi-IN"/>
        </w:rPr>
        <w:t xml:space="preserve"> safety. Chronic hypertension warrants pre-pregnancy evaluation and close monitoring during pregnancy. Antihypertensive therapy is recommended for severe hypertension (systolic ≥160 mm Hg or diastolic ≥105 mm Hg). The article highlights evolving insights into hypertensive disorders' origins, their link to long-term cardiovascular and metabolic risks, and the importance of long-term monitoring to mitigate future health complications.</w:t>
      </w:r>
    </w:p>
    <w:p w14:paraId="26079AFA" w14:textId="77777777" w:rsidR="00952CD4" w:rsidRPr="00952CD4" w:rsidRDefault="00952CD4" w:rsidP="00EF0802">
      <w:pPr>
        <w:pStyle w:val="ListParagraph"/>
        <w:numPr>
          <w:ilvl w:val="0"/>
          <w:numId w:val="16"/>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In their comprehensive analysis, Ge et al. (2020) uncovers “Maternal Thyroid Dysfunction During Pregnancy and the Risk of Adverse Outcomes in the Offspring: A Systematic Review and Meta-Analysis.” A systematic review of 29 studies showed that children of mothers with hyperthyroidism had an increased risk of ADHD and epilepsy, while children of mothers with hypothyroidism had an increased risk of ADHD, ASD, and epilepsy. Such results concluded that regular thyroid function tests and early treatment in pregnancy should not be overlooked for risks to the offspring’s neurocognitive and developmental health.</w:t>
      </w:r>
    </w:p>
    <w:p w14:paraId="0CD12CA2" w14:textId="77777777" w:rsidR="00952CD4" w:rsidRPr="00952CD4" w:rsidRDefault="00952CD4" w:rsidP="00EF0802">
      <w:pPr>
        <w:pStyle w:val="ListParagraph"/>
        <w:numPr>
          <w:ilvl w:val="0"/>
          <w:numId w:val="16"/>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The investigation carried out by Ee et al. (2022) highlights “Complementary Medicines and Therapies in Clinical Guidelines on Pregnancy Care: A Systematic Review.” The study looked at 48 guidelines and found considerable variability in the advice given concerning vitamin D, calcium, and supplementation for obesity conditions in particular. There was some agreement found when it came to ginger and vitamin B6 being used to treat nausea. Still, overall, most of the guidelines were lacking in editorial independence and development rigor, and most only scored poorly. The study emphasizes the direction for essential recommendations based on research on CMT use while pregnant to promote legalized care for pregnant women.</w:t>
      </w:r>
    </w:p>
    <w:p w14:paraId="4FAA0516" w14:textId="77777777" w:rsidR="00952CD4" w:rsidRPr="00952CD4" w:rsidRDefault="00952CD4" w:rsidP="00EF0802">
      <w:pPr>
        <w:pStyle w:val="ListParagraph"/>
        <w:numPr>
          <w:ilvl w:val="0"/>
          <w:numId w:val="16"/>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 xml:space="preserve">Focusing on “Thyroid Dysfunction and Pregnancy Outcomes,” </w:t>
      </w:r>
      <w:proofErr w:type="spellStart"/>
      <w:r w:rsidRPr="00952CD4">
        <w:rPr>
          <w:rFonts w:ascii="Times New Roman" w:eastAsia="Times New Roman" w:hAnsi="Times New Roman" w:cs="Times New Roman"/>
          <w:lang w:bidi="hi-IN"/>
        </w:rPr>
        <w:t>Nazarpour</w:t>
      </w:r>
      <w:proofErr w:type="spellEnd"/>
      <w:r w:rsidRPr="00952CD4">
        <w:rPr>
          <w:rFonts w:ascii="Times New Roman" w:eastAsia="Times New Roman" w:hAnsi="Times New Roman" w:cs="Times New Roman"/>
          <w:lang w:bidi="hi-IN"/>
        </w:rPr>
        <w:t xml:space="preserve"> et al. (2015) bring attention to the importance of thyroid dysfunction about pregnancy outcomes. It underscores risks associated with manifest hyperthyroidism and hypothyroidism such as miscarriage, preterm delivery, preeclampsia, and neonatal morbidity and mortality, but the risks associated with subclinical hypothyroidism and thyroid autoimmunity are uncertain. This research highlights the fact that there is a probable relationship between subclinical thyroid dysfunction and thyroid autoimmunity during pregnancy, although more study and knowledge are acutely </w:t>
      </w:r>
      <w:r w:rsidRPr="00952CD4">
        <w:rPr>
          <w:rFonts w:ascii="Times New Roman" w:eastAsia="Times New Roman" w:hAnsi="Times New Roman" w:cs="Times New Roman"/>
          <w:lang w:bidi="hi-IN"/>
        </w:rPr>
        <w:lastRenderedPageBreak/>
        <w:t xml:space="preserve">required to actualize the definite effects of both states. Overall, this review reveals the significance of thyroid function in maternal and </w:t>
      </w:r>
      <w:proofErr w:type="spellStart"/>
      <w:r w:rsidRPr="00952CD4">
        <w:rPr>
          <w:rFonts w:ascii="Times New Roman" w:eastAsia="Times New Roman" w:hAnsi="Times New Roman" w:cs="Times New Roman"/>
          <w:lang w:bidi="hi-IN"/>
        </w:rPr>
        <w:t>fetal</w:t>
      </w:r>
      <w:proofErr w:type="spellEnd"/>
      <w:r w:rsidRPr="00952CD4">
        <w:rPr>
          <w:rFonts w:ascii="Times New Roman" w:eastAsia="Times New Roman" w:hAnsi="Times New Roman" w:cs="Times New Roman"/>
          <w:lang w:bidi="hi-IN"/>
        </w:rPr>
        <w:t xml:space="preserve"> outcomes, as well as the necessity of the individualized clinical approach.</w:t>
      </w:r>
    </w:p>
    <w:p w14:paraId="48920CB6" w14:textId="77777777" w:rsidR="00952CD4" w:rsidRPr="00952CD4" w:rsidRDefault="00952CD4" w:rsidP="00EF0802">
      <w:pPr>
        <w:pStyle w:val="ListParagraph"/>
        <w:numPr>
          <w:ilvl w:val="0"/>
          <w:numId w:val="16"/>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 xml:space="preserve">The research findings of </w:t>
      </w:r>
      <w:proofErr w:type="spellStart"/>
      <w:r w:rsidRPr="00952CD4">
        <w:rPr>
          <w:rFonts w:ascii="Times New Roman" w:eastAsia="Times New Roman" w:hAnsi="Times New Roman" w:cs="Times New Roman"/>
          <w:lang w:bidi="hi-IN"/>
        </w:rPr>
        <w:t>Tingi</w:t>
      </w:r>
      <w:proofErr w:type="spellEnd"/>
      <w:r w:rsidRPr="00952CD4">
        <w:rPr>
          <w:rFonts w:ascii="Times New Roman" w:eastAsia="Times New Roman" w:hAnsi="Times New Roman" w:cs="Times New Roman"/>
          <w:lang w:bidi="hi-IN"/>
        </w:rPr>
        <w:t xml:space="preserve"> et al. (2016) contribute to “Benign Thyroid Disease in Pregnancy: A State-of-the-Art Review,” addressing the effects of thyroid dysfunction in pregnancy besides its management to avoid adverse effects on both the mother and her unborn child. Overt hypothyroidism and hyperthyroidism are associated with such complications as preeclampsia, preterm delivery, and low birth weight. It doesn’t reflect on new guidelines or critically discuss past ones, featuring an evidence-based management plan for subclinical hypothyroidism with levothyroxine and clinical follow-up for postpartum thyroiditis. As with other autoimmune conditions, it demonstrates the temporary remission of autoimmune thyroid diseases in the pregnancy period and the importance of follow-up care after childbirth, which will be useful for clinicians.</w:t>
      </w:r>
    </w:p>
    <w:p w14:paraId="25FE754A" w14:textId="77777777" w:rsidR="00952CD4" w:rsidRPr="00952CD4" w:rsidRDefault="00952CD4" w:rsidP="00EF0802">
      <w:pPr>
        <w:pStyle w:val="ListParagraph"/>
        <w:numPr>
          <w:ilvl w:val="0"/>
          <w:numId w:val="16"/>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The analytical work of Rao et al. (2023) provides insight into “A Review on Thyroid Dysfunction and Hypertensive Disorder in Pregnant Women,” highlighting those thyroid disorders, especially hypothyroidism, which may require an increased dose in the first trimester of pregnancy and hypertension, affecting up to 10% of pregnant women, significantly contribute to complications such as preeclampsia. This paper reviews risk factors, complications, and management of these conditions and draws implications that may inform methods to enhance the care of pregnant women and reduce morbidity from these common pregnancy-related diseases.</w:t>
      </w:r>
    </w:p>
    <w:p w14:paraId="2DE66330" w14:textId="77777777" w:rsidR="00952CD4" w:rsidRPr="00952CD4" w:rsidRDefault="00952CD4" w:rsidP="00EF0802">
      <w:pPr>
        <w:pStyle w:val="ListParagraph"/>
        <w:numPr>
          <w:ilvl w:val="0"/>
          <w:numId w:val="16"/>
        </w:numPr>
        <w:spacing w:line="360" w:lineRule="auto"/>
        <w:jc w:val="both"/>
        <w:rPr>
          <w:rFonts w:ascii="Times New Roman" w:eastAsia="Times New Roman" w:hAnsi="Times New Roman" w:cs="Times New Roman"/>
          <w:lang w:bidi="hi-IN"/>
        </w:rPr>
      </w:pPr>
      <w:r w:rsidRPr="00952CD4">
        <w:rPr>
          <w:rFonts w:ascii="Times New Roman" w:eastAsia="Times New Roman" w:hAnsi="Times New Roman" w:cs="Times New Roman"/>
          <w:lang w:bidi="hi-IN"/>
        </w:rPr>
        <w:t xml:space="preserve">In their thorough exploration, Yuriah and Kartini (2022) identify “Factors Affecting the Prevalence of Hypertension in Pregnancy: Scoping Review,” assessing the global burden and risk factors of Hypertensive Disorder of Pregnancy (HDP), a leading cause of 60–80% of maternal deaths. Based on articles derived from PubMed and ProQuest databases, the study involved the review of 108 articles, with nine articles satisfying inclusion requirements. It identified five key factors influencing hypertension in pregnancy: heredity, age, parity and multiple pregnancies, body mass index, and more. The article emphasizes severe maternal and </w:t>
      </w:r>
      <w:proofErr w:type="spellStart"/>
      <w:r w:rsidRPr="00952CD4">
        <w:rPr>
          <w:rFonts w:ascii="Times New Roman" w:eastAsia="Times New Roman" w:hAnsi="Times New Roman" w:cs="Times New Roman"/>
          <w:lang w:bidi="hi-IN"/>
        </w:rPr>
        <w:t>fetal</w:t>
      </w:r>
      <w:proofErr w:type="spellEnd"/>
      <w:r w:rsidRPr="00952CD4">
        <w:rPr>
          <w:rFonts w:ascii="Times New Roman" w:eastAsia="Times New Roman" w:hAnsi="Times New Roman" w:cs="Times New Roman"/>
          <w:lang w:bidi="hi-IN"/>
        </w:rPr>
        <w:t xml:space="preserve"> morbidity and mortality related to hypertension, underscoring the need for better referral systems and further investigation into its causes.</w:t>
      </w:r>
    </w:p>
    <w:p w14:paraId="7A77F0F7" w14:textId="77777777" w:rsidR="00952CD4" w:rsidRPr="00952CD4" w:rsidRDefault="00952CD4" w:rsidP="00EF0802">
      <w:pPr>
        <w:pStyle w:val="NormalWeb"/>
        <w:numPr>
          <w:ilvl w:val="0"/>
          <w:numId w:val="16"/>
        </w:numPr>
        <w:spacing w:before="0" w:beforeAutospacing="0" w:after="160" w:afterAutospacing="0" w:line="360" w:lineRule="auto"/>
        <w:jc w:val="both"/>
      </w:pPr>
      <w:r w:rsidRPr="00952CD4">
        <w:lastRenderedPageBreak/>
        <w:t xml:space="preserve">Highlighting critical issues, Tamargo et al. (2019) examine “Pharmacotherapy for Hypertension in Pregnant Patients: Special Considerations,” focusing on hypertensive disorders in pregnancy, which are known precursors to adverse maternal and newborn outcomes. This article </w:t>
      </w:r>
      <w:proofErr w:type="spellStart"/>
      <w:r w:rsidRPr="00952CD4">
        <w:t>analyzes</w:t>
      </w:r>
      <w:proofErr w:type="spellEnd"/>
      <w:r w:rsidRPr="00952CD4">
        <w:t xml:space="preserve"> the pharmacological characteristics of antihypertensive agents, discussing their effects on both the pregnant woman and the </w:t>
      </w:r>
      <w:proofErr w:type="spellStart"/>
      <w:r w:rsidRPr="00952CD4">
        <w:t>fetus</w:t>
      </w:r>
      <w:proofErr w:type="spellEnd"/>
      <w:r w:rsidRPr="00952CD4">
        <w:t>. It also addresses disagreements over the management of patients with stage 1 hypertension without organ involvement and the ambiguity surrounding the lifetime outcomes of maternal use of antihypertensive medications during pregnancy. The authors stress the need for further well-designed clinical trials to address these contentious issues in the management of HDP.</w:t>
      </w:r>
    </w:p>
    <w:p w14:paraId="66642D56" w14:textId="77777777" w:rsidR="00952CD4" w:rsidRPr="00952CD4" w:rsidRDefault="00952CD4" w:rsidP="00EF0802">
      <w:pPr>
        <w:pStyle w:val="NormalWeb"/>
        <w:numPr>
          <w:ilvl w:val="0"/>
          <w:numId w:val="16"/>
        </w:numPr>
        <w:spacing w:before="0" w:beforeAutospacing="0" w:after="160" w:afterAutospacing="0" w:line="360" w:lineRule="auto"/>
        <w:jc w:val="both"/>
      </w:pPr>
      <w:r w:rsidRPr="00952CD4">
        <w:t xml:space="preserve">Through detailed analysis, </w:t>
      </w:r>
      <w:proofErr w:type="spellStart"/>
      <w:r w:rsidRPr="00952CD4">
        <w:t>Upadya</w:t>
      </w:r>
      <w:proofErr w:type="spellEnd"/>
      <w:r w:rsidRPr="00952CD4">
        <w:t xml:space="preserve"> and Rao (2018) uncover significant findings on “Hypertensive Disorders in Pregnancy,” a major issue in India, where the rate of HDP is 7.8%. The paper elaborates on the organ systems affected by HDP, including cardiovascular complications, renal compromise, and compromised uteroplacental blood flow. It also defines critical management protocols such as adequate </w:t>
      </w:r>
      <w:proofErr w:type="spellStart"/>
      <w:r w:rsidRPr="00952CD4">
        <w:t>fetal</w:t>
      </w:r>
      <w:proofErr w:type="spellEnd"/>
      <w:r w:rsidRPr="00952CD4">
        <w:t xml:space="preserve"> monitoring, antihypertensive treatment, anticonvulsant treatment, and safe </w:t>
      </w:r>
      <w:proofErr w:type="spellStart"/>
      <w:r w:rsidRPr="00952CD4">
        <w:t>anesthesia</w:t>
      </w:r>
      <w:proofErr w:type="spellEnd"/>
      <w:r w:rsidRPr="00952CD4">
        <w:t>. The article focuses on the health of both the mother and baby, emphasizing good obstetric practices and less invasive procedures, particularly in cases of severe pre-eclampsia.</w:t>
      </w:r>
    </w:p>
    <w:p w14:paraId="2C2C34F4" w14:textId="77777777" w:rsidR="00952CD4" w:rsidRPr="00952CD4" w:rsidRDefault="00952CD4" w:rsidP="00EF0802">
      <w:pPr>
        <w:pStyle w:val="NormalWeb"/>
        <w:numPr>
          <w:ilvl w:val="0"/>
          <w:numId w:val="16"/>
        </w:numPr>
        <w:spacing w:before="0" w:beforeAutospacing="0" w:after="160" w:afterAutospacing="0" w:line="360" w:lineRule="auto"/>
        <w:jc w:val="both"/>
      </w:pPr>
      <w:r w:rsidRPr="00952CD4">
        <w:t xml:space="preserve">According to the comprehensive review by </w:t>
      </w:r>
      <w:proofErr w:type="spellStart"/>
      <w:r w:rsidRPr="00952CD4">
        <w:t>Podymow</w:t>
      </w:r>
      <w:proofErr w:type="spellEnd"/>
      <w:r w:rsidRPr="00952CD4">
        <w:t xml:space="preserve"> and August (2017), “New Evidence in the Management of Chronic Hypertension in Pregnancy” delves into the challenges of managing chronic hypertension (CH) during pregnancy, which affects 1% to 5% of all pregnancies. The review addresses the ongoing discussion about the merits of reducing blood pressure in these patients and the goals of antihypertensive therapy. It primarily focuses on the CHIPS trial, which has examined the effects of tight and less tight control of blood pressure in patients with mild to moderate hypertension. The article emphasizes changes in management and treatment plans in light of these clinical trials, particularly stressing the importance of maintaining slow blood pressure variations to minimize risks for both the mother and </w:t>
      </w:r>
      <w:proofErr w:type="spellStart"/>
      <w:r w:rsidRPr="00952CD4">
        <w:t>fetus</w:t>
      </w:r>
      <w:proofErr w:type="spellEnd"/>
      <w:r w:rsidRPr="00952CD4">
        <w:t>.</w:t>
      </w:r>
    </w:p>
    <w:p w14:paraId="36F84005" w14:textId="77777777" w:rsidR="00952CD4" w:rsidRPr="00952CD4" w:rsidRDefault="00952CD4" w:rsidP="00EF0802">
      <w:pPr>
        <w:pStyle w:val="NormalWeb"/>
        <w:numPr>
          <w:ilvl w:val="0"/>
          <w:numId w:val="16"/>
        </w:numPr>
        <w:spacing w:before="0" w:beforeAutospacing="0" w:after="160" w:afterAutospacing="0" w:line="360" w:lineRule="auto"/>
        <w:jc w:val="both"/>
      </w:pPr>
      <w:r w:rsidRPr="00952CD4">
        <w:lastRenderedPageBreak/>
        <w:t xml:space="preserve">In their analysis, Amro et al. (2016) examine “Treatment Options for Hypertension in Pregnancy and Puerperium” by providing a comprehensive overview of the medications used to treat hypertension in pregnant women and during the puerperium period. The authors discuss several classes of antihypertensive agents, their actions and metabolisms, and the </w:t>
      </w:r>
      <w:proofErr w:type="spellStart"/>
      <w:r w:rsidRPr="00952CD4">
        <w:t>fetal</w:t>
      </w:r>
      <w:proofErr w:type="spellEnd"/>
      <w:r w:rsidRPr="00952CD4">
        <w:t xml:space="preserve"> risks associated with their use. They advocate for a step-wise approach in managing the condition and discourage aggressive treatment to prevent worsening uteroplacental blood flow. Additionally, the article includes recent studies on biomarkers under examination as well as nanomedicine and placenta-targeted therapies, with the aim of developing secure treatments that do not harm the mother or her unborn child.</w:t>
      </w:r>
    </w:p>
    <w:p w14:paraId="6CBCCF50" w14:textId="77777777" w:rsidR="00952CD4" w:rsidRPr="00952CD4" w:rsidRDefault="00952CD4" w:rsidP="00EF0802">
      <w:pPr>
        <w:pStyle w:val="NormalWeb"/>
        <w:numPr>
          <w:ilvl w:val="0"/>
          <w:numId w:val="16"/>
        </w:numPr>
        <w:spacing w:before="0" w:beforeAutospacing="0" w:after="160" w:afterAutospacing="0" w:line="360" w:lineRule="auto"/>
        <w:jc w:val="both"/>
      </w:pPr>
      <w:r w:rsidRPr="00952CD4">
        <w:t xml:space="preserve">A study conducted by </w:t>
      </w:r>
      <w:proofErr w:type="spellStart"/>
      <w:r w:rsidRPr="00952CD4">
        <w:t>Hauspurg</w:t>
      </w:r>
      <w:proofErr w:type="spellEnd"/>
      <w:r w:rsidRPr="00952CD4">
        <w:t xml:space="preserve"> et al. (2019) delves into “Hypertensive Disorders of Pregnancy and Future Maternal Health: How Can the Evidence Guide Postpartum Management?” by summarizing postpartum management of hypertension in pregnancy, a condition that raises cardiovascular risk among women who experience it. The study stresses the importance of adequate postpartum treatment and strongly advocates for home blood pressure measurement in the first year after delivery. It also emphasizes enhancing continuity of care with ambulatory medical providers. Contrary to the title, the authors propose the prevention of cardiovascular risks throughout the reproductive years to improve future maternal health.</w:t>
      </w:r>
    </w:p>
    <w:p w14:paraId="226A258D" w14:textId="77777777" w:rsidR="00952CD4" w:rsidRPr="00952CD4" w:rsidRDefault="00952CD4" w:rsidP="00EF0802">
      <w:pPr>
        <w:pStyle w:val="NormalWeb"/>
        <w:numPr>
          <w:ilvl w:val="0"/>
          <w:numId w:val="16"/>
        </w:numPr>
        <w:spacing w:before="0" w:beforeAutospacing="0" w:after="160" w:afterAutospacing="0" w:line="360" w:lineRule="auto"/>
        <w:jc w:val="both"/>
      </w:pPr>
      <w:proofErr w:type="spellStart"/>
      <w:r w:rsidRPr="00952CD4">
        <w:t>Moleti</w:t>
      </w:r>
      <w:proofErr w:type="spellEnd"/>
      <w:r w:rsidRPr="00952CD4">
        <w:t xml:space="preserve"> et al. (2019) highlight in their research that “Hyperthyroidism in the Pregnant Woman: Maternal and </w:t>
      </w:r>
      <w:proofErr w:type="spellStart"/>
      <w:r w:rsidRPr="00952CD4">
        <w:t>Fetal</w:t>
      </w:r>
      <w:proofErr w:type="spellEnd"/>
      <w:r w:rsidRPr="00952CD4">
        <w:t xml:space="preserve"> Aspects” discusses the diagnosis and management of hyperthyroidism during pregnancy, a relatively rare but dangerous condition. The review examines the maternal and </w:t>
      </w:r>
      <w:proofErr w:type="spellStart"/>
      <w:r w:rsidRPr="00952CD4">
        <w:t>fetal</w:t>
      </w:r>
      <w:proofErr w:type="spellEnd"/>
      <w:r w:rsidRPr="00952CD4">
        <w:t xml:space="preserve"> adverse outcomes in thyrotoxicosis when not properly managed, as well as the effects of </w:t>
      </w:r>
      <w:proofErr w:type="spellStart"/>
      <w:r w:rsidRPr="00952CD4">
        <w:t>TRSAb</w:t>
      </w:r>
      <w:proofErr w:type="spellEnd"/>
      <w:r w:rsidRPr="00952CD4">
        <w:t xml:space="preserve"> or ATT on </w:t>
      </w:r>
      <w:proofErr w:type="spellStart"/>
      <w:r w:rsidRPr="00952CD4">
        <w:t>fetal</w:t>
      </w:r>
      <w:proofErr w:type="spellEnd"/>
      <w:r w:rsidRPr="00952CD4">
        <w:t xml:space="preserve"> thyroid function. The study emphasizes the importance of closely monitoring patients with conditions like </w:t>
      </w:r>
      <w:proofErr w:type="spellStart"/>
      <w:r w:rsidRPr="00952CD4">
        <w:t>fetal</w:t>
      </w:r>
      <w:proofErr w:type="spellEnd"/>
      <w:r w:rsidRPr="00952CD4">
        <w:t xml:space="preserve"> or neonatal hyperthyroidism and planning their care in collaboration with endocrinologists, obstetricians, and neonatologists.</w:t>
      </w:r>
    </w:p>
    <w:p w14:paraId="5D2F64DE" w14:textId="77777777" w:rsidR="00952CD4" w:rsidRPr="00952CD4" w:rsidRDefault="00952CD4" w:rsidP="00EF0802">
      <w:pPr>
        <w:pStyle w:val="NormalWeb"/>
        <w:numPr>
          <w:ilvl w:val="0"/>
          <w:numId w:val="16"/>
        </w:numPr>
        <w:spacing w:before="0" w:beforeAutospacing="0" w:after="160" w:afterAutospacing="0" w:line="360" w:lineRule="auto"/>
        <w:jc w:val="both"/>
      </w:pPr>
      <w:r w:rsidRPr="00952CD4">
        <w:t xml:space="preserve">The findings presented by Feldt-Rasmussen et al. (2024) reveal that “Consequences of Undertreatment of Hypothyroidism” highlights the major effects of inadequate levothyroxine (LT4) replacement in hypothyroidism. As a </w:t>
      </w:r>
      <w:r w:rsidRPr="00952CD4">
        <w:lastRenderedPageBreak/>
        <w:t>highly prevalent noncommunicable disease, untreated hypothyroidism can lead to significant sequelae, including growth and developmental delay in children, cerebral and physical dysfunction in adults, and subfertility in women. The review also emphasizes that untreated hypothyroidism is associated with cardiovascular disorders, obesity, poor quality of life, and physiological alterations in TSH levels with age. The authors advocate for greater attention from healthcare practitioners and policymakers to reduce the personal and socioeconomic impact of undertreatment.</w:t>
      </w:r>
    </w:p>
    <w:p w14:paraId="7E3D7FE5" w14:textId="77777777" w:rsidR="00952CD4" w:rsidRPr="00952CD4" w:rsidRDefault="00952CD4" w:rsidP="00EF0802">
      <w:pPr>
        <w:spacing w:line="360" w:lineRule="auto"/>
        <w:jc w:val="both"/>
        <w:rPr>
          <w:rFonts w:ascii="Times New Roman" w:hAnsi="Times New Roman" w:cs="Times New Roman"/>
          <w:b/>
          <w:bCs/>
        </w:rPr>
      </w:pPr>
    </w:p>
    <w:p w14:paraId="18607FEF" w14:textId="35EEE8ED" w:rsidR="00952CD4" w:rsidRDefault="00952CD4" w:rsidP="00EF0802">
      <w:pPr>
        <w:spacing w:line="360" w:lineRule="auto"/>
        <w:jc w:val="both"/>
        <w:rPr>
          <w:rFonts w:ascii="Times New Roman" w:hAnsi="Times New Roman" w:cs="Times New Roman"/>
          <w:b/>
          <w:bCs/>
        </w:rPr>
      </w:pPr>
      <w:r w:rsidRPr="00952CD4">
        <w:rPr>
          <w:rFonts w:ascii="Times New Roman" w:hAnsi="Times New Roman" w:cs="Times New Roman"/>
          <w:b/>
          <w:bCs/>
        </w:rPr>
        <w:t>2.8 The Role of Lifestyle Modifications in Managing and Preventing these Conditions in Pregnancy</w:t>
      </w:r>
    </w:p>
    <w:p w14:paraId="7CDBC118" w14:textId="43DCFD3D" w:rsidR="00F41D70" w:rsidRPr="00F41D70" w:rsidRDefault="00F41D70" w:rsidP="00EF0802">
      <w:pPr>
        <w:spacing w:line="360" w:lineRule="auto"/>
        <w:jc w:val="both"/>
        <w:rPr>
          <w:rFonts w:ascii="Times New Roman" w:hAnsi="Times New Roman" w:cs="Times New Roman"/>
        </w:rPr>
      </w:pPr>
      <w:r w:rsidRPr="00F41D70">
        <w:rPr>
          <w:rFonts w:ascii="Times New Roman" w:hAnsi="Times New Roman" w:cs="Times New Roman"/>
        </w:rPr>
        <w:t>The Role of lifestyle modifications in managing and preventing these conditions in     pregnancy is presented as follows;</w:t>
      </w:r>
    </w:p>
    <w:p w14:paraId="4918C486" w14:textId="77777777" w:rsidR="00952CD4" w:rsidRPr="00952CD4" w:rsidRDefault="00952CD4" w:rsidP="00EF0802">
      <w:pPr>
        <w:pStyle w:val="NormalWeb"/>
        <w:numPr>
          <w:ilvl w:val="0"/>
          <w:numId w:val="15"/>
        </w:numPr>
        <w:spacing w:before="0" w:beforeAutospacing="0" w:after="160" w:afterAutospacing="0" w:line="360" w:lineRule="auto"/>
        <w:jc w:val="both"/>
      </w:pPr>
      <w:r w:rsidRPr="00952CD4">
        <w:t xml:space="preserve">Research led by </w:t>
      </w:r>
      <w:proofErr w:type="spellStart"/>
      <w:r w:rsidRPr="00952CD4">
        <w:t>McNestry</w:t>
      </w:r>
      <w:proofErr w:type="spellEnd"/>
      <w:r w:rsidRPr="00952CD4">
        <w:t xml:space="preserve"> et al. (2023) investigates “Pregnancy Complications and Later Life Women's Health,” focusing on the relationship between pregnancy complications and chronic diseases in later-life women’s health. The study emphasizes pregnancy as a physiological stress test that helps identify preconditions for cardiovascular diseases, diabetes, VTE, CKD, and mental health disorders. By examining gestational hypertension, preeclampsia, gestational diabetes, stillbirth, and recurrent miscarriage, the authors identify these conditions as risk factors for chronic illnesses. They highlight the importance of postnatal </w:t>
      </w:r>
      <w:proofErr w:type="spellStart"/>
      <w:r w:rsidRPr="00952CD4">
        <w:t>counseling</w:t>
      </w:r>
      <w:proofErr w:type="spellEnd"/>
      <w:r w:rsidRPr="00952CD4">
        <w:t>, risk reduction strategies, and appropriate scientific investigations to determine ideal screening periods for women who have experienced complicated pregnancies.</w:t>
      </w:r>
    </w:p>
    <w:p w14:paraId="56381435" w14:textId="77777777" w:rsidR="00952CD4" w:rsidRPr="00952CD4" w:rsidRDefault="00952CD4" w:rsidP="00EF0802">
      <w:pPr>
        <w:pStyle w:val="NormalWeb"/>
        <w:numPr>
          <w:ilvl w:val="0"/>
          <w:numId w:val="15"/>
        </w:numPr>
        <w:spacing w:before="0" w:beforeAutospacing="0" w:after="160" w:afterAutospacing="0" w:line="360" w:lineRule="auto"/>
        <w:jc w:val="both"/>
      </w:pPr>
      <w:r w:rsidRPr="00952CD4">
        <w:t xml:space="preserve">Mate et al. (2021) presents an in-depth review of “Lifestyle, Maternal Nutrition, and Healthy Pregnancy,” examining healthy lifestyle </w:t>
      </w:r>
      <w:proofErr w:type="spellStart"/>
      <w:r w:rsidRPr="00952CD4">
        <w:t>behaviors</w:t>
      </w:r>
      <w:proofErr w:type="spellEnd"/>
      <w:r w:rsidRPr="00952CD4">
        <w:t xml:space="preserve"> during the preconception period, pregnancy, and the postpartum period for successful pregnancies and the prevention of gestational diseases. The study emphasizes the importance of nutrition, including adequate vitamins, </w:t>
      </w:r>
      <w:proofErr w:type="spellStart"/>
      <w:r w:rsidRPr="00952CD4">
        <w:t>fiber</w:t>
      </w:r>
      <w:proofErr w:type="spellEnd"/>
      <w:r w:rsidRPr="00952CD4">
        <w:t xml:space="preserve">, polyunsaturated fats, and other nutrients, especially for overweight, obese, or diabetic women. It advocates for at least 30 minutes of moderate exercise, highlighting its positive effects in reducing risks of preeclampsia, gestational diabetes, and postpartum </w:t>
      </w:r>
      <w:r w:rsidRPr="00952CD4">
        <w:lastRenderedPageBreak/>
        <w:t xml:space="preserve">weight retention. The article also discusses the role of microbiome modulation, stress, and maternal genes, indicating how they influence the health of both the woman and her </w:t>
      </w:r>
      <w:proofErr w:type="spellStart"/>
      <w:r w:rsidRPr="00952CD4">
        <w:t>fetus</w:t>
      </w:r>
      <w:proofErr w:type="spellEnd"/>
      <w:r w:rsidRPr="00952CD4">
        <w:t>, as well as the quality of their lives.</w:t>
      </w:r>
    </w:p>
    <w:p w14:paraId="406C12B1" w14:textId="77777777" w:rsidR="00952CD4" w:rsidRPr="00952CD4" w:rsidRDefault="00952CD4" w:rsidP="00EF0802">
      <w:pPr>
        <w:pStyle w:val="NormalWeb"/>
        <w:numPr>
          <w:ilvl w:val="0"/>
          <w:numId w:val="15"/>
        </w:numPr>
        <w:spacing w:before="0" w:beforeAutospacing="0" w:after="160" w:afterAutospacing="0" w:line="360" w:lineRule="auto"/>
        <w:jc w:val="both"/>
      </w:pPr>
      <w:r w:rsidRPr="00952CD4">
        <w:t xml:space="preserve">A detailed study by Gulati (2024) discusses “Lifestyle Medicine’s Role in Common Hormonal Disorders: A Case-Based Discussion,” examining the effect of therapeutic lifestyle changes on hormonal disorders like PCOS, autoimmune thyroid disease, and male hypogonadism. These conditions, prevalent among young and middle-aged individuals, are often linked to unhealthy lifestyles. Using three original case reports, the article highlights </w:t>
      </w:r>
      <w:proofErr w:type="spellStart"/>
      <w:r w:rsidRPr="00952CD4">
        <w:t>favorable</w:t>
      </w:r>
      <w:proofErr w:type="spellEnd"/>
      <w:r w:rsidRPr="00952CD4">
        <w:t xml:space="preserve"> changes in patients' symptomatology and biochemical parameters after lifestyle modifications. The study underscores the importance of </w:t>
      </w:r>
      <w:proofErr w:type="spellStart"/>
      <w:r w:rsidRPr="00952CD4">
        <w:t>counseling</w:t>
      </w:r>
      <w:proofErr w:type="spellEnd"/>
      <w:r w:rsidRPr="00952CD4">
        <w:t xml:space="preserve"> patients on diet, exercise, and other lifestyle changes as a core aspect of managing these endocrinologic conditions to improve health outcomes and disease state management.</w:t>
      </w:r>
    </w:p>
    <w:p w14:paraId="0D15D730" w14:textId="77777777" w:rsidR="00952CD4" w:rsidRPr="00952CD4" w:rsidRDefault="00952CD4" w:rsidP="00EF0802">
      <w:pPr>
        <w:pStyle w:val="NormalWeb"/>
        <w:numPr>
          <w:ilvl w:val="0"/>
          <w:numId w:val="15"/>
        </w:numPr>
        <w:spacing w:before="0" w:beforeAutospacing="0" w:after="160" w:afterAutospacing="0" w:line="360" w:lineRule="auto"/>
        <w:jc w:val="both"/>
      </w:pPr>
      <w:proofErr w:type="spellStart"/>
      <w:r w:rsidRPr="00952CD4">
        <w:t>Dewidar</w:t>
      </w:r>
      <w:proofErr w:type="spellEnd"/>
      <w:r w:rsidRPr="00952CD4">
        <w:t xml:space="preserve"> et al. (2023) offer valuable insights into “Effectiveness of Nutrition </w:t>
      </w:r>
      <w:proofErr w:type="spellStart"/>
      <w:r w:rsidRPr="00952CD4">
        <w:t>Counseling</w:t>
      </w:r>
      <w:proofErr w:type="spellEnd"/>
      <w:r w:rsidRPr="00952CD4">
        <w:t xml:space="preserve"> for Pregnant Women in Low‐and Middle‐Income Countries to Improve Maternal and Infant </w:t>
      </w:r>
      <w:proofErr w:type="spellStart"/>
      <w:r w:rsidRPr="00952CD4">
        <w:t>Behavioral</w:t>
      </w:r>
      <w:proofErr w:type="spellEnd"/>
      <w:r w:rsidRPr="00952CD4">
        <w:t xml:space="preserve">, Nutritional, and Health Outcomes: A Systematic Review,” examining the effects of two-way interactive nutrition </w:t>
      </w:r>
      <w:proofErr w:type="spellStart"/>
      <w:r w:rsidRPr="00952CD4">
        <w:t>counseling</w:t>
      </w:r>
      <w:proofErr w:type="spellEnd"/>
      <w:r w:rsidRPr="00952CD4">
        <w:t xml:space="preserve"> for maternal and infant health in LMICs. The review demonstrates that such nutritional </w:t>
      </w:r>
      <w:proofErr w:type="spellStart"/>
      <w:r w:rsidRPr="00952CD4">
        <w:t>counseling</w:t>
      </w:r>
      <w:proofErr w:type="spellEnd"/>
      <w:r w:rsidRPr="00952CD4">
        <w:t xml:space="preserve"> improved dietary intake, gestational weight, and breastfeeding initiation rates. However, its relationship with stillbirth, </w:t>
      </w:r>
      <w:proofErr w:type="spellStart"/>
      <w:r w:rsidRPr="00952CD4">
        <w:t>anemia</w:t>
      </w:r>
      <w:proofErr w:type="spellEnd"/>
      <w:r w:rsidRPr="00952CD4">
        <w:t xml:space="preserve"> of pregnancy, and CS delivery remains unclear. The study emphasizes the need for larger randomized trials to better understand the impact on health inequality and related outcomes.</w:t>
      </w:r>
    </w:p>
    <w:p w14:paraId="19ECF979" w14:textId="77777777" w:rsidR="00952CD4" w:rsidRPr="00952CD4" w:rsidRDefault="00952CD4" w:rsidP="00EF0802">
      <w:pPr>
        <w:pStyle w:val="NormalWeb"/>
        <w:numPr>
          <w:ilvl w:val="0"/>
          <w:numId w:val="15"/>
        </w:numPr>
        <w:spacing w:before="0" w:beforeAutospacing="0" w:after="160" w:afterAutospacing="0" w:line="360" w:lineRule="auto"/>
        <w:jc w:val="both"/>
      </w:pPr>
      <w:r w:rsidRPr="00952CD4">
        <w:t xml:space="preserve">Velasco and Taylor (2018) shed light on “Identifying and Treating Subclinical Thyroid Dysfunction in Pregnancy: Emerging Controversies,” discussing the controversy surrounding the treatment of subclinical thyroid dysfunction in pregnancy. While hypothyroidism with symptoms is effectively managed, the approach to subclinical hypothyroidism and other thyroid disorders remains a topic of debate. The review addresses the risks and benefits of treating subclinical thyroid dysfunction, as well as concerns about overdiagnosis and over-treatment. It emphasizes the need for consensus between endocrinologists and obstetricians </w:t>
      </w:r>
      <w:r w:rsidRPr="00952CD4">
        <w:lastRenderedPageBreak/>
        <w:t>on screening and management strategies, particularly with the current trend toward the use of levothyroxine in practice.</w:t>
      </w:r>
    </w:p>
    <w:p w14:paraId="332B50CE" w14:textId="77777777" w:rsidR="00952CD4" w:rsidRPr="00F41D70" w:rsidRDefault="00952CD4" w:rsidP="00EF0802">
      <w:pPr>
        <w:pStyle w:val="NormalWeb"/>
        <w:numPr>
          <w:ilvl w:val="0"/>
          <w:numId w:val="15"/>
        </w:numPr>
        <w:spacing w:before="0" w:beforeAutospacing="0" w:after="160" w:afterAutospacing="0" w:line="360" w:lineRule="auto"/>
        <w:jc w:val="both"/>
      </w:pPr>
      <w:proofErr w:type="spellStart"/>
      <w:r w:rsidRPr="00952CD4">
        <w:t>Nigatie</w:t>
      </w:r>
      <w:proofErr w:type="spellEnd"/>
      <w:r w:rsidRPr="00952CD4">
        <w:t xml:space="preserve"> et al. (2024) systematically review “Prevalence of Thyroid Dysfunction Among Pregnant Women in the Horn of Africa: A Systematic Review and Meta-analysis,” focusing on thyroid dysfunction in the Horn of Africa. In a cross-sectional study of 2538 pregnant women, the overall rate of </w:t>
      </w:r>
      <w:r w:rsidRPr="00F41D70">
        <w:t>thyroid dysfunction was found to be 12%, with isolated hypothyroidism detected in 10% of the subjects. The study highlights high variability and emphasizes the need for affordable thyroid screening during pregnancy. This research calls for further investigation into the impact of thyroid treatment on women’s fertility.</w:t>
      </w:r>
    </w:p>
    <w:p w14:paraId="1FC7AB01" w14:textId="77777777" w:rsidR="00952CD4" w:rsidRPr="00F41D70" w:rsidRDefault="00952CD4" w:rsidP="00EF0802">
      <w:pPr>
        <w:pStyle w:val="ListParagraph"/>
        <w:numPr>
          <w:ilvl w:val="0"/>
          <w:numId w:val="15"/>
        </w:numPr>
        <w:spacing w:line="360" w:lineRule="auto"/>
        <w:jc w:val="both"/>
        <w:rPr>
          <w:rStyle w:val="Strong"/>
          <w:rFonts w:ascii="Times New Roman" w:hAnsi="Times New Roman" w:cs="Times New Roman"/>
          <w:b w:val="0"/>
          <w:bCs w:val="0"/>
          <w:color w:val="000000" w:themeColor="text1"/>
          <w:shd w:val="clear" w:color="auto" w:fill="FFFFFF"/>
        </w:rPr>
      </w:pPr>
      <w:r w:rsidRPr="00F41D70">
        <w:rPr>
          <w:rStyle w:val="Strong"/>
          <w:rFonts w:ascii="Times New Roman" w:hAnsi="Times New Roman" w:cs="Times New Roman"/>
          <w:b w:val="0"/>
          <w:bCs w:val="0"/>
          <w:color w:val="000000" w:themeColor="text1"/>
          <w:shd w:val="clear" w:color="auto" w:fill="FFFFFF"/>
        </w:rPr>
        <w:t xml:space="preserve">Through their investigation, Babiker et al. (2020) emphasize “The Role of Micronutrients in Thyroid Dysfunction,” exploring the relationship between nutrition and thyroid dysfunction in children. They have scared people more into believing it is caused by iodine deficiency all over the world. The article also mentions other micronutrients and non-carbohydrate nutrients which causes thyroid disorders including cruciferous vegetables, pearl millet, soy products, cassava and many more. Another way that goitre is described to come about in areas with high prevalence is through contamination of water with goitrogens also forms a key environmental factor. The article cuts across the need for dietary advice and exclusion of high </w:t>
      </w:r>
      <w:proofErr w:type="spellStart"/>
      <w:r w:rsidRPr="00F41D70">
        <w:rPr>
          <w:rStyle w:val="Strong"/>
          <w:rFonts w:ascii="Times New Roman" w:hAnsi="Times New Roman" w:cs="Times New Roman"/>
          <w:b w:val="0"/>
          <w:bCs w:val="0"/>
          <w:color w:val="000000" w:themeColor="text1"/>
          <w:shd w:val="clear" w:color="auto" w:fill="FFFFFF"/>
        </w:rPr>
        <w:t>goitrogenous</w:t>
      </w:r>
      <w:proofErr w:type="spellEnd"/>
      <w:r w:rsidRPr="00F41D70">
        <w:rPr>
          <w:rStyle w:val="Strong"/>
          <w:rFonts w:ascii="Times New Roman" w:hAnsi="Times New Roman" w:cs="Times New Roman"/>
          <w:b w:val="0"/>
          <w:bCs w:val="0"/>
          <w:color w:val="000000" w:themeColor="text1"/>
          <w:shd w:val="clear" w:color="auto" w:fill="FFFFFF"/>
        </w:rPr>
        <w:t xml:space="preserve"> foods.</w:t>
      </w:r>
    </w:p>
    <w:p w14:paraId="49F819BB" w14:textId="77777777" w:rsidR="00952CD4" w:rsidRPr="00F41D70" w:rsidRDefault="00952CD4" w:rsidP="00EF0802">
      <w:pPr>
        <w:pStyle w:val="ListParagraph"/>
        <w:numPr>
          <w:ilvl w:val="0"/>
          <w:numId w:val="15"/>
        </w:numPr>
        <w:spacing w:line="360" w:lineRule="auto"/>
        <w:jc w:val="both"/>
        <w:rPr>
          <w:rStyle w:val="Strong"/>
          <w:rFonts w:ascii="Times New Roman" w:hAnsi="Times New Roman" w:cs="Times New Roman"/>
          <w:b w:val="0"/>
          <w:bCs w:val="0"/>
          <w:color w:val="000000" w:themeColor="text1"/>
          <w:shd w:val="clear" w:color="auto" w:fill="FFFFFF"/>
        </w:rPr>
      </w:pPr>
      <w:r w:rsidRPr="00F41D70">
        <w:rPr>
          <w:rStyle w:val="Strong"/>
          <w:rFonts w:ascii="Times New Roman" w:hAnsi="Times New Roman" w:cs="Times New Roman"/>
          <w:b w:val="0"/>
          <w:bCs w:val="0"/>
          <w:color w:val="000000" w:themeColor="text1"/>
          <w:shd w:val="clear" w:color="auto" w:fill="FFFFFF"/>
        </w:rPr>
        <w:t xml:space="preserve">An evaluation by </w:t>
      </w:r>
      <w:proofErr w:type="spellStart"/>
      <w:r w:rsidRPr="00F41D70">
        <w:rPr>
          <w:rStyle w:val="Strong"/>
          <w:rFonts w:ascii="Times New Roman" w:hAnsi="Times New Roman" w:cs="Times New Roman"/>
          <w:b w:val="0"/>
          <w:bCs w:val="0"/>
          <w:color w:val="000000" w:themeColor="text1"/>
          <w:shd w:val="clear" w:color="auto" w:fill="FFFFFF"/>
        </w:rPr>
        <w:t>Tuzil</w:t>
      </w:r>
      <w:proofErr w:type="spellEnd"/>
      <w:r w:rsidRPr="00F41D70">
        <w:rPr>
          <w:rStyle w:val="Strong"/>
          <w:rFonts w:ascii="Times New Roman" w:hAnsi="Times New Roman" w:cs="Times New Roman"/>
          <w:b w:val="0"/>
          <w:bCs w:val="0"/>
          <w:color w:val="000000" w:themeColor="text1"/>
          <w:shd w:val="clear" w:color="auto" w:fill="FFFFFF"/>
        </w:rPr>
        <w:t xml:space="preserve"> et al. (2021) discusses “Health-Related Quality of Life in Women with Autoimmune Thyroid Disease During Pregnancy and Postpartum: Systematic Review Including 321,850 Pregnancies” The systematic review </w:t>
      </w:r>
      <w:proofErr w:type="spellStart"/>
      <w:r w:rsidRPr="00F41D70">
        <w:rPr>
          <w:rStyle w:val="Strong"/>
          <w:rFonts w:ascii="Times New Roman" w:hAnsi="Times New Roman" w:cs="Times New Roman"/>
          <w:b w:val="0"/>
          <w:bCs w:val="0"/>
          <w:color w:val="000000" w:themeColor="text1"/>
          <w:shd w:val="clear" w:color="auto" w:fill="FFFFFF"/>
        </w:rPr>
        <w:t>analyzed</w:t>
      </w:r>
      <w:proofErr w:type="spellEnd"/>
      <w:r w:rsidRPr="00F41D70">
        <w:rPr>
          <w:rStyle w:val="Strong"/>
          <w:rFonts w:ascii="Times New Roman" w:hAnsi="Times New Roman" w:cs="Times New Roman"/>
          <w:b w:val="0"/>
          <w:bCs w:val="0"/>
          <w:color w:val="000000" w:themeColor="text1"/>
          <w:shd w:val="clear" w:color="auto" w:fill="FFFFFF"/>
        </w:rPr>
        <w:t xml:space="preserve"> 21 studies with a total of 321,850 pregnancies, focusing on patient-reported outcomes and standardized assessments of depression and anxiety. The findings reveal ambiguous data on the impact of thyroid disease on quality of life during pregnancy and its relationship with postpartum mood disorders such as depression and alexithymia. The lack of generic quality of life data limits the development of economic models for thyroid screening in pregnant women.</w:t>
      </w:r>
    </w:p>
    <w:p w14:paraId="4E000901" w14:textId="77777777" w:rsidR="00952CD4" w:rsidRPr="00F41D70" w:rsidRDefault="00952CD4" w:rsidP="00EF0802">
      <w:pPr>
        <w:pStyle w:val="NormalWeb"/>
        <w:numPr>
          <w:ilvl w:val="0"/>
          <w:numId w:val="15"/>
        </w:numPr>
        <w:spacing w:before="0" w:beforeAutospacing="0" w:after="160" w:afterAutospacing="0" w:line="360" w:lineRule="auto"/>
        <w:jc w:val="both"/>
      </w:pPr>
      <w:r w:rsidRPr="00F41D70">
        <w:t xml:space="preserve">Insights provided by </w:t>
      </w:r>
      <w:proofErr w:type="spellStart"/>
      <w:r w:rsidRPr="00F41D70">
        <w:t>Korevaar</w:t>
      </w:r>
      <w:proofErr w:type="spellEnd"/>
      <w:r w:rsidRPr="00F41D70">
        <w:t xml:space="preserve"> et al. (2017) indicate “Thyroid Disease in Pregnancy: New Insights in Diagnosis and Clinical Management.” The article discusses the role of thyroid hormones in pregnant women and the health of their </w:t>
      </w:r>
      <w:r w:rsidRPr="00F41D70">
        <w:lastRenderedPageBreak/>
        <w:t>unborn babies, highlighting the evolving understanding of thyroid disease. It emphasizes that TSH should no longer be regarded as having strict borderline values. The review also explores the role of thyroid peroxidase autoantibodies and human chorionic gonadotropin in thyroid disorders and addresses concerns regarding the overprescription of levothyroxine. By examining studies from the last decade, the article offers new perspectives on TSH reference ranges, the factors influencing thyroid abnormalities, and strategies for identifying pregnant women who would benefit from targeted interventions.</w:t>
      </w:r>
    </w:p>
    <w:p w14:paraId="72663EAE" w14:textId="77777777" w:rsidR="00952CD4" w:rsidRPr="00F41D70" w:rsidRDefault="00952CD4" w:rsidP="00EF0802">
      <w:pPr>
        <w:pStyle w:val="NormalWeb"/>
        <w:numPr>
          <w:ilvl w:val="0"/>
          <w:numId w:val="15"/>
        </w:numPr>
        <w:spacing w:before="0" w:beforeAutospacing="0" w:after="160" w:afterAutospacing="0" w:line="360" w:lineRule="auto"/>
        <w:jc w:val="both"/>
      </w:pPr>
      <w:r w:rsidRPr="00F41D70">
        <w:t xml:space="preserve">The study by Geng et al. (2022) critically </w:t>
      </w:r>
      <w:proofErr w:type="spellStart"/>
      <w:r w:rsidRPr="00F41D70">
        <w:t>analyzes</w:t>
      </w:r>
      <w:proofErr w:type="spellEnd"/>
      <w:r w:rsidRPr="00F41D70">
        <w:t xml:space="preserve"> “Systematic Review and Meta-Analysis on the Influence of Thyroid Dysfunction in Early Pregnancy on Pregnancy Outcomes Under Ultrasound Guidance.” The article explores the impact of thyroid disorders on pregnancy outcomes and newborn health. A meta-analysis of 13 clinical trials involving 788,867 pregnant women revealed that thyroid dysfunction is linked to </w:t>
      </w:r>
      <w:proofErr w:type="spellStart"/>
      <w:r w:rsidRPr="00F41D70">
        <w:t>anemia</w:t>
      </w:r>
      <w:proofErr w:type="spellEnd"/>
      <w:r w:rsidRPr="00F41D70">
        <w:t xml:space="preserve">, preterm birth, </w:t>
      </w:r>
      <w:proofErr w:type="spellStart"/>
      <w:r w:rsidRPr="00F41D70">
        <w:t>fetal</w:t>
      </w:r>
      <w:proofErr w:type="spellEnd"/>
      <w:r w:rsidRPr="00F41D70">
        <w:t xml:space="preserve"> distress, low Apgar scores, pre-eclampsia, placental abruption, and postpartum </w:t>
      </w:r>
      <w:proofErr w:type="spellStart"/>
      <w:r w:rsidRPr="00F41D70">
        <w:t>hemorrhage</w:t>
      </w:r>
      <w:proofErr w:type="spellEnd"/>
      <w:r w:rsidRPr="00F41D70">
        <w:t>. Based on data from large databases, the study discusses the relationship between thyroid dysfunction and adverse pregnancy outcomes, emphasizing the importance of early screening and treatment of thyroid disorders during pregnancy.</w:t>
      </w:r>
    </w:p>
    <w:p w14:paraId="577F98D0" w14:textId="77777777" w:rsidR="00952CD4" w:rsidRPr="00952CD4" w:rsidRDefault="00952CD4" w:rsidP="00EF0802">
      <w:pPr>
        <w:pStyle w:val="NormalWeb"/>
        <w:numPr>
          <w:ilvl w:val="0"/>
          <w:numId w:val="15"/>
        </w:numPr>
        <w:spacing w:before="0" w:beforeAutospacing="0" w:after="160" w:afterAutospacing="0" w:line="360" w:lineRule="auto"/>
        <w:jc w:val="both"/>
      </w:pPr>
      <w:r w:rsidRPr="00F41D70">
        <w:t xml:space="preserve">Exploring current trends, None and </w:t>
      </w:r>
      <w:proofErr w:type="spellStart"/>
      <w:r w:rsidRPr="00F41D70">
        <w:t>Musharyanti</w:t>
      </w:r>
      <w:proofErr w:type="spellEnd"/>
      <w:r w:rsidRPr="00F41D70">
        <w:t xml:space="preserve"> (2021) evaluate “Health Promotion in Efforts to Increase Medication Compliance in Hypertensive Patients: A Literature Review.” The article delves into the understanding of medication adherence by hypertensive patients. This literature review identified eight eligible papers published in PubMed, Science Direct, and the </w:t>
      </w:r>
      <w:proofErr w:type="spellStart"/>
      <w:r w:rsidRPr="00F41D70">
        <w:t>Cochrene</w:t>
      </w:r>
      <w:proofErr w:type="spellEnd"/>
      <w:r w:rsidRPr="00F41D70">
        <w:t xml:space="preserve"> library that employed methods such as fa</w:t>
      </w:r>
      <w:r w:rsidRPr="00952CD4">
        <w:t>mily support, Pender’s health promotion model, and m-health-based interventions. Common to these studies is the importance of health promotion strategies in self-compliance, a critical aspect of hypertension management to prevent complications. The study emphasizes the need for targeted health promotion to improve patient outcomes.</w:t>
      </w:r>
    </w:p>
    <w:p w14:paraId="55164A4A" w14:textId="77777777" w:rsidR="00952CD4" w:rsidRPr="00952CD4" w:rsidRDefault="00952CD4" w:rsidP="00EF0802">
      <w:pPr>
        <w:pStyle w:val="NormalWeb"/>
        <w:numPr>
          <w:ilvl w:val="0"/>
          <w:numId w:val="15"/>
        </w:numPr>
        <w:spacing w:before="0" w:beforeAutospacing="0" w:after="160" w:afterAutospacing="0" w:line="360" w:lineRule="auto"/>
        <w:jc w:val="both"/>
      </w:pPr>
      <w:r w:rsidRPr="00952CD4">
        <w:t xml:space="preserve">In their comprehensive analysis, Liu and Liu (2024) uncover “Hypertensive Disorders of Pregnancy: Causes, Diagnosis, Complications, and Management Strategies.” The article focuses on pregnancy-induced hypertension, which begins after the twentieth week of pregnancy and may lead to pre-eclampsia and </w:t>
      </w:r>
      <w:r w:rsidRPr="00952CD4">
        <w:lastRenderedPageBreak/>
        <w:t xml:space="preserve">eclampsia. The review provides an overview of the factors contributing to the condition, as well as the diagnostic and treatment approaches, along with potential complications. Emphasizing early detection, it highlights the crucial role healthcare workers play in preventing </w:t>
      </w:r>
      <w:proofErr w:type="spellStart"/>
      <w:r w:rsidRPr="00952CD4">
        <w:t>unfavorable</w:t>
      </w:r>
      <w:proofErr w:type="spellEnd"/>
      <w:r w:rsidRPr="00952CD4">
        <w:t xml:space="preserve"> outcomes. Additionally, the article promotes awareness, education, and health precautionary measures to protect both the mother and </w:t>
      </w:r>
      <w:proofErr w:type="spellStart"/>
      <w:r w:rsidRPr="00952CD4">
        <w:t>fetus</w:t>
      </w:r>
      <w:proofErr w:type="spellEnd"/>
      <w:r w:rsidRPr="00952CD4">
        <w:t xml:space="preserve"> from hypertensive disorders during pregnancy, addressing a significant health issue.</w:t>
      </w:r>
    </w:p>
    <w:p w14:paraId="532CD3D8" w14:textId="77777777" w:rsidR="00952CD4" w:rsidRPr="00952CD4" w:rsidRDefault="00952CD4" w:rsidP="00EF0802">
      <w:pPr>
        <w:pStyle w:val="NormalWeb"/>
        <w:numPr>
          <w:ilvl w:val="0"/>
          <w:numId w:val="15"/>
        </w:numPr>
        <w:spacing w:before="0" w:beforeAutospacing="0" w:after="160" w:afterAutospacing="0" w:line="360" w:lineRule="auto"/>
        <w:jc w:val="both"/>
      </w:pPr>
      <w:r w:rsidRPr="00952CD4">
        <w:t>A critical perspective is offered by Li et al. (2020) on “The Clinical Value and Variation of Antithyroid Antibodies During Pregnancy.” The article focuses on the relationship between thyroid-stimulating hormone receptor antibodies (</w:t>
      </w:r>
      <w:proofErr w:type="spellStart"/>
      <w:r w:rsidRPr="00952CD4">
        <w:t>TRAbs</w:t>
      </w:r>
      <w:proofErr w:type="spellEnd"/>
      <w:r w:rsidRPr="00952CD4">
        <w:t>), thyroid peroxidase antibodies (</w:t>
      </w:r>
      <w:proofErr w:type="spellStart"/>
      <w:r w:rsidRPr="00952CD4">
        <w:t>TPOAbs</w:t>
      </w:r>
      <w:proofErr w:type="spellEnd"/>
      <w:r w:rsidRPr="00952CD4">
        <w:t>), and thyroid globulin antibodies (</w:t>
      </w:r>
      <w:proofErr w:type="spellStart"/>
      <w:r w:rsidRPr="00952CD4">
        <w:t>TgAbs</w:t>
      </w:r>
      <w:proofErr w:type="spellEnd"/>
      <w:r w:rsidRPr="00952CD4">
        <w:t xml:space="preserve">) with thyroid autoimmune diseases and pregnancy outcomes. It examines the fluctuation of these antibodies and their negative consequences on maternal and </w:t>
      </w:r>
      <w:proofErr w:type="spellStart"/>
      <w:r w:rsidRPr="00952CD4">
        <w:t>fetal</w:t>
      </w:r>
      <w:proofErr w:type="spellEnd"/>
      <w:r w:rsidRPr="00952CD4">
        <w:t xml:space="preserve"> health. The review also discusses the molecular mechanisms behind complications related to antibodies, the frequency of </w:t>
      </w:r>
      <w:proofErr w:type="spellStart"/>
      <w:r w:rsidRPr="00952CD4">
        <w:t>titer</w:t>
      </w:r>
      <w:proofErr w:type="spellEnd"/>
      <w:r w:rsidRPr="00952CD4">
        <w:t xml:space="preserve"> checks during pregnancy, and the definition of normal antibody levels during pregnancy to optimize maternal and </w:t>
      </w:r>
      <w:proofErr w:type="spellStart"/>
      <w:r w:rsidRPr="00952CD4">
        <w:t>fetal</w:t>
      </w:r>
      <w:proofErr w:type="spellEnd"/>
      <w:r w:rsidRPr="00952CD4">
        <w:t xml:space="preserve"> outcomes.</w:t>
      </w:r>
    </w:p>
    <w:p w14:paraId="79C7F2F0" w14:textId="77777777" w:rsidR="00952CD4" w:rsidRPr="00952CD4" w:rsidRDefault="00952CD4" w:rsidP="00EF0802">
      <w:pPr>
        <w:pStyle w:val="NormalWeb"/>
        <w:numPr>
          <w:ilvl w:val="0"/>
          <w:numId w:val="15"/>
        </w:numPr>
        <w:spacing w:before="0" w:beforeAutospacing="0" w:after="160" w:afterAutospacing="0" w:line="360" w:lineRule="auto"/>
        <w:jc w:val="both"/>
      </w:pPr>
      <w:r w:rsidRPr="00952CD4">
        <w:t>The investigation carried out by Abid et al. (2016) highlights “Complications and Management of Hypothyroidism: A Review.” The article discusses the epidemiology and approaches towards the disease, particularly focused on the Indian population, which has a higher rate of hypothyroidism compared to countries like the United Kingdom or the United States. The review identifies thyroiditis as a leading cause of hypothyroidism, with other contributing factors including past treatments and diet. It elaborates on the challenges of managing hypothyroidism and emphasizes the importance of proper diagnosis and symptom control methodologies in dealing with thyroid disorders.</w:t>
      </w:r>
    </w:p>
    <w:p w14:paraId="06BFC97E" w14:textId="77777777" w:rsidR="00952CD4" w:rsidRPr="00F41D70" w:rsidRDefault="00952CD4" w:rsidP="00EF0802">
      <w:pPr>
        <w:pStyle w:val="NormalWeb"/>
        <w:numPr>
          <w:ilvl w:val="0"/>
          <w:numId w:val="15"/>
        </w:numPr>
        <w:spacing w:before="0" w:beforeAutospacing="0" w:after="160" w:afterAutospacing="0" w:line="360" w:lineRule="auto"/>
        <w:jc w:val="both"/>
      </w:pPr>
      <w:r w:rsidRPr="00952CD4">
        <w:t xml:space="preserve">Through a systematic review, Shinohara et al. (2018) discuss “Pregnancy Complications Associated with Maternal Hypothyroidism.” The review analyses the link between hypothyroidism in pregnant women and various pregnancy complications, highlighting that untreated or inadequately treated hypothyroidism increases the risks of abortion, preterm birth, intrauterine </w:t>
      </w:r>
      <w:proofErr w:type="spellStart"/>
      <w:r w:rsidRPr="00952CD4">
        <w:t>fetal</w:t>
      </w:r>
      <w:proofErr w:type="spellEnd"/>
      <w:r w:rsidRPr="00952CD4">
        <w:t xml:space="preserve"> death, and preeclampsia. The study also suggests that these risks can be reduced by proper </w:t>
      </w:r>
      <w:r w:rsidRPr="00952CD4">
        <w:lastRenderedPageBreak/>
        <w:t xml:space="preserve">treatment, primarily through levothyroxine, although the optimal dosage remains a topic of controversy. The authors conclude that the levothyroxine dose should be individualized </w:t>
      </w:r>
      <w:r w:rsidRPr="00F41D70">
        <w:t>based on the gestational phase and laboratory data to achieve a euthyroid state and improve pregnancy outcomes.</w:t>
      </w:r>
    </w:p>
    <w:p w14:paraId="06A19442" w14:textId="77777777" w:rsidR="00952CD4" w:rsidRPr="00F41D70" w:rsidRDefault="00952CD4" w:rsidP="00EF0802">
      <w:pPr>
        <w:pStyle w:val="ListParagraph"/>
        <w:numPr>
          <w:ilvl w:val="0"/>
          <w:numId w:val="15"/>
        </w:numPr>
        <w:spacing w:line="360" w:lineRule="auto"/>
        <w:jc w:val="both"/>
        <w:rPr>
          <w:rStyle w:val="Strong"/>
          <w:rFonts w:ascii="Times New Roman" w:hAnsi="Times New Roman" w:cs="Times New Roman"/>
          <w:b w:val="0"/>
          <w:bCs w:val="0"/>
          <w:color w:val="000000" w:themeColor="text1"/>
          <w:shd w:val="clear" w:color="auto" w:fill="FFFFFF"/>
        </w:rPr>
      </w:pPr>
      <w:r w:rsidRPr="00F41D70">
        <w:rPr>
          <w:rStyle w:val="Strong"/>
          <w:rFonts w:ascii="Times New Roman" w:hAnsi="Times New Roman" w:cs="Times New Roman"/>
          <w:b w:val="0"/>
          <w:bCs w:val="0"/>
          <w:color w:val="000000" w:themeColor="text1"/>
          <w:shd w:val="clear" w:color="auto" w:fill="FFFFFF"/>
        </w:rPr>
        <w:t>Focusing on “Thyroid Diseases in Pregnancy: A Current and Controversial Topic on Diagnosis and Treatment Over the Past 20 Years” Giacobbe et al. (2015) bring attention to the management of thyroid diseases in pregnancy, MVTD and its effects on both the mother and the unborn child. The article analyses no routine thyroid disease testing for the population while there are recommendations for those who are at risk for developing this ailment. They underscore the need for iodine prophylaxis and the usage of clinical diagnosis algorithms as a map to follow. The review affirms that proper management of thyroid disorders is important in pregnancy if the best result is to be achieved.</w:t>
      </w:r>
    </w:p>
    <w:p w14:paraId="7FC16544" w14:textId="77777777" w:rsidR="00952CD4" w:rsidRPr="00952CD4" w:rsidRDefault="00952CD4" w:rsidP="00EF0802">
      <w:pPr>
        <w:pStyle w:val="NormalWeb"/>
        <w:numPr>
          <w:ilvl w:val="0"/>
          <w:numId w:val="15"/>
        </w:numPr>
        <w:spacing w:before="0" w:beforeAutospacing="0" w:after="160" w:afterAutospacing="0" w:line="360" w:lineRule="auto"/>
        <w:jc w:val="both"/>
      </w:pPr>
      <w:r w:rsidRPr="00F41D70">
        <w:t>The research findings of Singh et al. (2023) contribute to “Nutritional Management and Interventions in Complications of Pregnancy,” highlighting the potential</w:t>
      </w:r>
      <w:r w:rsidRPr="00952CD4">
        <w:t xml:space="preserve"> hazards of pregnancy, including early pregnancy loss, such as miscarriage and stillbirth, which occur in about 15% of pregnancies. The review also demonstrates how effectively planned nutrition interventions can complement drug treatment to address complications. It focuses on supplementing with key nutrients to correct maternal deficiencies during gestation and providing metabolic management solutions throughout pregnancy.</w:t>
      </w:r>
    </w:p>
    <w:p w14:paraId="3956D1DF" w14:textId="77777777" w:rsidR="00952CD4" w:rsidRPr="00952CD4" w:rsidRDefault="00952CD4" w:rsidP="00EF0802">
      <w:pPr>
        <w:pStyle w:val="NormalWeb"/>
        <w:numPr>
          <w:ilvl w:val="0"/>
          <w:numId w:val="15"/>
        </w:numPr>
        <w:spacing w:before="0" w:beforeAutospacing="0" w:after="160" w:afterAutospacing="0" w:line="360" w:lineRule="auto"/>
        <w:jc w:val="both"/>
      </w:pPr>
      <w:r w:rsidRPr="00952CD4">
        <w:t>An exploration conducted by Tsakiridis et al. (2022) emphasizes “Thyroid Disease in Pregnancy: A Descriptive Review of Guidelines,” presenting a scoping review of leading organization guidelines on diagnosing and managing thyroid disorders during pregnancy. The study identifies a consensus on the appropriateness of pregnancy-specific reference ranges for diagnosing overt and subclinical hypothyroid and hyperthyroid states. It highlights that screening for thyroid abnormalities is focused mainly on high-risk clients. The review also discusses whether to treat subclinical thyroid disease and the recommended dietary allowance of iodine, emphasizing the importance of aligning best practice management with standard evidence to improve maternal and neonatal outcomes.</w:t>
      </w:r>
    </w:p>
    <w:p w14:paraId="52BE2EB4" w14:textId="77777777" w:rsidR="00952CD4" w:rsidRPr="00952CD4" w:rsidRDefault="00952CD4" w:rsidP="00EF0802">
      <w:pPr>
        <w:pStyle w:val="NormalWeb"/>
        <w:numPr>
          <w:ilvl w:val="0"/>
          <w:numId w:val="15"/>
        </w:numPr>
        <w:spacing w:before="0" w:beforeAutospacing="0" w:after="160" w:afterAutospacing="0" w:line="360" w:lineRule="auto"/>
        <w:jc w:val="both"/>
      </w:pPr>
      <w:r w:rsidRPr="00952CD4">
        <w:lastRenderedPageBreak/>
        <w:t xml:space="preserve">In their thorough exploration, Andersen et al. (2015) identify “Foetal Programming by Maternal Thyroid Disease,” characterizing thyroid dysfunction during pregnancy and its potential impact on </w:t>
      </w:r>
      <w:proofErr w:type="spellStart"/>
      <w:r w:rsidRPr="00952CD4">
        <w:t>fetal</w:t>
      </w:r>
      <w:proofErr w:type="spellEnd"/>
      <w:r w:rsidRPr="00952CD4">
        <w:t xml:space="preserve"> brain proliferation, which can increase the likelihood of neurological and psychiatric disorders. The authors emphasize the importance of thyroid hormones in early brain development and outline the risks of developing conditions such as seizures, autism spectrum disorders, ADHD, and other psychiatric diseases during adolescence and young adulthood. The review stresses the need for better control of thyroid diseases in pregnant women to reduce adverse long-term effects on offspring health through mechanisms of </w:t>
      </w:r>
      <w:proofErr w:type="spellStart"/>
      <w:r w:rsidRPr="00952CD4">
        <w:t>fetal</w:t>
      </w:r>
      <w:proofErr w:type="spellEnd"/>
      <w:r w:rsidRPr="00952CD4">
        <w:t xml:space="preserve"> programming.</w:t>
      </w:r>
    </w:p>
    <w:p w14:paraId="65128F4C" w14:textId="77777777" w:rsidR="00952CD4" w:rsidRPr="00952CD4" w:rsidRDefault="00952CD4" w:rsidP="00EF0802">
      <w:pPr>
        <w:pStyle w:val="NormalWeb"/>
        <w:numPr>
          <w:ilvl w:val="0"/>
          <w:numId w:val="15"/>
        </w:numPr>
        <w:spacing w:before="0" w:beforeAutospacing="0" w:after="160" w:afterAutospacing="0" w:line="360" w:lineRule="auto"/>
        <w:jc w:val="both"/>
      </w:pPr>
      <w:r w:rsidRPr="00952CD4">
        <w:t xml:space="preserve">Highlighting critical issues, </w:t>
      </w:r>
      <w:proofErr w:type="spellStart"/>
      <w:r w:rsidRPr="00952CD4">
        <w:t>Bortolotto</w:t>
      </w:r>
      <w:proofErr w:type="spellEnd"/>
      <w:r w:rsidRPr="00952CD4">
        <w:t xml:space="preserve"> et al. (2018) examine “Resistant Hypertension in Pregnancy: How to Manage?” The article provides an overview of managing resistant hypertension during pregnancy or pre-existing hypertension throughout pregnancy and postpartum severe hypertension. It also addresses the barriers to controlling hypertension in pregnancy, particularly when drugs such as ACE inhibitors and angiotensin II receptor antagonists are contraindicated. The review discusses the judicious control of blood pressure, mentioning methyldopa as one of the commonly used treatments, along with other antihypertensives such as beta blockers and calcium channel blockers. The article focuses on the strategies needed to minimize risks for the mother and maintain </w:t>
      </w:r>
      <w:proofErr w:type="spellStart"/>
      <w:r w:rsidRPr="00952CD4">
        <w:t>fetal</w:t>
      </w:r>
      <w:proofErr w:type="spellEnd"/>
      <w:r w:rsidRPr="00952CD4">
        <w:t xml:space="preserve"> health.</w:t>
      </w:r>
    </w:p>
    <w:p w14:paraId="141043A2" w14:textId="77777777" w:rsidR="00952CD4" w:rsidRPr="00952CD4" w:rsidRDefault="00952CD4" w:rsidP="00EF0802">
      <w:pPr>
        <w:pStyle w:val="NormalWeb"/>
        <w:numPr>
          <w:ilvl w:val="0"/>
          <w:numId w:val="15"/>
        </w:numPr>
        <w:spacing w:before="0" w:beforeAutospacing="0" w:after="160" w:afterAutospacing="0" w:line="360" w:lineRule="auto"/>
        <w:jc w:val="both"/>
      </w:pPr>
      <w:r w:rsidRPr="00952CD4">
        <w:t>In pursuit of understanding “Physical Exercise in Pregnancy: Benefits, Risks and Prescription,” Ribeiro et al. (2022) study the dangers, advantages, and recommendations regarding exercise during pregnancy. The authors emphasize the importance of exercise as a preventative measure against pregnancy complications, including gestational diabetes, hypertensive disorders, and prenatal depression. Recent meta-analysis of randomized controlled trials show that exercise does not increase adverse maternal or perinatal outcomes. The review focuses on how to choose the type and intensity of exercise for a woman based on her physical fitness and pregnancy parameters, aiming to promote overall health without compromise.</w:t>
      </w:r>
    </w:p>
    <w:p w14:paraId="0EACBCF7" w14:textId="51DDA96C" w:rsidR="00F53731" w:rsidRPr="00F53731" w:rsidRDefault="00F53731" w:rsidP="00EF0802">
      <w:pPr>
        <w:spacing w:line="360" w:lineRule="auto"/>
        <w:jc w:val="both"/>
        <w:rPr>
          <w:rFonts w:ascii="Times New Roman" w:hAnsi="Times New Roman" w:cs="Times New Roman"/>
          <w:b/>
          <w:bCs/>
        </w:rPr>
      </w:pPr>
    </w:p>
    <w:p w14:paraId="13DA1006" w14:textId="77777777" w:rsidR="00F53731" w:rsidRDefault="00F53731" w:rsidP="00EF0802">
      <w:pPr>
        <w:spacing w:line="360" w:lineRule="auto"/>
        <w:jc w:val="both"/>
        <w:rPr>
          <w:rFonts w:ascii="Times New Roman" w:hAnsi="Times New Roman" w:cs="Times New Roman"/>
          <w:b/>
          <w:bCs/>
        </w:rPr>
      </w:pPr>
      <w:r w:rsidRPr="00F53731">
        <w:rPr>
          <w:rFonts w:ascii="Times New Roman" w:hAnsi="Times New Roman" w:cs="Times New Roman"/>
          <w:b/>
          <w:bCs/>
        </w:rPr>
        <w:t>2.9 Research Gaps Identified</w:t>
      </w:r>
    </w:p>
    <w:p w14:paraId="55FF09B8" w14:textId="15DF3A28" w:rsidR="00F53731" w:rsidRPr="00F53731" w:rsidRDefault="00F53731" w:rsidP="00EF0802">
      <w:pPr>
        <w:spacing w:line="360" w:lineRule="auto"/>
        <w:jc w:val="both"/>
        <w:rPr>
          <w:rFonts w:ascii="Times New Roman" w:hAnsi="Times New Roman" w:cs="Times New Roman"/>
        </w:rPr>
      </w:pPr>
      <w:r w:rsidRPr="004F4008">
        <w:rPr>
          <w:rFonts w:ascii="Times New Roman" w:hAnsi="Times New Roman" w:cs="Times New Roman"/>
        </w:rPr>
        <w:lastRenderedPageBreak/>
        <w:t xml:space="preserve">The research gaps of the study are </w:t>
      </w:r>
      <w:r w:rsidR="004F4008" w:rsidRPr="004F4008">
        <w:rPr>
          <w:rFonts w:ascii="Times New Roman" w:hAnsi="Times New Roman" w:cs="Times New Roman"/>
        </w:rPr>
        <w:t xml:space="preserve">presented as follows; </w:t>
      </w:r>
    </w:p>
    <w:p w14:paraId="2FA563D0" w14:textId="729A6849" w:rsidR="00F53731" w:rsidRPr="00F53731" w:rsidRDefault="00F53731" w:rsidP="00EF0802">
      <w:pPr>
        <w:numPr>
          <w:ilvl w:val="0"/>
          <w:numId w:val="21"/>
        </w:numPr>
        <w:spacing w:line="360" w:lineRule="auto"/>
        <w:jc w:val="both"/>
        <w:rPr>
          <w:rFonts w:ascii="Times New Roman" w:hAnsi="Times New Roman" w:cs="Times New Roman"/>
          <w:b/>
          <w:bCs/>
        </w:rPr>
      </w:pPr>
      <w:r w:rsidRPr="00F53731">
        <w:rPr>
          <w:rFonts w:ascii="Times New Roman" w:hAnsi="Times New Roman" w:cs="Times New Roman"/>
          <w:b/>
          <w:bCs/>
        </w:rPr>
        <w:t>Lack of Correlational Data</w:t>
      </w:r>
      <w:r>
        <w:rPr>
          <w:rFonts w:ascii="Times New Roman" w:hAnsi="Times New Roman" w:cs="Times New Roman"/>
          <w:b/>
          <w:bCs/>
        </w:rPr>
        <w:t xml:space="preserve">: </w:t>
      </w:r>
      <w:r w:rsidRPr="00F53731">
        <w:rPr>
          <w:rFonts w:ascii="Times New Roman" w:hAnsi="Times New Roman" w:cs="Times New Roman"/>
        </w:rPr>
        <w:t>Few studies have explored the correlation between awareness of thyroid and hypertension and demographic variables among pregnant women, limiting targeted interventions.</w:t>
      </w:r>
    </w:p>
    <w:p w14:paraId="76F2EDCA" w14:textId="143C9B5D" w:rsidR="00F53731" w:rsidRPr="00F53731" w:rsidRDefault="00F53731" w:rsidP="00EF0802">
      <w:pPr>
        <w:numPr>
          <w:ilvl w:val="0"/>
          <w:numId w:val="21"/>
        </w:numPr>
        <w:spacing w:line="360" w:lineRule="auto"/>
        <w:jc w:val="both"/>
        <w:rPr>
          <w:rFonts w:ascii="Times New Roman" w:hAnsi="Times New Roman" w:cs="Times New Roman"/>
        </w:rPr>
      </w:pPr>
      <w:r w:rsidRPr="00F53731">
        <w:rPr>
          <w:rFonts w:ascii="Times New Roman" w:hAnsi="Times New Roman" w:cs="Times New Roman"/>
          <w:b/>
          <w:bCs/>
        </w:rPr>
        <w:t>Limited Awareness-Based Educational Interventions</w:t>
      </w:r>
      <w:r>
        <w:rPr>
          <w:rFonts w:ascii="Times New Roman" w:hAnsi="Times New Roman" w:cs="Times New Roman"/>
          <w:b/>
          <w:bCs/>
        </w:rPr>
        <w:t xml:space="preserve">: </w:t>
      </w:r>
      <w:r w:rsidRPr="00F53731">
        <w:rPr>
          <w:rFonts w:ascii="Times New Roman" w:hAnsi="Times New Roman" w:cs="Times New Roman"/>
        </w:rPr>
        <w:t>There is a shortage of studies focusing on educating pregnant women about lifestyle modifications to prevent thyroid dysfunction and hypertension, particularly in the Indian context.</w:t>
      </w:r>
    </w:p>
    <w:p w14:paraId="6099464F" w14:textId="1C034F57" w:rsidR="00F53731" w:rsidRPr="00F53731" w:rsidRDefault="00F53731" w:rsidP="00EF0802">
      <w:pPr>
        <w:numPr>
          <w:ilvl w:val="0"/>
          <w:numId w:val="21"/>
        </w:numPr>
        <w:spacing w:line="360" w:lineRule="auto"/>
        <w:jc w:val="both"/>
        <w:rPr>
          <w:rFonts w:ascii="Times New Roman" w:hAnsi="Times New Roman" w:cs="Times New Roman"/>
          <w:b/>
          <w:bCs/>
        </w:rPr>
      </w:pPr>
      <w:r w:rsidRPr="00F53731">
        <w:rPr>
          <w:rFonts w:ascii="Times New Roman" w:hAnsi="Times New Roman" w:cs="Times New Roman"/>
          <w:b/>
          <w:bCs/>
        </w:rPr>
        <w:t>Insufficient Evaluation of Lifestyle Modification Outcomes</w:t>
      </w:r>
      <w:r>
        <w:rPr>
          <w:rFonts w:ascii="Times New Roman" w:hAnsi="Times New Roman" w:cs="Times New Roman"/>
          <w:b/>
          <w:bCs/>
        </w:rPr>
        <w:t xml:space="preserve">: </w:t>
      </w:r>
      <w:r w:rsidRPr="00F53731">
        <w:rPr>
          <w:rFonts w:ascii="Times New Roman" w:hAnsi="Times New Roman" w:cs="Times New Roman"/>
        </w:rPr>
        <w:t>Research evaluating the direct impact of lifestyle changes on clinical indicators like blood pressure and thyroid hormone levels during pregnancy remains limited.</w:t>
      </w:r>
    </w:p>
    <w:p w14:paraId="732B1C23" w14:textId="7D510189" w:rsidR="00F53731" w:rsidRPr="00F53731" w:rsidRDefault="00F53731" w:rsidP="00EF0802">
      <w:pPr>
        <w:numPr>
          <w:ilvl w:val="0"/>
          <w:numId w:val="21"/>
        </w:numPr>
        <w:spacing w:line="360" w:lineRule="auto"/>
        <w:jc w:val="both"/>
        <w:rPr>
          <w:rFonts w:ascii="Times New Roman" w:hAnsi="Times New Roman" w:cs="Times New Roman"/>
          <w:b/>
          <w:bCs/>
        </w:rPr>
      </w:pPr>
      <w:r w:rsidRPr="00F53731">
        <w:rPr>
          <w:rFonts w:ascii="Times New Roman" w:hAnsi="Times New Roman" w:cs="Times New Roman"/>
          <w:b/>
          <w:bCs/>
        </w:rPr>
        <w:t xml:space="preserve">Lack of Integrated </w:t>
      </w:r>
      <w:proofErr w:type="spellStart"/>
      <w:r w:rsidRPr="00F53731">
        <w:rPr>
          <w:rFonts w:ascii="Times New Roman" w:hAnsi="Times New Roman" w:cs="Times New Roman"/>
          <w:b/>
          <w:bCs/>
        </w:rPr>
        <w:t>Behavioral</w:t>
      </w:r>
      <w:proofErr w:type="spellEnd"/>
      <w:r w:rsidRPr="00F53731">
        <w:rPr>
          <w:rFonts w:ascii="Times New Roman" w:hAnsi="Times New Roman" w:cs="Times New Roman"/>
          <w:b/>
          <w:bCs/>
        </w:rPr>
        <w:t xml:space="preserve"> and Clinical Assessments</w:t>
      </w:r>
      <w:r>
        <w:rPr>
          <w:rFonts w:ascii="Times New Roman" w:hAnsi="Times New Roman" w:cs="Times New Roman"/>
          <w:b/>
          <w:bCs/>
        </w:rPr>
        <w:t xml:space="preserve">: </w:t>
      </w:r>
      <w:r w:rsidRPr="00F53731">
        <w:rPr>
          <w:rFonts w:ascii="Times New Roman" w:hAnsi="Times New Roman" w:cs="Times New Roman"/>
        </w:rPr>
        <w:t xml:space="preserve">Existing studies rarely combine assessments of knowledge, </w:t>
      </w:r>
      <w:proofErr w:type="spellStart"/>
      <w:r w:rsidRPr="00F53731">
        <w:rPr>
          <w:rFonts w:ascii="Times New Roman" w:hAnsi="Times New Roman" w:cs="Times New Roman"/>
        </w:rPr>
        <w:t>behavior</w:t>
      </w:r>
      <w:proofErr w:type="spellEnd"/>
      <w:r w:rsidRPr="00F53731">
        <w:rPr>
          <w:rFonts w:ascii="Times New Roman" w:hAnsi="Times New Roman" w:cs="Times New Roman"/>
        </w:rPr>
        <w:t xml:space="preserve"> change, and medical outcomes in a single framework.</w:t>
      </w:r>
    </w:p>
    <w:p w14:paraId="57E369F1" w14:textId="2B62E40E" w:rsidR="00F53731" w:rsidRPr="00F53731" w:rsidRDefault="00F53731" w:rsidP="00EF0802">
      <w:pPr>
        <w:numPr>
          <w:ilvl w:val="0"/>
          <w:numId w:val="21"/>
        </w:numPr>
        <w:spacing w:line="360" w:lineRule="auto"/>
        <w:jc w:val="both"/>
        <w:rPr>
          <w:rFonts w:ascii="Times New Roman" w:hAnsi="Times New Roman" w:cs="Times New Roman"/>
          <w:b/>
          <w:bCs/>
        </w:rPr>
      </w:pPr>
      <w:r w:rsidRPr="00F53731">
        <w:rPr>
          <w:rFonts w:ascii="Times New Roman" w:hAnsi="Times New Roman" w:cs="Times New Roman"/>
          <w:b/>
          <w:bCs/>
        </w:rPr>
        <w:t>Underrepresentation of Rural Populations</w:t>
      </w:r>
      <w:r>
        <w:rPr>
          <w:rFonts w:ascii="Times New Roman" w:hAnsi="Times New Roman" w:cs="Times New Roman"/>
          <w:b/>
          <w:bCs/>
        </w:rPr>
        <w:t xml:space="preserve">: </w:t>
      </w:r>
      <w:r w:rsidRPr="00F53731">
        <w:rPr>
          <w:rFonts w:ascii="Times New Roman" w:hAnsi="Times New Roman" w:cs="Times New Roman"/>
        </w:rPr>
        <w:t>Rural and semi-urban pregnant populations are often underrepresented in lifestyle intervention research, despite being high-risk groups.</w:t>
      </w:r>
    </w:p>
    <w:p w14:paraId="2F928169" w14:textId="77777777" w:rsidR="00952CD4" w:rsidRPr="00952CD4" w:rsidRDefault="00952CD4" w:rsidP="00EF0802">
      <w:pPr>
        <w:spacing w:line="360" w:lineRule="auto"/>
        <w:jc w:val="both"/>
        <w:rPr>
          <w:rFonts w:ascii="Times New Roman" w:hAnsi="Times New Roman" w:cs="Times New Roman"/>
          <w:b/>
          <w:bCs/>
        </w:rPr>
      </w:pPr>
    </w:p>
    <w:p w14:paraId="73BDAD50" w14:textId="6C7DD573" w:rsidR="00952CD4" w:rsidRDefault="00952CD4" w:rsidP="00EF0802">
      <w:pPr>
        <w:spacing w:line="360" w:lineRule="auto"/>
        <w:jc w:val="both"/>
        <w:rPr>
          <w:rFonts w:ascii="Times New Roman" w:hAnsi="Times New Roman" w:cs="Times New Roman"/>
          <w:b/>
          <w:bCs/>
        </w:rPr>
      </w:pPr>
      <w:r w:rsidRPr="00952CD4">
        <w:rPr>
          <w:rFonts w:ascii="Times New Roman" w:hAnsi="Times New Roman" w:cs="Times New Roman"/>
          <w:b/>
          <w:bCs/>
        </w:rPr>
        <w:t>2.10 Summary of Chapter</w:t>
      </w:r>
      <w:r>
        <w:rPr>
          <w:rFonts w:ascii="Times New Roman" w:hAnsi="Times New Roman" w:cs="Times New Roman"/>
          <w:b/>
          <w:bCs/>
        </w:rPr>
        <w:t xml:space="preserve"> </w:t>
      </w:r>
    </w:p>
    <w:p w14:paraId="4E0E82F3" w14:textId="77777777" w:rsidR="00A23719" w:rsidRPr="00A23719" w:rsidRDefault="00A23719" w:rsidP="00EF0802">
      <w:pPr>
        <w:spacing w:line="360" w:lineRule="auto"/>
        <w:jc w:val="both"/>
        <w:rPr>
          <w:rFonts w:ascii="Times New Roman" w:hAnsi="Times New Roman" w:cs="Times New Roman"/>
        </w:rPr>
      </w:pPr>
      <w:r w:rsidRPr="00A23719">
        <w:rPr>
          <w:rFonts w:ascii="Times New Roman" w:hAnsi="Times New Roman" w:cs="Times New Roman"/>
        </w:rPr>
        <w:t xml:space="preserve">This chapter reviewed existing literature on thyroid dysfunction and hypertensive disorders during pregnancy, highlighting their prevalence, risk factors, and adverse outcomes for both mother and </w:t>
      </w:r>
      <w:proofErr w:type="spellStart"/>
      <w:r w:rsidRPr="00A23719">
        <w:rPr>
          <w:rFonts w:ascii="Times New Roman" w:hAnsi="Times New Roman" w:cs="Times New Roman"/>
        </w:rPr>
        <w:t>fetus</w:t>
      </w:r>
      <w:proofErr w:type="spellEnd"/>
      <w:r w:rsidRPr="00A23719">
        <w:rPr>
          <w:rFonts w:ascii="Times New Roman" w:hAnsi="Times New Roman" w:cs="Times New Roman"/>
        </w:rPr>
        <w:t>. It explored the physiological and clinical implications of these conditions and established their interconnectedness, emphasizing the need for early detection and preventive strategies. The review also underscored the limited awareness among pregnant women regarding these risks, especially in low-resource settings, and the influence of demographic variables such as education, age, and parity on knowledge levels. Several studies confirmed the importance of structured antenatal education and screening in improving maternal outcomes, yet gaps remain in translating this evidence into localized, accessible interventions.</w:t>
      </w:r>
    </w:p>
    <w:p w14:paraId="1DC290B3" w14:textId="77777777" w:rsidR="00A23719" w:rsidRPr="00A23719" w:rsidRDefault="00A23719" w:rsidP="00EF0802">
      <w:pPr>
        <w:spacing w:line="360" w:lineRule="auto"/>
        <w:jc w:val="both"/>
        <w:rPr>
          <w:rFonts w:ascii="Times New Roman" w:hAnsi="Times New Roman" w:cs="Times New Roman"/>
        </w:rPr>
      </w:pPr>
      <w:r w:rsidRPr="00A23719">
        <w:rPr>
          <w:rFonts w:ascii="Times New Roman" w:hAnsi="Times New Roman" w:cs="Times New Roman"/>
        </w:rPr>
        <w:t xml:space="preserve">Further, the chapter examined the role of lifestyle modifications—such as diet, physical activity, stress management, and sleep hygiene—in managing thyroid and hypertensive </w:t>
      </w:r>
      <w:r w:rsidRPr="00A23719">
        <w:rPr>
          <w:rFonts w:ascii="Times New Roman" w:hAnsi="Times New Roman" w:cs="Times New Roman"/>
        </w:rPr>
        <w:lastRenderedPageBreak/>
        <w:t xml:space="preserve">conditions during pregnancy. It presented evidence from intervention-based studies showing improvements in both awareness and clinical outcomes through </w:t>
      </w:r>
      <w:proofErr w:type="spellStart"/>
      <w:r w:rsidRPr="00A23719">
        <w:rPr>
          <w:rFonts w:ascii="Times New Roman" w:hAnsi="Times New Roman" w:cs="Times New Roman"/>
        </w:rPr>
        <w:t>behavior</w:t>
      </w:r>
      <w:proofErr w:type="spellEnd"/>
      <w:r w:rsidRPr="00A23719">
        <w:rPr>
          <w:rFonts w:ascii="Times New Roman" w:hAnsi="Times New Roman" w:cs="Times New Roman"/>
        </w:rPr>
        <w:t>-driven approaches. However, it also identified key research gaps, including a lack of integrated pre-post evaluations, limited educational outreach, and underrepresentation of rural populations in current studies. These gaps provide the rationale for the present research, which aims to assess correlations between awareness and demographics, deliver targeted lifestyle education, and evaluate the effectiveness of these interventions on the health of pregnant women.</w:t>
      </w:r>
    </w:p>
    <w:p w14:paraId="543B0DD5" w14:textId="77777777" w:rsidR="00A23719" w:rsidRDefault="00A23719" w:rsidP="00EF0802">
      <w:pPr>
        <w:spacing w:line="360" w:lineRule="auto"/>
        <w:jc w:val="both"/>
        <w:rPr>
          <w:rFonts w:ascii="Times New Roman" w:hAnsi="Times New Roman" w:cs="Times New Roman"/>
          <w:b/>
          <w:bCs/>
        </w:rPr>
      </w:pPr>
    </w:p>
    <w:p w14:paraId="1C2E3766" w14:textId="77777777" w:rsidR="0062473E" w:rsidRDefault="0062473E" w:rsidP="00EF0802">
      <w:pPr>
        <w:spacing w:line="360" w:lineRule="auto"/>
        <w:jc w:val="both"/>
        <w:rPr>
          <w:rFonts w:ascii="Times New Roman" w:hAnsi="Times New Roman" w:cs="Times New Roman"/>
          <w:b/>
          <w:bCs/>
        </w:rPr>
      </w:pPr>
    </w:p>
    <w:p w14:paraId="187E0CAC" w14:textId="77777777" w:rsidR="002352DE" w:rsidRDefault="002352DE" w:rsidP="00EF0802">
      <w:pPr>
        <w:spacing w:line="360" w:lineRule="auto"/>
        <w:ind w:left="2880" w:firstLine="720"/>
        <w:jc w:val="both"/>
        <w:rPr>
          <w:rFonts w:ascii="Times New Roman" w:hAnsi="Times New Roman" w:cs="Times New Roman"/>
          <w:b/>
          <w:bCs/>
          <w:sz w:val="28"/>
          <w:szCs w:val="28"/>
        </w:rPr>
      </w:pPr>
    </w:p>
    <w:p w14:paraId="6F000CFD" w14:textId="77777777" w:rsidR="002352DE" w:rsidRDefault="002352DE" w:rsidP="00EF0802">
      <w:pPr>
        <w:spacing w:line="360" w:lineRule="auto"/>
        <w:ind w:left="2880" w:firstLine="720"/>
        <w:jc w:val="both"/>
        <w:rPr>
          <w:rFonts w:ascii="Times New Roman" w:hAnsi="Times New Roman" w:cs="Times New Roman"/>
          <w:b/>
          <w:bCs/>
          <w:sz w:val="28"/>
          <w:szCs w:val="28"/>
        </w:rPr>
      </w:pPr>
    </w:p>
    <w:p w14:paraId="2E7C805B" w14:textId="77777777" w:rsidR="002352DE" w:rsidRDefault="002352DE" w:rsidP="00EF0802">
      <w:pPr>
        <w:spacing w:line="360" w:lineRule="auto"/>
        <w:ind w:left="2880" w:firstLine="720"/>
        <w:jc w:val="both"/>
        <w:rPr>
          <w:rFonts w:ascii="Times New Roman" w:hAnsi="Times New Roman" w:cs="Times New Roman"/>
          <w:b/>
          <w:bCs/>
          <w:sz w:val="28"/>
          <w:szCs w:val="28"/>
        </w:rPr>
      </w:pPr>
    </w:p>
    <w:p w14:paraId="4B126543" w14:textId="77777777" w:rsidR="002352DE" w:rsidRDefault="002352DE" w:rsidP="00EF0802">
      <w:pPr>
        <w:spacing w:line="360" w:lineRule="auto"/>
        <w:ind w:left="2880" w:firstLine="720"/>
        <w:jc w:val="both"/>
        <w:rPr>
          <w:rFonts w:ascii="Times New Roman" w:hAnsi="Times New Roman" w:cs="Times New Roman"/>
          <w:b/>
          <w:bCs/>
          <w:sz w:val="28"/>
          <w:szCs w:val="28"/>
        </w:rPr>
      </w:pPr>
    </w:p>
    <w:p w14:paraId="3B0AC2B1" w14:textId="77777777" w:rsidR="002352DE" w:rsidRDefault="002352DE" w:rsidP="00EF0802">
      <w:pPr>
        <w:spacing w:line="360" w:lineRule="auto"/>
        <w:ind w:left="2880" w:firstLine="720"/>
        <w:jc w:val="both"/>
        <w:rPr>
          <w:rFonts w:ascii="Times New Roman" w:hAnsi="Times New Roman" w:cs="Times New Roman"/>
          <w:b/>
          <w:bCs/>
          <w:sz w:val="28"/>
          <w:szCs w:val="28"/>
        </w:rPr>
      </w:pPr>
    </w:p>
    <w:p w14:paraId="5A2735F1" w14:textId="77777777" w:rsidR="002352DE" w:rsidRDefault="002352DE" w:rsidP="00EF0802">
      <w:pPr>
        <w:spacing w:line="360" w:lineRule="auto"/>
        <w:ind w:left="2880" w:firstLine="720"/>
        <w:jc w:val="both"/>
        <w:rPr>
          <w:rFonts w:ascii="Times New Roman" w:hAnsi="Times New Roman" w:cs="Times New Roman"/>
          <w:b/>
          <w:bCs/>
          <w:sz w:val="28"/>
          <w:szCs w:val="28"/>
        </w:rPr>
      </w:pPr>
    </w:p>
    <w:p w14:paraId="0628A9A0" w14:textId="77777777" w:rsidR="002352DE" w:rsidRDefault="002352DE" w:rsidP="00EF0802">
      <w:pPr>
        <w:spacing w:line="360" w:lineRule="auto"/>
        <w:ind w:left="2880" w:firstLine="720"/>
        <w:jc w:val="both"/>
        <w:rPr>
          <w:rFonts w:ascii="Times New Roman" w:hAnsi="Times New Roman" w:cs="Times New Roman"/>
          <w:b/>
          <w:bCs/>
          <w:sz w:val="28"/>
          <w:szCs w:val="28"/>
        </w:rPr>
      </w:pPr>
    </w:p>
    <w:p w14:paraId="5AD0AFE0" w14:textId="77777777" w:rsidR="002352DE" w:rsidRDefault="002352DE" w:rsidP="00EF0802">
      <w:pPr>
        <w:spacing w:line="360" w:lineRule="auto"/>
        <w:ind w:left="2880" w:firstLine="720"/>
        <w:jc w:val="both"/>
        <w:rPr>
          <w:rFonts w:ascii="Times New Roman" w:hAnsi="Times New Roman" w:cs="Times New Roman"/>
          <w:b/>
          <w:bCs/>
          <w:sz w:val="28"/>
          <w:szCs w:val="28"/>
        </w:rPr>
      </w:pPr>
    </w:p>
    <w:p w14:paraId="500B4834" w14:textId="77777777" w:rsidR="002352DE" w:rsidRDefault="002352DE" w:rsidP="00EF0802">
      <w:pPr>
        <w:spacing w:line="360" w:lineRule="auto"/>
        <w:ind w:left="2880" w:firstLine="720"/>
        <w:jc w:val="both"/>
        <w:rPr>
          <w:rFonts w:ascii="Times New Roman" w:hAnsi="Times New Roman" w:cs="Times New Roman"/>
          <w:b/>
          <w:bCs/>
          <w:sz w:val="28"/>
          <w:szCs w:val="28"/>
        </w:rPr>
      </w:pPr>
    </w:p>
    <w:p w14:paraId="65F5BFC3" w14:textId="77777777" w:rsidR="002352DE" w:rsidRDefault="002352DE" w:rsidP="00EF0802">
      <w:pPr>
        <w:spacing w:line="360" w:lineRule="auto"/>
        <w:ind w:left="2880" w:firstLine="720"/>
        <w:jc w:val="both"/>
        <w:rPr>
          <w:rFonts w:ascii="Times New Roman" w:hAnsi="Times New Roman" w:cs="Times New Roman"/>
          <w:b/>
          <w:bCs/>
          <w:sz w:val="28"/>
          <w:szCs w:val="28"/>
        </w:rPr>
      </w:pPr>
    </w:p>
    <w:p w14:paraId="358FE032" w14:textId="77777777" w:rsidR="002352DE" w:rsidRDefault="002352DE" w:rsidP="00EF0802">
      <w:pPr>
        <w:spacing w:line="360" w:lineRule="auto"/>
        <w:ind w:left="2880" w:firstLine="720"/>
        <w:jc w:val="both"/>
        <w:rPr>
          <w:rFonts w:ascii="Times New Roman" w:hAnsi="Times New Roman" w:cs="Times New Roman"/>
          <w:b/>
          <w:bCs/>
          <w:sz w:val="28"/>
          <w:szCs w:val="28"/>
        </w:rPr>
      </w:pPr>
    </w:p>
    <w:p w14:paraId="589940EB" w14:textId="77777777" w:rsidR="002352DE" w:rsidRDefault="002352DE" w:rsidP="00EF0802">
      <w:pPr>
        <w:spacing w:line="360" w:lineRule="auto"/>
        <w:ind w:left="2880" w:firstLine="720"/>
        <w:jc w:val="both"/>
        <w:rPr>
          <w:rFonts w:ascii="Times New Roman" w:hAnsi="Times New Roman" w:cs="Times New Roman"/>
          <w:b/>
          <w:bCs/>
          <w:sz w:val="28"/>
          <w:szCs w:val="28"/>
        </w:rPr>
      </w:pPr>
    </w:p>
    <w:p w14:paraId="160E2EFA" w14:textId="77777777" w:rsidR="002352DE" w:rsidRDefault="002352DE" w:rsidP="00EF0802">
      <w:pPr>
        <w:spacing w:line="360" w:lineRule="auto"/>
        <w:ind w:left="2880" w:firstLine="720"/>
        <w:jc w:val="both"/>
        <w:rPr>
          <w:rFonts w:ascii="Times New Roman" w:hAnsi="Times New Roman" w:cs="Times New Roman"/>
          <w:b/>
          <w:bCs/>
          <w:sz w:val="28"/>
          <w:szCs w:val="28"/>
        </w:rPr>
      </w:pPr>
    </w:p>
    <w:p w14:paraId="0B8E3F4D" w14:textId="77777777" w:rsidR="002352DE" w:rsidRDefault="002352DE" w:rsidP="00EF0802">
      <w:pPr>
        <w:spacing w:line="360" w:lineRule="auto"/>
        <w:ind w:left="2880" w:firstLine="720"/>
        <w:jc w:val="both"/>
        <w:rPr>
          <w:rFonts w:ascii="Times New Roman" w:hAnsi="Times New Roman" w:cs="Times New Roman"/>
          <w:b/>
          <w:bCs/>
          <w:sz w:val="28"/>
          <w:szCs w:val="28"/>
        </w:rPr>
      </w:pPr>
    </w:p>
    <w:p w14:paraId="14D77CFA" w14:textId="77777777" w:rsidR="002352DE" w:rsidRDefault="002352DE" w:rsidP="00EF0802">
      <w:pPr>
        <w:spacing w:line="360" w:lineRule="auto"/>
        <w:ind w:left="2880" w:firstLine="720"/>
        <w:jc w:val="both"/>
        <w:rPr>
          <w:rFonts w:ascii="Times New Roman" w:hAnsi="Times New Roman" w:cs="Times New Roman"/>
          <w:b/>
          <w:bCs/>
          <w:sz w:val="28"/>
          <w:szCs w:val="28"/>
        </w:rPr>
      </w:pPr>
    </w:p>
    <w:p w14:paraId="4EEB8D6E" w14:textId="67431DB4" w:rsidR="00D81433" w:rsidRDefault="006B46B5" w:rsidP="00EF0802">
      <w:pPr>
        <w:spacing w:line="360" w:lineRule="auto"/>
        <w:ind w:left="2880" w:firstLine="720"/>
        <w:jc w:val="both"/>
        <w:rPr>
          <w:rFonts w:ascii="Times New Roman" w:hAnsi="Times New Roman" w:cs="Times New Roman"/>
          <w:b/>
          <w:bCs/>
        </w:rPr>
      </w:pPr>
      <w:r w:rsidRPr="00077581">
        <w:rPr>
          <w:rFonts w:ascii="Times New Roman" w:hAnsi="Times New Roman" w:cs="Times New Roman"/>
          <w:b/>
          <w:bCs/>
          <w:sz w:val="28"/>
          <w:szCs w:val="28"/>
        </w:rPr>
        <w:lastRenderedPageBreak/>
        <w:t>Chapter 3</w:t>
      </w:r>
    </w:p>
    <w:p w14:paraId="722F3F0B" w14:textId="77777777" w:rsidR="00D81433" w:rsidRPr="00077581" w:rsidRDefault="00D81433" w:rsidP="00EF0802">
      <w:pPr>
        <w:spacing w:line="360" w:lineRule="auto"/>
        <w:ind w:left="2160" w:firstLine="720"/>
        <w:rPr>
          <w:rFonts w:ascii="Times New Roman" w:hAnsi="Times New Roman" w:cs="Times New Roman"/>
          <w:b/>
          <w:bCs/>
          <w:sz w:val="28"/>
          <w:szCs w:val="28"/>
        </w:rPr>
      </w:pPr>
      <w:r w:rsidRPr="00077581">
        <w:rPr>
          <w:rFonts w:ascii="Times New Roman" w:hAnsi="Times New Roman" w:cs="Times New Roman"/>
          <w:b/>
          <w:bCs/>
          <w:sz w:val="28"/>
          <w:szCs w:val="28"/>
        </w:rPr>
        <w:t>Research Methodology</w:t>
      </w:r>
    </w:p>
    <w:p w14:paraId="1992818F" w14:textId="77777777" w:rsidR="00D81433" w:rsidRPr="00077581" w:rsidRDefault="00D81433" w:rsidP="00EF0802">
      <w:pPr>
        <w:spacing w:line="360" w:lineRule="auto"/>
        <w:rPr>
          <w:rFonts w:ascii="Times New Roman" w:hAnsi="Times New Roman" w:cs="Times New Roman"/>
        </w:rPr>
      </w:pPr>
    </w:p>
    <w:p w14:paraId="24810878" w14:textId="77777777" w:rsidR="00D81433" w:rsidRPr="00077581" w:rsidRDefault="00D81433" w:rsidP="00EF0802">
      <w:pPr>
        <w:spacing w:line="360" w:lineRule="auto"/>
        <w:jc w:val="both"/>
        <w:rPr>
          <w:rFonts w:ascii="Times New Roman" w:hAnsi="Times New Roman" w:cs="Times New Roman"/>
          <w:b/>
          <w:bCs/>
        </w:rPr>
      </w:pPr>
      <w:r w:rsidRPr="00077581">
        <w:rPr>
          <w:rFonts w:ascii="Times New Roman" w:hAnsi="Times New Roman" w:cs="Times New Roman"/>
          <w:b/>
          <w:bCs/>
        </w:rPr>
        <w:t xml:space="preserve">3.1 General Introduction </w:t>
      </w:r>
    </w:p>
    <w:p w14:paraId="052E9BF2" w14:textId="77777777" w:rsidR="00D81433" w:rsidRPr="00557C55" w:rsidRDefault="00D81433" w:rsidP="00EF0802">
      <w:pPr>
        <w:pStyle w:val="NormalWeb"/>
        <w:spacing w:before="0" w:beforeAutospacing="0" w:after="160" w:afterAutospacing="0" w:line="360" w:lineRule="auto"/>
        <w:jc w:val="both"/>
      </w:pPr>
      <w:r w:rsidRPr="00077581">
        <w:t xml:space="preserve">The methodology chapter outlines the systematic approach undertaken to evaluate the impact of lifestyle modifications on the awareness, prevention, and management of thyroid dysfunction and hypertension among pregnant women. Given the increasing prevalence of these conditions and their significant implications on maternal and </w:t>
      </w:r>
      <w:proofErr w:type="spellStart"/>
      <w:r w:rsidRPr="00077581">
        <w:t>fetal</w:t>
      </w:r>
      <w:proofErr w:type="spellEnd"/>
      <w:r w:rsidRPr="00077581">
        <w:t xml:space="preserve"> health, it is crucial to </w:t>
      </w:r>
      <w:r w:rsidRPr="00557C55">
        <w:t>adopt non-pharmacological, preventive strategies that are both scalable and cost-effective.</w:t>
      </w:r>
    </w:p>
    <w:p w14:paraId="682136CD" w14:textId="77777777" w:rsidR="00D81433" w:rsidRPr="00557C55" w:rsidRDefault="00D81433" w:rsidP="00EF0802">
      <w:pPr>
        <w:pStyle w:val="NormalWeb"/>
        <w:spacing w:before="0" w:beforeAutospacing="0" w:after="160" w:afterAutospacing="0" w:line="360" w:lineRule="auto"/>
        <w:jc w:val="both"/>
      </w:pPr>
      <w:r w:rsidRPr="00557C55">
        <w:t xml:space="preserve">This study adopts a </w:t>
      </w:r>
      <w:r w:rsidRPr="00557C55">
        <w:rPr>
          <w:rStyle w:val="Strong"/>
          <w:b w:val="0"/>
          <w:bCs w:val="0"/>
        </w:rPr>
        <w:t>quasi-experimental pre-test/post-test design</w:t>
      </w:r>
      <w:r w:rsidRPr="00557C55">
        <w:t xml:space="preserve"> to measure the effectiveness of structured lifestyle interventions—focused on diet, physical activity, and stress management—in improving health awareness and clinical outcomes. The methodology is framed to ensure that changes in participants' knowledge levels, lifestyle </w:t>
      </w:r>
      <w:proofErr w:type="spellStart"/>
      <w:r w:rsidRPr="00557C55">
        <w:t>behaviors</w:t>
      </w:r>
      <w:proofErr w:type="spellEnd"/>
      <w:r w:rsidRPr="00557C55">
        <w:t xml:space="preserve">, and key medical indicators (e.g., blood pressure, TSH, T3, T4 levels) are accurately captured and statistically </w:t>
      </w:r>
      <w:proofErr w:type="spellStart"/>
      <w:r w:rsidRPr="00557C55">
        <w:t>analyzed</w:t>
      </w:r>
      <w:proofErr w:type="spellEnd"/>
      <w:r w:rsidRPr="00557C55">
        <w:t>.</w:t>
      </w:r>
    </w:p>
    <w:p w14:paraId="5D4056E6" w14:textId="77777777" w:rsidR="00D81433" w:rsidRPr="00077581" w:rsidRDefault="00D81433" w:rsidP="00EF0802">
      <w:pPr>
        <w:pStyle w:val="NormalWeb"/>
        <w:spacing w:before="0" w:beforeAutospacing="0" w:after="160" w:afterAutospacing="0" w:line="360" w:lineRule="auto"/>
        <w:jc w:val="both"/>
      </w:pPr>
      <w:r w:rsidRPr="00077581">
        <w:t xml:space="preserve">The study also considers the influence of </w:t>
      </w:r>
      <w:r w:rsidRPr="00902AA9">
        <w:rPr>
          <w:rStyle w:val="Strong"/>
          <w:b w:val="0"/>
          <w:bCs w:val="0"/>
        </w:rPr>
        <w:t>sociodemographic variables</w:t>
      </w:r>
      <w:r w:rsidRPr="00077581">
        <w:t>—such as education level, parity, and family history—on baseline awareness and the extent of change post-intervention. By integrating both qualitative self-assessments and quantitative medical data, the research aims to provide comprehensive insights into how lifestyle education can serve as an effective tool for maternal health promotion.</w:t>
      </w:r>
    </w:p>
    <w:p w14:paraId="08529C23" w14:textId="77777777" w:rsidR="00D81433" w:rsidRPr="00077581" w:rsidRDefault="00D81433" w:rsidP="00EF0802">
      <w:pPr>
        <w:pStyle w:val="NormalWeb"/>
        <w:spacing w:before="0" w:beforeAutospacing="0" w:after="160" w:afterAutospacing="0" w:line="360" w:lineRule="auto"/>
        <w:jc w:val="both"/>
      </w:pPr>
      <w:r w:rsidRPr="00077581">
        <w:t>This chapter details the research design, sampling strategy, data collection instruments, validation methods, ethical considerations, and the statistical techniques used to test the hypotheses and meet the study objectives.</w:t>
      </w:r>
    </w:p>
    <w:p w14:paraId="02A20597" w14:textId="77777777" w:rsidR="00D81433" w:rsidRPr="00077581" w:rsidRDefault="00D81433" w:rsidP="00EF0802">
      <w:pPr>
        <w:pStyle w:val="NormalWeb"/>
        <w:spacing w:before="0" w:beforeAutospacing="0" w:after="160" w:afterAutospacing="0" w:line="360" w:lineRule="auto"/>
        <w:rPr>
          <w:b/>
          <w:bCs/>
        </w:rPr>
      </w:pPr>
    </w:p>
    <w:p w14:paraId="1CBD330C" w14:textId="77777777" w:rsidR="00D81433" w:rsidRPr="00077581" w:rsidRDefault="00D81433" w:rsidP="00EF0802">
      <w:pPr>
        <w:pStyle w:val="NormalWeb"/>
        <w:spacing w:before="0" w:beforeAutospacing="0" w:after="160" w:afterAutospacing="0" w:line="360" w:lineRule="auto"/>
        <w:jc w:val="both"/>
        <w:rPr>
          <w:b/>
          <w:bCs/>
        </w:rPr>
      </w:pPr>
      <w:r w:rsidRPr="00077581">
        <w:rPr>
          <w:b/>
          <w:bCs/>
        </w:rPr>
        <w:t>3.2 Research Design</w:t>
      </w:r>
    </w:p>
    <w:p w14:paraId="215C07E3" w14:textId="68A61316" w:rsidR="00D81433" w:rsidRPr="00077581" w:rsidRDefault="00D81433" w:rsidP="00EF0802">
      <w:pPr>
        <w:spacing w:line="360" w:lineRule="auto"/>
        <w:jc w:val="both"/>
        <w:rPr>
          <w:rFonts w:ascii="Times New Roman" w:hAnsi="Times New Roman" w:cs="Times New Roman"/>
        </w:rPr>
      </w:pPr>
      <w:r w:rsidRPr="00077581">
        <w:rPr>
          <w:rFonts w:ascii="Times New Roman" w:hAnsi="Times New Roman" w:cs="Times New Roman"/>
        </w:rPr>
        <w:t xml:space="preserve">The present study employs a quasi-experimental pre-test and post-test research design with a single group intervention model. This design is selected to evaluate the impact of structured lifestyle modification interventions on the awareness, prevention, and </w:t>
      </w:r>
      <w:r w:rsidRPr="00077581">
        <w:rPr>
          <w:rFonts w:ascii="Times New Roman" w:hAnsi="Times New Roman" w:cs="Times New Roman"/>
        </w:rPr>
        <w:lastRenderedPageBreak/>
        <w:t>management of thyroid dysfunction and hypertension among pregnant women</w:t>
      </w:r>
      <w:r w:rsidR="00CC5373">
        <w:rPr>
          <w:rFonts w:ascii="Times New Roman" w:hAnsi="Times New Roman" w:cs="Times New Roman"/>
        </w:rPr>
        <w:t xml:space="preserve"> </w:t>
      </w:r>
      <w:r w:rsidR="00CC5373">
        <w:rPr>
          <w:rFonts w:ascii="Times New Roman" w:hAnsi="Times New Roman" w:cs="Times New Roman"/>
        </w:rPr>
        <w:fldChar w:fldCharType="begin" w:fldLock="1"/>
      </w:r>
      <w:r w:rsidR="00CC5373">
        <w:rPr>
          <w:rFonts w:ascii="Times New Roman" w:hAnsi="Times New Roman" w:cs="Times New Roman"/>
        </w:rPr>
        <w:instrText>ADDIN CSL_CITATION {"citationItems":[{"id":"ITEM-1","itemData":{"DOI":"10.12691/ajams-8-2-1","ISSN":"2328-7306","abstract":"Multicollinearity occurs when the multiple linear regression analysis includes several variables that are significantly correlated not only with the dependent variable but also to each other. Multicollinearity makes some of the significant variables under study to be statistically insignificant. This paper discusses on the three primary techniques for detecting the multicollinearity using the questionnaire survey data on customer satisfaction. The first two techniques are the correlation coefficients and the variance inflation factor, while the third method is eigenvalue method. It is observed that the product attractiveness is more rational cause for the customer satisfaction than other predictors. Furthermore, advanced regression procedures such as principal components regression, weighted regression, and ridge regression method can be used to determine the presence of multicollinearity.","author":[{"dropping-particle":"","family":"Shrestha","given":"Noora","non-dropping-particle":"","parse-names":false,"suffix":""}],"container-title":"American Journal of Applied Mathematics and Statistics","id":"ITEM-1","issue":"2","issued":{"date-parts":[["2020"]]},"page":"39-42","title":"Detecting Multicollinearity in Regression Analysis","type":"article-journal","volume":"8"},"uris":["http://www.mendeley.com/documents/?uuid=b872990c-ec03-43d2-91a6-d6e5b62ebf15"]}],"mendeley":{"formattedCitation":"(Shrestha, 2020)","plainTextFormattedCitation":"(Shrestha, 2020)","previouslyFormattedCitation":"(Shrestha, 2020)"},"properties":{"noteIndex":0},"schema":"https://github.com/citation-style-language/schema/raw/master/csl-citation.json"}</w:instrText>
      </w:r>
      <w:r w:rsidR="00CC5373">
        <w:rPr>
          <w:rFonts w:ascii="Times New Roman" w:hAnsi="Times New Roman" w:cs="Times New Roman"/>
        </w:rPr>
        <w:fldChar w:fldCharType="separate"/>
      </w:r>
      <w:r w:rsidR="00CC5373" w:rsidRPr="00CC5373">
        <w:rPr>
          <w:rFonts w:ascii="Times New Roman" w:hAnsi="Times New Roman" w:cs="Times New Roman"/>
          <w:noProof/>
        </w:rPr>
        <w:t>(Shrestha, 2020)</w:t>
      </w:r>
      <w:r w:rsidR="00CC5373">
        <w:rPr>
          <w:rFonts w:ascii="Times New Roman" w:hAnsi="Times New Roman" w:cs="Times New Roman"/>
        </w:rPr>
        <w:fldChar w:fldCharType="end"/>
      </w:r>
      <w:r w:rsidRPr="00077581">
        <w:rPr>
          <w:rFonts w:ascii="Times New Roman" w:hAnsi="Times New Roman" w:cs="Times New Roman"/>
        </w:rPr>
        <w:t>.</w:t>
      </w:r>
    </w:p>
    <w:p w14:paraId="62A7669B" w14:textId="5CF4CD0C" w:rsidR="00D81433" w:rsidRPr="00077581" w:rsidRDefault="00D81433" w:rsidP="00EF0802">
      <w:pPr>
        <w:spacing w:line="360" w:lineRule="auto"/>
        <w:jc w:val="both"/>
        <w:rPr>
          <w:rFonts w:ascii="Times New Roman" w:hAnsi="Times New Roman" w:cs="Times New Roman"/>
        </w:rPr>
      </w:pPr>
      <w:r w:rsidRPr="00077581">
        <w:rPr>
          <w:rFonts w:ascii="Times New Roman" w:hAnsi="Times New Roman" w:cs="Times New Roman"/>
        </w:rPr>
        <w:t xml:space="preserve">The design involves assessing participants' baseline knowledge, lifestyle </w:t>
      </w:r>
      <w:r w:rsidR="00AB47F3" w:rsidRPr="00077581">
        <w:rPr>
          <w:rFonts w:ascii="Times New Roman" w:hAnsi="Times New Roman" w:cs="Times New Roman"/>
        </w:rPr>
        <w:t>behaviours</w:t>
      </w:r>
      <w:r w:rsidRPr="00077581">
        <w:rPr>
          <w:rFonts w:ascii="Times New Roman" w:hAnsi="Times New Roman" w:cs="Times New Roman"/>
        </w:rPr>
        <w:t xml:space="preserve">, and clinical indicators before the intervention (pre-test), followed by the implementation of educational and </w:t>
      </w:r>
      <w:r w:rsidR="00697C51" w:rsidRPr="00077581">
        <w:rPr>
          <w:rFonts w:ascii="Times New Roman" w:hAnsi="Times New Roman" w:cs="Times New Roman"/>
        </w:rPr>
        <w:t>behavioural</w:t>
      </w:r>
      <w:r w:rsidRPr="00077581">
        <w:rPr>
          <w:rFonts w:ascii="Times New Roman" w:hAnsi="Times New Roman" w:cs="Times New Roman"/>
        </w:rPr>
        <w:t xml:space="preserve"> strategies focusing on diet, physical activity, and stress management. After a defined intervention period, the same parameters are re-evaluated (post-test) to determine the effectiveness of the lifestyle changes.</w:t>
      </w:r>
    </w:p>
    <w:p w14:paraId="4B182BAA" w14:textId="77777777" w:rsidR="00D81433" w:rsidRPr="00077581" w:rsidRDefault="00D81433" w:rsidP="00EF0802">
      <w:pPr>
        <w:spacing w:line="360" w:lineRule="auto"/>
        <w:jc w:val="both"/>
        <w:rPr>
          <w:rFonts w:ascii="Times New Roman" w:hAnsi="Times New Roman" w:cs="Times New Roman"/>
        </w:rPr>
      </w:pPr>
      <w:r w:rsidRPr="00077581">
        <w:rPr>
          <w:rFonts w:ascii="Times New Roman" w:hAnsi="Times New Roman" w:cs="Times New Roman"/>
        </w:rPr>
        <w:t>This design allows for:</w:t>
      </w:r>
    </w:p>
    <w:p w14:paraId="794FED0D" w14:textId="77777777" w:rsidR="00D81433" w:rsidRPr="00077581" w:rsidRDefault="00D81433" w:rsidP="00EF0802">
      <w:pPr>
        <w:pStyle w:val="ListParagraph"/>
        <w:numPr>
          <w:ilvl w:val="0"/>
          <w:numId w:val="69"/>
        </w:numPr>
        <w:spacing w:line="360" w:lineRule="auto"/>
        <w:jc w:val="both"/>
        <w:rPr>
          <w:rFonts w:ascii="Times New Roman" w:hAnsi="Times New Roman" w:cs="Times New Roman"/>
        </w:rPr>
      </w:pPr>
      <w:r w:rsidRPr="00077581">
        <w:rPr>
          <w:rFonts w:ascii="Times New Roman" w:hAnsi="Times New Roman" w:cs="Times New Roman"/>
        </w:rPr>
        <w:t>Measuring within-subject changes over time.</w:t>
      </w:r>
    </w:p>
    <w:p w14:paraId="0A45F2D4" w14:textId="77777777" w:rsidR="00D81433" w:rsidRPr="00077581" w:rsidRDefault="00D81433" w:rsidP="00EF0802">
      <w:pPr>
        <w:pStyle w:val="ListParagraph"/>
        <w:numPr>
          <w:ilvl w:val="0"/>
          <w:numId w:val="69"/>
        </w:numPr>
        <w:spacing w:line="360" w:lineRule="auto"/>
        <w:jc w:val="both"/>
        <w:rPr>
          <w:rFonts w:ascii="Times New Roman" w:hAnsi="Times New Roman" w:cs="Times New Roman"/>
        </w:rPr>
      </w:pPr>
      <w:r w:rsidRPr="00077581">
        <w:rPr>
          <w:rFonts w:ascii="Times New Roman" w:hAnsi="Times New Roman" w:cs="Times New Roman"/>
        </w:rPr>
        <w:t>Comparing pre- and post-intervention outcomes such as awareness levels and clinical measures (e.g., blood pressure, thyroid hormone levels).</w:t>
      </w:r>
    </w:p>
    <w:p w14:paraId="38816018" w14:textId="77777777" w:rsidR="00D81433" w:rsidRPr="00077581" w:rsidRDefault="00D81433" w:rsidP="00EF0802">
      <w:pPr>
        <w:pStyle w:val="ListParagraph"/>
        <w:numPr>
          <w:ilvl w:val="0"/>
          <w:numId w:val="69"/>
        </w:numPr>
        <w:spacing w:line="360" w:lineRule="auto"/>
        <w:jc w:val="both"/>
        <w:rPr>
          <w:rFonts w:ascii="Times New Roman" w:hAnsi="Times New Roman" w:cs="Times New Roman"/>
        </w:rPr>
      </w:pPr>
      <w:r w:rsidRPr="00077581">
        <w:rPr>
          <w:rFonts w:ascii="Times New Roman" w:hAnsi="Times New Roman" w:cs="Times New Roman"/>
        </w:rPr>
        <w:t>Evaluating the practicality and efficacy of lifestyle interventions in real-world antenatal care settings.</w:t>
      </w:r>
    </w:p>
    <w:p w14:paraId="56505195" w14:textId="49D1B415" w:rsidR="00D81433" w:rsidRPr="00077581" w:rsidRDefault="00D81433" w:rsidP="00EF0802">
      <w:pPr>
        <w:spacing w:line="360" w:lineRule="auto"/>
        <w:jc w:val="both"/>
        <w:rPr>
          <w:rFonts w:ascii="Times New Roman" w:hAnsi="Times New Roman" w:cs="Times New Roman"/>
        </w:rPr>
      </w:pPr>
      <w:r w:rsidRPr="00077581">
        <w:rPr>
          <w:rFonts w:ascii="Times New Roman" w:hAnsi="Times New Roman" w:cs="Times New Roman"/>
        </w:rPr>
        <w:t xml:space="preserve">Though it lacks a randomized control group, this design is appropriate for community-based interventions </w:t>
      </w:r>
      <w:r w:rsidR="00AB47F3" w:rsidRPr="00077581">
        <w:rPr>
          <w:rFonts w:ascii="Times New Roman" w:hAnsi="Times New Roman" w:cs="Times New Roman"/>
        </w:rPr>
        <w:t>were</w:t>
      </w:r>
      <w:r w:rsidRPr="00077581">
        <w:rPr>
          <w:rFonts w:ascii="Times New Roman" w:hAnsi="Times New Roman" w:cs="Times New Roman"/>
        </w:rPr>
        <w:t xml:space="preserve"> ethical and logistical constraints limit randomization. The inclusion of validated tools, medical data, and statistical analysis strengthens the internal validity of the study outcomes.</w:t>
      </w:r>
    </w:p>
    <w:p w14:paraId="6256AB4D" w14:textId="77777777" w:rsidR="00D81433" w:rsidRPr="00077581" w:rsidRDefault="00D81433" w:rsidP="00EF0802">
      <w:pPr>
        <w:spacing w:line="360" w:lineRule="auto"/>
        <w:rPr>
          <w:rFonts w:ascii="Times New Roman" w:hAnsi="Times New Roman" w:cs="Times New Roman"/>
        </w:rPr>
      </w:pPr>
    </w:p>
    <w:p w14:paraId="31F69193" w14:textId="77777777" w:rsidR="00D81433" w:rsidRPr="00077581" w:rsidRDefault="00D81433" w:rsidP="00EF0802">
      <w:pPr>
        <w:pStyle w:val="Heading3"/>
        <w:spacing w:before="0" w:after="160" w:line="360" w:lineRule="auto"/>
        <w:jc w:val="both"/>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3.3 Research Approach</w:t>
      </w:r>
    </w:p>
    <w:p w14:paraId="5B3B7DC1" w14:textId="54938559" w:rsidR="00D81433" w:rsidRPr="00077581" w:rsidRDefault="00D81433" w:rsidP="00EF0802">
      <w:pPr>
        <w:pStyle w:val="NormalWeb"/>
        <w:spacing w:before="0" w:beforeAutospacing="0" w:after="160" w:afterAutospacing="0" w:line="360" w:lineRule="auto"/>
        <w:jc w:val="both"/>
      </w:pPr>
      <w:r w:rsidRPr="00077581">
        <w:t xml:space="preserve">This study follows a </w:t>
      </w:r>
      <w:r w:rsidRPr="00735D7C">
        <w:rPr>
          <w:rStyle w:val="Strong"/>
          <w:b w:val="0"/>
          <w:bCs w:val="0"/>
        </w:rPr>
        <w:t>quantitative research approach</w:t>
      </w:r>
      <w:r w:rsidRPr="00077581">
        <w:t>, supplemented with elements of descriptive and inferential statistical analysis. The quantitative method is appropriate for objectively measuring the impact of lifestyle modification on both awareness and clinical outcomes related to thyroid dysfunction and hypertension in pregnancy</w:t>
      </w:r>
      <w:r w:rsidR="00CC5373">
        <w:t xml:space="preserve"> </w:t>
      </w:r>
      <w:r w:rsidR="00CC5373">
        <w:fldChar w:fldCharType="begin" w:fldLock="1"/>
      </w:r>
      <w:r w:rsidR="00CC5373">
        <w:instrText>ADDIN CSL_CITATION {"citationItems":[{"id":"ITEM-1","itemData":{"DOI":"10.1016/j.trgeo.2020.100358","ISSN":"22143912","abstract":"This paper presents the results of using rigorous modeling artificial neural network and genetic algorithm to examine the proper stabilization of very weak subgrade soils at high moisture contents. The experimental database was performed in Louisiana transportation research center for four types of soft soil, 125 samples data were prepared and used in development ANN and genetic algorithm models. For two models, the input variables include eight parameters, namely cement percentage, lime percentage, PI, silt percentage, fly ash, optimum moisture content OMC, moisture content M.C, and clay percentage, the output variable includes resilient modulus for different types of stabilized subgrade. Furthermore, mathematical models were proposed to predict the resilient modulus for stabilized weak subgrade with different types of stabilizer agent such as cement, lime, and fly ash with four different subgrade soil types of different plasticity indices. Besides, the proposed models for estimating resilient modulus for stabilized subgrade were derived by an artificial neural network model and genetic algorithm. The scheme method displayed is a particular process of which resilient modulus for stabilized subgrade can be determined directly. The results show impressive due to obtain a high value for regression for sets of models; we obtained another accurate result for Mr by using Gene expression programming. Following the model design is stablished; the powers and deficiencies of the proposed models are tested by matching the resilient modulus proposed from two models with the resilient modulus extracted from experimental test concerning the R2 values. Further, in the neural network model, an exact assessment was achieved using r2 = 0.97. Genetic algorithm with a coefficient of determination (R2) of 0.95 to determine the resilient modulus of stabilized subgrade. Achievement estimation of the ANN and genetic algorithm pointed out that the theses methods were capable to predict resilient modulus of stabilized with powerful and higher efficiency and outcomes of these models was more conventional to the experimental results. Finally, sensitivity analysis of the achieved models has been performed to examine the impact of input variables on output (Mr) and determines that the cement percentage, lime percentage, fly ash percentage, PI, clay percentage, MC, OMC, and silt percentage are the powerful variables on the resilient modulus of stabilized subgrade.","author":[{"dropping-particle":"","family":"Hanandeh","given":"Shadi","non-dropping-particle":"","parse-names":false,"suffix":""},{"dropping-particle":"","family":"Ardah","given":"Allam","non-dropping-particle":"","parse-names":false,"suffix":""},{"dropping-particle":"","family":"Abu-Farsakh","given":"Murad","non-dropping-particle":"","parse-names":false,"suffix":""}],"container-title":"Transportation Geotechnics","id":"ITEM-1","issue":"February","issued":{"date-parts":[["2020"]]},"page":"100358","publisher":"Elsevier","title":"Using artificial neural network and genetics algorithm to estimate the resilient modulus for stabilized subgrade and propose new empirical formula","type":"article-journal","volume":"24"},"uris":["http://www.mendeley.com/documents/?uuid=33ef8d3b-b03a-4fc6-928e-3cfa714b0504"]}],"mendeley":{"formattedCitation":"(Hanandeh et al., 2020)","plainTextFormattedCitation":"(Hanandeh et al., 2020)","previouslyFormattedCitation":"(Hanandeh et al., 2020)"},"properties":{"noteIndex":0},"schema":"https://github.com/citation-style-language/schema/raw/master/csl-citation.json"}</w:instrText>
      </w:r>
      <w:r w:rsidR="00CC5373">
        <w:fldChar w:fldCharType="separate"/>
      </w:r>
      <w:r w:rsidR="00CC5373" w:rsidRPr="00CC5373">
        <w:rPr>
          <w:noProof/>
        </w:rPr>
        <w:t>(Hanandeh et al., 2020)</w:t>
      </w:r>
      <w:r w:rsidR="00CC5373">
        <w:fldChar w:fldCharType="end"/>
      </w:r>
      <w:r w:rsidRPr="00077581">
        <w:t>.</w:t>
      </w:r>
    </w:p>
    <w:p w14:paraId="14544EA6" w14:textId="77777777" w:rsidR="00D81433" w:rsidRPr="00077581" w:rsidRDefault="00D81433" w:rsidP="00EF0802">
      <w:pPr>
        <w:pStyle w:val="NormalWeb"/>
        <w:spacing w:before="0" w:beforeAutospacing="0" w:after="160" w:afterAutospacing="0" w:line="360" w:lineRule="auto"/>
        <w:jc w:val="both"/>
      </w:pPr>
      <w:r w:rsidRPr="00077581">
        <w:t>The approach includes:</w:t>
      </w:r>
    </w:p>
    <w:p w14:paraId="015A019D" w14:textId="77777777" w:rsidR="00D81433" w:rsidRPr="00077581" w:rsidRDefault="00D81433" w:rsidP="00EF0802">
      <w:pPr>
        <w:pStyle w:val="NormalWeb"/>
        <w:numPr>
          <w:ilvl w:val="0"/>
          <w:numId w:val="51"/>
        </w:numPr>
        <w:spacing w:before="0" w:beforeAutospacing="0" w:after="160" w:afterAutospacing="0" w:line="360" w:lineRule="auto"/>
        <w:jc w:val="both"/>
      </w:pPr>
      <w:r w:rsidRPr="00077581">
        <w:rPr>
          <w:rStyle w:val="Strong"/>
        </w:rPr>
        <w:t>Descriptive statistics</w:t>
      </w:r>
      <w:r w:rsidRPr="00077581">
        <w:t xml:space="preserve"> to summarize demographic characteristics, awareness levels, and lifestyle </w:t>
      </w:r>
      <w:proofErr w:type="spellStart"/>
      <w:r w:rsidRPr="00077581">
        <w:t>behaviors</w:t>
      </w:r>
      <w:proofErr w:type="spellEnd"/>
      <w:r w:rsidRPr="00077581">
        <w:t>.</w:t>
      </w:r>
    </w:p>
    <w:p w14:paraId="74FC8633" w14:textId="77777777" w:rsidR="00D81433" w:rsidRPr="00077581" w:rsidRDefault="00D81433" w:rsidP="00EF0802">
      <w:pPr>
        <w:pStyle w:val="NormalWeb"/>
        <w:numPr>
          <w:ilvl w:val="0"/>
          <w:numId w:val="51"/>
        </w:numPr>
        <w:spacing w:before="0" w:beforeAutospacing="0" w:after="160" w:afterAutospacing="0" w:line="360" w:lineRule="auto"/>
        <w:jc w:val="both"/>
      </w:pPr>
      <w:r w:rsidRPr="00077581">
        <w:rPr>
          <w:rStyle w:val="Strong"/>
        </w:rPr>
        <w:lastRenderedPageBreak/>
        <w:t>Inferential statistics</w:t>
      </w:r>
      <w:r w:rsidRPr="00077581">
        <w:t xml:space="preserve"> such as paired t-tests and chi-square tests to evaluate the significance of changes post-intervention and explore correlations between demographic variables and knowledge levels.</w:t>
      </w:r>
    </w:p>
    <w:p w14:paraId="16B54C24" w14:textId="77777777" w:rsidR="00D81433" w:rsidRPr="00077581" w:rsidRDefault="00D81433" w:rsidP="00EF0802">
      <w:pPr>
        <w:pStyle w:val="NormalWeb"/>
        <w:spacing w:before="0" w:beforeAutospacing="0" w:after="160" w:afterAutospacing="0" w:line="360" w:lineRule="auto"/>
        <w:jc w:val="both"/>
      </w:pPr>
      <w:r w:rsidRPr="00077581">
        <w:t xml:space="preserve">By relying on structured questionnaires, validated clinical data (e.g., TSH, BP), and pre-post assessments, this approach ensures measurable, replicable, and statistically </w:t>
      </w:r>
      <w:proofErr w:type="spellStart"/>
      <w:r w:rsidRPr="00077581">
        <w:t>analyzable</w:t>
      </w:r>
      <w:proofErr w:type="spellEnd"/>
      <w:r w:rsidRPr="00077581">
        <w:t xml:space="preserve"> outcomes. The ultimate aim is to draw generalizable conclusions about the effectiveness of lifestyle education in antenatal care settings.</w:t>
      </w:r>
    </w:p>
    <w:p w14:paraId="4436B89A" w14:textId="77777777" w:rsidR="00D81433" w:rsidRPr="00077581" w:rsidRDefault="00D81433" w:rsidP="00EF0802">
      <w:pPr>
        <w:spacing w:line="360" w:lineRule="auto"/>
        <w:jc w:val="both"/>
        <w:rPr>
          <w:rFonts w:ascii="Times New Roman" w:hAnsi="Times New Roman" w:cs="Times New Roman"/>
        </w:rPr>
      </w:pPr>
    </w:p>
    <w:p w14:paraId="0254B647" w14:textId="77777777" w:rsidR="00D81433" w:rsidRPr="00077581" w:rsidRDefault="00D81433" w:rsidP="00EF0802">
      <w:pPr>
        <w:pStyle w:val="Heading3"/>
        <w:spacing w:before="0" w:after="160" w:line="360" w:lineRule="auto"/>
        <w:jc w:val="both"/>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3.4 Research Questions</w:t>
      </w:r>
    </w:p>
    <w:p w14:paraId="06E17C77" w14:textId="77777777" w:rsidR="00D81433" w:rsidRPr="00077581" w:rsidRDefault="00D81433" w:rsidP="00EF0802">
      <w:pPr>
        <w:pStyle w:val="NormalWeb"/>
        <w:spacing w:before="0" w:beforeAutospacing="0" w:after="160" w:afterAutospacing="0" w:line="360" w:lineRule="auto"/>
        <w:jc w:val="both"/>
      </w:pPr>
      <w:r w:rsidRPr="00077581">
        <w:t>The study is guided by the following key research questions:</w:t>
      </w:r>
    </w:p>
    <w:p w14:paraId="13709D54" w14:textId="77777777" w:rsidR="00D81433" w:rsidRPr="00077581" w:rsidRDefault="00D81433" w:rsidP="00EF0802">
      <w:pPr>
        <w:pStyle w:val="NormalWeb"/>
        <w:numPr>
          <w:ilvl w:val="0"/>
          <w:numId w:val="52"/>
        </w:numPr>
        <w:spacing w:before="0" w:beforeAutospacing="0" w:after="160" w:afterAutospacing="0" w:line="360" w:lineRule="auto"/>
        <w:jc w:val="both"/>
      </w:pPr>
      <w:r w:rsidRPr="00077581">
        <w:t>What is the current level of knowledge and awareness among pregnant women regarding thyroid dysfunction and hypertensive disorders during pregnancy?</w:t>
      </w:r>
    </w:p>
    <w:p w14:paraId="62505D8C" w14:textId="77777777" w:rsidR="00D81433" w:rsidRPr="00077581" w:rsidRDefault="00D81433" w:rsidP="00EF0802">
      <w:pPr>
        <w:pStyle w:val="NormalWeb"/>
        <w:numPr>
          <w:ilvl w:val="0"/>
          <w:numId w:val="52"/>
        </w:numPr>
        <w:spacing w:before="0" w:beforeAutospacing="0" w:after="160" w:afterAutospacing="0" w:line="360" w:lineRule="auto"/>
        <w:jc w:val="both"/>
      </w:pPr>
      <w:r w:rsidRPr="00077581">
        <w:t>Is there a significant relationship between selected demographic variables (e.g., age, education, parity, income) and awareness levels about thyroid and hypertension in pregnancy?</w:t>
      </w:r>
    </w:p>
    <w:p w14:paraId="40219DBC" w14:textId="77777777" w:rsidR="00D81433" w:rsidRPr="00077581" w:rsidRDefault="00D81433" w:rsidP="00EF0802">
      <w:pPr>
        <w:pStyle w:val="NormalWeb"/>
        <w:numPr>
          <w:ilvl w:val="0"/>
          <w:numId w:val="52"/>
        </w:numPr>
        <w:spacing w:before="0" w:beforeAutospacing="0" w:after="160" w:afterAutospacing="0" w:line="360" w:lineRule="auto"/>
        <w:jc w:val="both"/>
      </w:pPr>
      <w:r w:rsidRPr="00077581">
        <w:t>What is the impact of lifestyle modifications—such as dietary changes, physical activity, and stress management—on the prevention and management of thyroid and hypertension among pregnant women?</w:t>
      </w:r>
    </w:p>
    <w:p w14:paraId="64AD1D98" w14:textId="77777777" w:rsidR="00D81433" w:rsidRPr="00077581" w:rsidRDefault="00D81433" w:rsidP="00EF0802">
      <w:pPr>
        <w:pStyle w:val="NormalWeb"/>
        <w:numPr>
          <w:ilvl w:val="0"/>
          <w:numId w:val="52"/>
        </w:numPr>
        <w:spacing w:before="0" w:beforeAutospacing="0" w:after="160" w:afterAutospacing="0" w:line="360" w:lineRule="auto"/>
        <w:jc w:val="both"/>
      </w:pPr>
      <w:r w:rsidRPr="00077581">
        <w:t>Do structured educational interventions lead to measurable improvements in physiological indicators such as blood pressure and thyroid hormone levels (TSH, T3, T4)?</w:t>
      </w:r>
    </w:p>
    <w:p w14:paraId="60554A6D" w14:textId="77777777" w:rsidR="00D81433" w:rsidRPr="00077581" w:rsidRDefault="00D81433" w:rsidP="00EF0802">
      <w:pPr>
        <w:pStyle w:val="NormalWeb"/>
        <w:numPr>
          <w:ilvl w:val="0"/>
          <w:numId w:val="52"/>
        </w:numPr>
        <w:spacing w:before="0" w:beforeAutospacing="0" w:after="160" w:afterAutospacing="0" w:line="360" w:lineRule="auto"/>
        <w:jc w:val="both"/>
      </w:pPr>
      <w:r w:rsidRPr="00077581">
        <w:t>What are the perceived barriers and facilitators to adopting lifestyle modifications during pregnancy from the perspective of the participants?</w:t>
      </w:r>
    </w:p>
    <w:p w14:paraId="43151B41" w14:textId="77777777" w:rsidR="00D81433" w:rsidRPr="00077581" w:rsidRDefault="00D81433" w:rsidP="00EF0802">
      <w:pPr>
        <w:spacing w:line="360" w:lineRule="auto"/>
        <w:rPr>
          <w:rFonts w:ascii="Times New Roman" w:hAnsi="Times New Roman" w:cs="Times New Roman"/>
        </w:rPr>
      </w:pPr>
    </w:p>
    <w:p w14:paraId="1BC3566C" w14:textId="77777777" w:rsidR="00D81433" w:rsidRPr="00077581" w:rsidRDefault="00D81433" w:rsidP="00EF0802">
      <w:pPr>
        <w:pStyle w:val="Heading3"/>
        <w:spacing w:before="0" w:after="160" w:line="360" w:lineRule="auto"/>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3.5 Hypotheses</w:t>
      </w:r>
    </w:p>
    <w:p w14:paraId="2FD71D7D" w14:textId="77777777" w:rsidR="00D81433" w:rsidRPr="00077581" w:rsidRDefault="00D81433" w:rsidP="00EF0802">
      <w:pPr>
        <w:pStyle w:val="NormalWeb"/>
        <w:spacing w:before="0" w:beforeAutospacing="0" w:after="160" w:afterAutospacing="0" w:line="360" w:lineRule="auto"/>
        <w:jc w:val="both"/>
      </w:pPr>
      <w:r w:rsidRPr="00077581">
        <w:t>Based on the objectives and research questions, the following hypotheses have been formulated to statistically test the effectiveness of lifestyle modification in improving awareness and managing thyroid dysfunction and hypertension among pregnant women:</w:t>
      </w:r>
    </w:p>
    <w:p w14:paraId="6A931D59" w14:textId="77777777" w:rsidR="00D81433" w:rsidRPr="00077581" w:rsidRDefault="00D81433" w:rsidP="00EF0802">
      <w:pPr>
        <w:pStyle w:val="Heading4"/>
        <w:spacing w:before="0" w:after="160" w:line="360" w:lineRule="auto"/>
        <w:jc w:val="both"/>
        <w:rPr>
          <w:rFonts w:ascii="Times New Roman" w:hAnsi="Times New Roman" w:cs="Times New Roman"/>
          <w:color w:val="auto"/>
        </w:rPr>
      </w:pPr>
      <w:r w:rsidRPr="00077581">
        <w:rPr>
          <w:rStyle w:val="Strong"/>
          <w:rFonts w:ascii="Times New Roman" w:hAnsi="Times New Roman" w:cs="Times New Roman"/>
          <w:color w:val="auto"/>
        </w:rPr>
        <w:lastRenderedPageBreak/>
        <w:t>Hypothesis 1 (H1): Awareness Improvement</w:t>
      </w:r>
    </w:p>
    <w:p w14:paraId="28D9D07A" w14:textId="77777777" w:rsidR="00D81433" w:rsidRPr="00077581" w:rsidRDefault="00D81433" w:rsidP="00EF0802">
      <w:pPr>
        <w:pStyle w:val="NormalWeb"/>
        <w:numPr>
          <w:ilvl w:val="0"/>
          <w:numId w:val="54"/>
        </w:numPr>
        <w:spacing w:before="0" w:beforeAutospacing="0" w:after="160" w:afterAutospacing="0" w:line="360" w:lineRule="auto"/>
        <w:jc w:val="both"/>
      </w:pPr>
      <w:r w:rsidRPr="00077581">
        <w:rPr>
          <w:rStyle w:val="Strong"/>
        </w:rPr>
        <w:t>Null Hypothesis (H01):</w:t>
      </w:r>
      <w:r w:rsidRPr="00077581">
        <w:t xml:space="preserve"> There is no significant difference in the awareness scores of pregnant women regarding the prevention and management of thyroid and hypertension before and after the intervention.</w:t>
      </w:r>
    </w:p>
    <w:p w14:paraId="471F9670" w14:textId="77777777" w:rsidR="00D81433" w:rsidRPr="00077581" w:rsidRDefault="00D81433" w:rsidP="00EF0802">
      <w:pPr>
        <w:pStyle w:val="NormalWeb"/>
        <w:numPr>
          <w:ilvl w:val="0"/>
          <w:numId w:val="54"/>
        </w:numPr>
        <w:spacing w:before="0" w:beforeAutospacing="0" w:after="160" w:afterAutospacing="0" w:line="360" w:lineRule="auto"/>
        <w:jc w:val="both"/>
      </w:pPr>
      <w:r w:rsidRPr="00077581">
        <w:rPr>
          <w:rStyle w:val="Strong"/>
        </w:rPr>
        <w:t>Alternative Hypothesis (HA1):</w:t>
      </w:r>
      <w:r w:rsidRPr="00077581">
        <w:t xml:space="preserve"> There is a significant difference in the awareness scores of pregnant women regarding the prevention and management of thyroid and hypertension before and after the intervention.</w:t>
      </w:r>
    </w:p>
    <w:p w14:paraId="21DB106B" w14:textId="77777777" w:rsidR="00D81433" w:rsidRPr="00077581" w:rsidRDefault="00D81433" w:rsidP="00EF0802">
      <w:pPr>
        <w:pStyle w:val="NormalWeb"/>
        <w:spacing w:before="0" w:beforeAutospacing="0" w:after="160" w:afterAutospacing="0" w:line="360" w:lineRule="auto"/>
        <w:jc w:val="both"/>
      </w:pPr>
      <w:r w:rsidRPr="00077581">
        <w:rPr>
          <w:rStyle w:val="Emphasis"/>
        </w:rPr>
        <w:t>Statistical Test Used:</w:t>
      </w:r>
      <w:r w:rsidRPr="00077581">
        <w:t xml:space="preserve"> Paired Sample t-Test</w:t>
      </w:r>
    </w:p>
    <w:p w14:paraId="7C7AD360" w14:textId="77777777" w:rsidR="00D81433" w:rsidRPr="00077581" w:rsidRDefault="00D81433" w:rsidP="00EF0802">
      <w:pPr>
        <w:pStyle w:val="Heading4"/>
        <w:spacing w:before="0" w:after="160" w:line="360" w:lineRule="auto"/>
        <w:jc w:val="both"/>
        <w:rPr>
          <w:rFonts w:ascii="Times New Roman" w:hAnsi="Times New Roman" w:cs="Times New Roman"/>
          <w:color w:val="auto"/>
        </w:rPr>
      </w:pPr>
      <w:r w:rsidRPr="00077581">
        <w:rPr>
          <w:rStyle w:val="Strong"/>
          <w:rFonts w:ascii="Times New Roman" w:hAnsi="Times New Roman" w:cs="Times New Roman"/>
          <w:color w:val="auto"/>
        </w:rPr>
        <w:t>Hypothesis 2 (H2): Demographic Association</w:t>
      </w:r>
    </w:p>
    <w:p w14:paraId="0F0BFACC" w14:textId="77777777" w:rsidR="00D81433" w:rsidRPr="00077581" w:rsidRDefault="00D81433" w:rsidP="00EF0802">
      <w:pPr>
        <w:pStyle w:val="NormalWeb"/>
        <w:numPr>
          <w:ilvl w:val="0"/>
          <w:numId w:val="55"/>
        </w:numPr>
        <w:spacing w:before="0" w:beforeAutospacing="0" w:after="160" w:afterAutospacing="0" w:line="360" w:lineRule="auto"/>
        <w:jc w:val="both"/>
      </w:pPr>
      <w:r w:rsidRPr="00077581">
        <w:rPr>
          <w:rStyle w:val="Strong"/>
        </w:rPr>
        <w:t>Null Hypothesis (H02):</w:t>
      </w:r>
      <w:r w:rsidRPr="00077581">
        <w:t xml:space="preserve"> There is no statistically significant association between the selected demographic variables (age, education, parity, income, etc.) and awareness level regarding thyroid and hypertension among pregnant women.</w:t>
      </w:r>
    </w:p>
    <w:p w14:paraId="59A10D65" w14:textId="77777777" w:rsidR="00D81433" w:rsidRPr="00077581" w:rsidRDefault="00D81433" w:rsidP="00EF0802">
      <w:pPr>
        <w:pStyle w:val="NormalWeb"/>
        <w:numPr>
          <w:ilvl w:val="0"/>
          <w:numId w:val="55"/>
        </w:numPr>
        <w:spacing w:before="0" w:beforeAutospacing="0" w:after="160" w:afterAutospacing="0" w:line="360" w:lineRule="auto"/>
        <w:jc w:val="both"/>
      </w:pPr>
      <w:r w:rsidRPr="00077581">
        <w:rPr>
          <w:rStyle w:val="Strong"/>
        </w:rPr>
        <w:t>Alternative Hypothesis (HA2):</w:t>
      </w:r>
      <w:r w:rsidRPr="00077581">
        <w:t xml:space="preserve"> There is a statistically significant association between the selected demographic variables and awareness level regarding thyroid and hypertension among pregnant women.</w:t>
      </w:r>
    </w:p>
    <w:p w14:paraId="128BB8C1" w14:textId="77777777" w:rsidR="00D81433" w:rsidRPr="00077581" w:rsidRDefault="00D81433" w:rsidP="00EF0802">
      <w:pPr>
        <w:pStyle w:val="NormalWeb"/>
        <w:spacing w:before="0" w:beforeAutospacing="0" w:after="160" w:afterAutospacing="0" w:line="360" w:lineRule="auto"/>
        <w:jc w:val="both"/>
      </w:pPr>
      <w:r w:rsidRPr="00077581">
        <w:rPr>
          <w:rStyle w:val="Emphasis"/>
        </w:rPr>
        <w:t>Statistical Test Used:</w:t>
      </w:r>
      <w:r w:rsidRPr="00077581">
        <w:t xml:space="preserve"> Chi-square Test of Independence</w:t>
      </w:r>
    </w:p>
    <w:p w14:paraId="28D745F5" w14:textId="77777777" w:rsidR="00D81433" w:rsidRPr="00077581" w:rsidRDefault="00D81433" w:rsidP="00EF0802">
      <w:pPr>
        <w:pStyle w:val="Heading4"/>
        <w:spacing w:before="0" w:after="160" w:line="360" w:lineRule="auto"/>
        <w:jc w:val="both"/>
        <w:rPr>
          <w:rFonts w:ascii="Times New Roman" w:hAnsi="Times New Roman" w:cs="Times New Roman"/>
          <w:color w:val="auto"/>
        </w:rPr>
      </w:pPr>
      <w:r w:rsidRPr="00077581">
        <w:rPr>
          <w:rStyle w:val="Strong"/>
          <w:rFonts w:ascii="Times New Roman" w:hAnsi="Times New Roman" w:cs="Times New Roman"/>
          <w:color w:val="auto"/>
        </w:rPr>
        <w:t xml:space="preserve">Hypothesis 3 (H3): Lifestyle </w:t>
      </w:r>
      <w:proofErr w:type="spellStart"/>
      <w:r w:rsidRPr="00077581">
        <w:rPr>
          <w:rStyle w:val="Strong"/>
          <w:rFonts w:ascii="Times New Roman" w:hAnsi="Times New Roman" w:cs="Times New Roman"/>
          <w:color w:val="auto"/>
        </w:rPr>
        <w:t>Behavior</w:t>
      </w:r>
      <w:proofErr w:type="spellEnd"/>
      <w:r w:rsidRPr="00077581">
        <w:rPr>
          <w:rStyle w:val="Strong"/>
          <w:rFonts w:ascii="Times New Roman" w:hAnsi="Times New Roman" w:cs="Times New Roman"/>
          <w:color w:val="auto"/>
        </w:rPr>
        <w:t xml:space="preserve"> Change</w:t>
      </w:r>
    </w:p>
    <w:p w14:paraId="65A37FF9" w14:textId="77777777" w:rsidR="00D81433" w:rsidRPr="00077581" w:rsidRDefault="00D81433" w:rsidP="00EF0802">
      <w:pPr>
        <w:pStyle w:val="NormalWeb"/>
        <w:numPr>
          <w:ilvl w:val="0"/>
          <w:numId w:val="56"/>
        </w:numPr>
        <w:spacing w:before="0" w:beforeAutospacing="0" w:after="160" w:afterAutospacing="0" w:line="360" w:lineRule="auto"/>
        <w:jc w:val="both"/>
      </w:pPr>
      <w:r w:rsidRPr="00077581">
        <w:rPr>
          <w:rStyle w:val="Strong"/>
        </w:rPr>
        <w:t>Null Hypothesis (H03):</w:t>
      </w:r>
      <w:r w:rsidRPr="00077581">
        <w:t xml:space="preserve"> There is no significant difference in the lifestyle practices of pregnant women before and after the intervention.</w:t>
      </w:r>
    </w:p>
    <w:p w14:paraId="4C716798" w14:textId="77777777" w:rsidR="00D81433" w:rsidRPr="00077581" w:rsidRDefault="00D81433" w:rsidP="00EF0802">
      <w:pPr>
        <w:pStyle w:val="NormalWeb"/>
        <w:numPr>
          <w:ilvl w:val="0"/>
          <w:numId w:val="56"/>
        </w:numPr>
        <w:spacing w:before="0" w:beforeAutospacing="0" w:after="160" w:afterAutospacing="0" w:line="360" w:lineRule="auto"/>
        <w:jc w:val="both"/>
      </w:pPr>
      <w:r w:rsidRPr="00077581">
        <w:rPr>
          <w:rStyle w:val="Strong"/>
        </w:rPr>
        <w:t>Alternative Hypothesis (HA3):</w:t>
      </w:r>
      <w:r w:rsidRPr="00077581">
        <w:t xml:space="preserve"> There is a significant difference in the lifestyle practices of pregnant women before and after the intervention.</w:t>
      </w:r>
    </w:p>
    <w:p w14:paraId="35A020E4" w14:textId="77777777" w:rsidR="00D81433" w:rsidRPr="00077581" w:rsidRDefault="00D81433" w:rsidP="00EF0802">
      <w:pPr>
        <w:pStyle w:val="NormalWeb"/>
        <w:spacing w:before="0" w:beforeAutospacing="0" w:after="160" w:afterAutospacing="0" w:line="360" w:lineRule="auto"/>
        <w:jc w:val="both"/>
      </w:pPr>
      <w:r w:rsidRPr="00077581">
        <w:rPr>
          <w:rStyle w:val="Emphasis"/>
        </w:rPr>
        <w:t>Statistical Tests Used:</w:t>
      </w:r>
      <w:r w:rsidRPr="00077581">
        <w:t xml:space="preserve"> Wilcoxon Signed-Rank Test and McNemar’s Test (for ordinal and binary lifestyle </w:t>
      </w:r>
      <w:proofErr w:type="spellStart"/>
      <w:r w:rsidRPr="00077581">
        <w:t>behavior</w:t>
      </w:r>
      <w:proofErr w:type="spellEnd"/>
      <w:r w:rsidRPr="00077581">
        <w:t xml:space="preserve"> data)</w:t>
      </w:r>
    </w:p>
    <w:p w14:paraId="240D1542" w14:textId="77777777" w:rsidR="00D81433" w:rsidRPr="00077581" w:rsidRDefault="00D81433" w:rsidP="00EF0802">
      <w:pPr>
        <w:pStyle w:val="Heading4"/>
        <w:spacing w:before="0" w:after="160" w:line="360" w:lineRule="auto"/>
        <w:jc w:val="both"/>
        <w:rPr>
          <w:rFonts w:ascii="Times New Roman" w:hAnsi="Times New Roman" w:cs="Times New Roman"/>
          <w:color w:val="auto"/>
        </w:rPr>
      </w:pPr>
      <w:r w:rsidRPr="00077581">
        <w:rPr>
          <w:rStyle w:val="Strong"/>
          <w:rFonts w:ascii="Times New Roman" w:hAnsi="Times New Roman" w:cs="Times New Roman"/>
          <w:color w:val="auto"/>
        </w:rPr>
        <w:t>Hypothesis 4 (H4): Effectiveness of Education</w:t>
      </w:r>
    </w:p>
    <w:p w14:paraId="24F54844" w14:textId="77777777" w:rsidR="00D81433" w:rsidRPr="00077581" w:rsidRDefault="00D81433" w:rsidP="00EF0802">
      <w:pPr>
        <w:pStyle w:val="NormalWeb"/>
        <w:numPr>
          <w:ilvl w:val="0"/>
          <w:numId w:val="57"/>
        </w:numPr>
        <w:spacing w:before="0" w:beforeAutospacing="0" w:after="160" w:afterAutospacing="0" w:line="360" w:lineRule="auto"/>
        <w:jc w:val="both"/>
      </w:pPr>
      <w:r w:rsidRPr="00077581">
        <w:rPr>
          <w:rStyle w:val="Strong"/>
        </w:rPr>
        <w:t>Null Hypothesis (H04):</w:t>
      </w:r>
      <w:r w:rsidRPr="00077581">
        <w:t xml:space="preserve"> There is no significant impact of educating and making pregnant women aware of lifestyle modifications on the prevention and management of thyroid and hypertension.</w:t>
      </w:r>
    </w:p>
    <w:p w14:paraId="70E21086" w14:textId="77777777" w:rsidR="00D81433" w:rsidRPr="00077581" w:rsidRDefault="00D81433" w:rsidP="00EF0802">
      <w:pPr>
        <w:pStyle w:val="NormalWeb"/>
        <w:numPr>
          <w:ilvl w:val="0"/>
          <w:numId w:val="57"/>
        </w:numPr>
        <w:spacing w:before="0" w:beforeAutospacing="0" w:after="160" w:afterAutospacing="0" w:line="360" w:lineRule="auto"/>
        <w:jc w:val="both"/>
      </w:pPr>
      <w:r w:rsidRPr="00077581">
        <w:rPr>
          <w:rStyle w:val="Strong"/>
        </w:rPr>
        <w:lastRenderedPageBreak/>
        <w:t>Alternative Hypothesis (HA4):</w:t>
      </w:r>
      <w:r w:rsidRPr="00077581">
        <w:t xml:space="preserve"> Educating and making pregnant women aware of lifestyle modifications has a significant impact on the prevention and management of thyroid and hypertension.</w:t>
      </w:r>
    </w:p>
    <w:p w14:paraId="2BA0CAE2" w14:textId="77777777" w:rsidR="00D81433" w:rsidRPr="00077581" w:rsidRDefault="00D81433" w:rsidP="00EF0802">
      <w:pPr>
        <w:pStyle w:val="NormalWeb"/>
        <w:spacing w:before="0" w:beforeAutospacing="0" w:after="160" w:afterAutospacing="0" w:line="360" w:lineRule="auto"/>
        <w:jc w:val="both"/>
      </w:pPr>
      <w:r w:rsidRPr="00077581">
        <w:rPr>
          <w:rStyle w:val="Emphasis"/>
        </w:rPr>
        <w:t>Statistical Tests Used:</w:t>
      </w:r>
      <w:r w:rsidRPr="00077581">
        <w:t xml:space="preserve"> Wilcoxon Signed-Rank Test, McNemar’s Test, and comparison of pre- and post-clinical outcomes (e.g., BP, TSH levels)</w:t>
      </w:r>
    </w:p>
    <w:p w14:paraId="529410A6" w14:textId="77777777" w:rsidR="00D81433" w:rsidRPr="00077581" w:rsidRDefault="00D81433" w:rsidP="00EF0802">
      <w:pPr>
        <w:pStyle w:val="NormalWeb"/>
        <w:spacing w:before="0" w:beforeAutospacing="0" w:after="160" w:afterAutospacing="0" w:line="360" w:lineRule="auto"/>
      </w:pPr>
    </w:p>
    <w:p w14:paraId="154F9443" w14:textId="77777777" w:rsidR="00D81433" w:rsidRPr="00077581" w:rsidRDefault="00D81433" w:rsidP="00EF0802">
      <w:pPr>
        <w:pStyle w:val="Heading3"/>
        <w:spacing w:before="0" w:after="160" w:line="360" w:lineRule="auto"/>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3.6 Study Setting</w:t>
      </w:r>
    </w:p>
    <w:p w14:paraId="28F78DA8" w14:textId="279A7245" w:rsidR="00D81433" w:rsidRPr="00077581" w:rsidRDefault="00D81433" w:rsidP="00EF0802">
      <w:pPr>
        <w:pStyle w:val="NormalWeb"/>
        <w:spacing w:before="0" w:beforeAutospacing="0" w:after="160" w:afterAutospacing="0" w:line="360" w:lineRule="auto"/>
        <w:jc w:val="both"/>
      </w:pPr>
      <w:r w:rsidRPr="00077581">
        <w:t xml:space="preserve">The study was conducted in selected antenatal care </w:t>
      </w:r>
      <w:r w:rsidR="002F1224" w:rsidRPr="00077581">
        <w:t>centres</w:t>
      </w:r>
      <w:r w:rsidRPr="00077581">
        <w:t xml:space="preserve"> and maternity clinics located in urban and semi-urban areas of </w:t>
      </w:r>
      <w:r w:rsidR="00B2356D">
        <w:t>Delhi, NCR</w:t>
      </w:r>
      <w:r w:rsidRPr="00077581">
        <w:t>. These healthcare facilities were chosen based on their accessibility, availability of a diverse group of pregnant women, and cooperation from healthcare staff to support the intervention and data collection process.</w:t>
      </w:r>
    </w:p>
    <w:p w14:paraId="3C022C2A" w14:textId="77777777" w:rsidR="00D81433" w:rsidRPr="00077581" w:rsidRDefault="00D81433" w:rsidP="00EF0802">
      <w:pPr>
        <w:pStyle w:val="NormalWeb"/>
        <w:spacing w:before="0" w:beforeAutospacing="0" w:after="160" w:afterAutospacing="0" w:line="360" w:lineRule="auto"/>
        <w:jc w:val="both"/>
      </w:pPr>
      <w:r w:rsidRPr="00077581">
        <w:t>The setting provided an appropriate environment for:</w:t>
      </w:r>
    </w:p>
    <w:p w14:paraId="3A6521B2" w14:textId="77777777" w:rsidR="00D81433" w:rsidRPr="00077581" w:rsidRDefault="00D81433" w:rsidP="00EF0802">
      <w:pPr>
        <w:pStyle w:val="NormalWeb"/>
        <w:numPr>
          <w:ilvl w:val="0"/>
          <w:numId w:val="58"/>
        </w:numPr>
        <w:spacing w:before="0" w:beforeAutospacing="0" w:after="160" w:afterAutospacing="0" w:line="360" w:lineRule="auto"/>
        <w:jc w:val="both"/>
      </w:pPr>
      <w:r w:rsidRPr="00077581">
        <w:t xml:space="preserve">Conducting educational sessions and lifestyle </w:t>
      </w:r>
      <w:proofErr w:type="spellStart"/>
      <w:r w:rsidRPr="00077581">
        <w:t>counseling</w:t>
      </w:r>
      <w:proofErr w:type="spellEnd"/>
      <w:r w:rsidRPr="00077581">
        <w:t>.</w:t>
      </w:r>
    </w:p>
    <w:p w14:paraId="54CA8CB8" w14:textId="77777777" w:rsidR="00D81433" w:rsidRPr="00077581" w:rsidRDefault="00D81433" w:rsidP="00EF0802">
      <w:pPr>
        <w:pStyle w:val="NormalWeb"/>
        <w:numPr>
          <w:ilvl w:val="0"/>
          <w:numId w:val="58"/>
        </w:numPr>
        <w:spacing w:before="0" w:beforeAutospacing="0" w:after="160" w:afterAutospacing="0" w:line="360" w:lineRule="auto"/>
        <w:jc w:val="both"/>
      </w:pPr>
      <w:r w:rsidRPr="00077581">
        <w:t>Collecting clinical and self-reported data from participants.</w:t>
      </w:r>
    </w:p>
    <w:p w14:paraId="79854DA0" w14:textId="77777777" w:rsidR="00D81433" w:rsidRPr="00077581" w:rsidRDefault="00D81433" w:rsidP="00EF0802">
      <w:pPr>
        <w:pStyle w:val="NormalWeb"/>
        <w:numPr>
          <w:ilvl w:val="0"/>
          <w:numId w:val="58"/>
        </w:numPr>
        <w:spacing w:before="0" w:beforeAutospacing="0" w:after="160" w:afterAutospacing="0" w:line="360" w:lineRule="auto"/>
        <w:jc w:val="both"/>
      </w:pPr>
      <w:r w:rsidRPr="00077581">
        <w:t xml:space="preserve">Ensuring follow-up for post-test assessments and monitoring changes in awareness, </w:t>
      </w:r>
      <w:proofErr w:type="spellStart"/>
      <w:r w:rsidRPr="00077581">
        <w:t>behavior</w:t>
      </w:r>
      <w:proofErr w:type="spellEnd"/>
      <w:r w:rsidRPr="00077581">
        <w:t>, and clinical indicators such as blood pressure and thyroid hormone levels (TSH, T3, T4).</w:t>
      </w:r>
    </w:p>
    <w:p w14:paraId="09FFEAB7" w14:textId="77777777" w:rsidR="00D81433" w:rsidRPr="00077581" w:rsidRDefault="00D81433" w:rsidP="00EF0802">
      <w:pPr>
        <w:pStyle w:val="NormalWeb"/>
        <w:spacing w:before="0" w:beforeAutospacing="0" w:after="160" w:afterAutospacing="0" w:line="360" w:lineRule="auto"/>
        <w:jc w:val="both"/>
      </w:pPr>
      <w:r w:rsidRPr="00077581">
        <w:t xml:space="preserve">The selection of multiple </w:t>
      </w:r>
      <w:proofErr w:type="spellStart"/>
      <w:r w:rsidRPr="00077581">
        <w:t>centers</w:t>
      </w:r>
      <w:proofErr w:type="spellEnd"/>
      <w:r w:rsidRPr="00077581">
        <w:t xml:space="preserve"> aimed to enhance the representativeness of the sample and capture variability in socio-demographic factors, such as education, income, and residential background (urban, semi-urban, and rural).</w:t>
      </w:r>
    </w:p>
    <w:p w14:paraId="39DC1E10" w14:textId="77777777" w:rsidR="00D81433" w:rsidRPr="00077581" w:rsidRDefault="00D81433" w:rsidP="00EF0802">
      <w:pPr>
        <w:spacing w:line="360" w:lineRule="auto"/>
        <w:rPr>
          <w:rFonts w:ascii="Times New Roman" w:hAnsi="Times New Roman" w:cs="Times New Roman"/>
        </w:rPr>
      </w:pPr>
    </w:p>
    <w:p w14:paraId="4C7A0C66" w14:textId="77777777" w:rsidR="00D81433" w:rsidRPr="00077581" w:rsidRDefault="00D81433" w:rsidP="00EF0802">
      <w:pPr>
        <w:pStyle w:val="Heading3"/>
        <w:spacing w:before="0" w:after="160" w:line="360" w:lineRule="auto"/>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3.7 Population and Sampling</w:t>
      </w:r>
    </w:p>
    <w:p w14:paraId="013A94ED" w14:textId="77777777" w:rsidR="00D81433" w:rsidRPr="00077581" w:rsidRDefault="00D81433" w:rsidP="00EF0802">
      <w:pPr>
        <w:pStyle w:val="Heading4"/>
        <w:spacing w:before="0" w:after="160" w:line="360" w:lineRule="auto"/>
        <w:jc w:val="both"/>
        <w:rPr>
          <w:rFonts w:ascii="Times New Roman" w:hAnsi="Times New Roman" w:cs="Times New Roman"/>
          <w:color w:val="auto"/>
        </w:rPr>
      </w:pPr>
      <w:r w:rsidRPr="00077581">
        <w:rPr>
          <w:rStyle w:val="Strong"/>
          <w:rFonts w:ascii="Times New Roman" w:hAnsi="Times New Roman" w:cs="Times New Roman"/>
          <w:color w:val="auto"/>
        </w:rPr>
        <w:t>Target Population</w:t>
      </w:r>
    </w:p>
    <w:p w14:paraId="3F7002D8" w14:textId="77777777" w:rsidR="00D81433" w:rsidRPr="00077581" w:rsidRDefault="00D81433" w:rsidP="00EF0802">
      <w:pPr>
        <w:pStyle w:val="NormalWeb"/>
        <w:spacing w:before="0" w:beforeAutospacing="0" w:after="160" w:afterAutospacing="0" w:line="360" w:lineRule="auto"/>
        <w:jc w:val="both"/>
      </w:pPr>
      <w:r w:rsidRPr="00077581">
        <w:t xml:space="preserve">The target population for this study included </w:t>
      </w:r>
      <w:r w:rsidRPr="00F874FF">
        <w:rPr>
          <w:rStyle w:val="Strong"/>
          <w:b w:val="0"/>
          <w:bCs w:val="0"/>
        </w:rPr>
        <w:t>pregnant women aged 18 to 40 years</w:t>
      </w:r>
      <w:r w:rsidRPr="00077581">
        <w:t xml:space="preserve"> attending antenatal clinics at the selected healthcare </w:t>
      </w:r>
      <w:proofErr w:type="spellStart"/>
      <w:r w:rsidRPr="00077581">
        <w:t>centers</w:t>
      </w:r>
      <w:proofErr w:type="spellEnd"/>
      <w:r w:rsidRPr="00077581">
        <w:t>. The population specifically consisted of those:</w:t>
      </w:r>
    </w:p>
    <w:p w14:paraId="4729DB88" w14:textId="77777777" w:rsidR="00D81433" w:rsidRPr="00077581" w:rsidRDefault="00D81433" w:rsidP="00EF0802">
      <w:pPr>
        <w:pStyle w:val="NormalWeb"/>
        <w:numPr>
          <w:ilvl w:val="0"/>
          <w:numId w:val="59"/>
        </w:numPr>
        <w:spacing w:before="0" w:beforeAutospacing="0" w:after="160" w:afterAutospacing="0" w:line="360" w:lineRule="auto"/>
        <w:jc w:val="both"/>
      </w:pPr>
      <w:r w:rsidRPr="00077581">
        <w:t>At risk of or diagnosed with thyroid dysfunction or hypertension.</w:t>
      </w:r>
    </w:p>
    <w:p w14:paraId="2BD7C527" w14:textId="77777777" w:rsidR="00D81433" w:rsidRPr="00077581" w:rsidRDefault="00D81433" w:rsidP="00EF0802">
      <w:pPr>
        <w:pStyle w:val="NormalWeb"/>
        <w:numPr>
          <w:ilvl w:val="0"/>
          <w:numId w:val="59"/>
        </w:numPr>
        <w:spacing w:before="0" w:beforeAutospacing="0" w:after="160" w:afterAutospacing="0" w:line="360" w:lineRule="auto"/>
        <w:jc w:val="both"/>
      </w:pPr>
      <w:r w:rsidRPr="00077581">
        <w:lastRenderedPageBreak/>
        <w:t>Willing to participate in a lifestyle modification intervention program.</w:t>
      </w:r>
    </w:p>
    <w:p w14:paraId="0FB32D5B" w14:textId="77777777" w:rsidR="00D81433" w:rsidRPr="00077581" w:rsidRDefault="00D81433" w:rsidP="00EF0802">
      <w:pPr>
        <w:pStyle w:val="Heading4"/>
        <w:spacing w:before="0" w:after="160" w:line="360" w:lineRule="auto"/>
        <w:jc w:val="both"/>
        <w:rPr>
          <w:rFonts w:ascii="Times New Roman" w:hAnsi="Times New Roman" w:cs="Times New Roman"/>
          <w:color w:val="auto"/>
        </w:rPr>
      </w:pPr>
      <w:r w:rsidRPr="00077581">
        <w:rPr>
          <w:rStyle w:val="Strong"/>
          <w:rFonts w:ascii="Times New Roman" w:hAnsi="Times New Roman" w:cs="Times New Roman"/>
          <w:color w:val="auto"/>
        </w:rPr>
        <w:t>Sample Size</w:t>
      </w:r>
    </w:p>
    <w:p w14:paraId="67DFBAC5" w14:textId="796013DA" w:rsidR="00D81433" w:rsidRPr="00077581" w:rsidRDefault="00D81433" w:rsidP="00EF0802">
      <w:pPr>
        <w:pStyle w:val="NormalWeb"/>
        <w:spacing w:before="0" w:beforeAutospacing="0" w:after="160" w:afterAutospacing="0" w:line="360" w:lineRule="auto"/>
        <w:jc w:val="both"/>
      </w:pPr>
      <w:r w:rsidRPr="00077581">
        <w:t xml:space="preserve">A total of </w:t>
      </w:r>
      <w:r w:rsidRPr="00F874FF">
        <w:rPr>
          <w:rStyle w:val="Strong"/>
          <w:b w:val="0"/>
          <w:bCs w:val="0"/>
        </w:rPr>
        <w:t>200 pregnant women</w:t>
      </w:r>
      <w:r w:rsidRPr="00077581">
        <w:t xml:space="preserve"> were selected based on inclusion and exclusion criteria. The sample size was determined to ensure sufficient statistical power for detecting significant changes between pre- and post-intervention assessments</w:t>
      </w:r>
      <w:r w:rsidR="00CC5373">
        <w:t xml:space="preserve"> </w:t>
      </w:r>
      <w:r w:rsidR="00CC5373">
        <w:fldChar w:fldCharType="begin" w:fldLock="1"/>
      </w:r>
      <w:r w:rsidR="00CC5373">
        <w:instrText>ADDIN CSL_CITATION {"citationItems":[{"id":"ITEM-1","itemData":{"DOI":"10.1080/23311975.2024.2302796","ISSN":"23311975","abstract":"After the pandemic, there has still been an increased interest in examining university students’ entrepreneurial goals. In this study, we looked at the practicality and validity of using self-efficacy to broaden the theory of planned behavior (TPB) in assessing students’ intent to be entrepreneurs. Additionally, we looked at how students’ geographic location and gender affected their plans to start their businesses. Following the epidemic, we analyzed data obtained from a number of university students in both urban and rural regions of India using PLS-SEM and ANN methods. Our study confirmed the pivotal role that university students’ self-efficacy had in their entrepreneurial goals. The results of multi-group analysis (MGA) reported the insignificant moderating role of gender for the students’ entrepreneurial intentions. Still, they found a statistically significant difference in their said behavior control for entrepreneurial intentions regarding location. Based on their perceived behavioral control, the findings also suggest that youths in rural areas had lower entrepreneurial inclinations than urban students. The study indicated that considering the importance of student self-efficacy, universities should focus on improving students’ skill sets and problem-solving mindsets while constructing education courses.","author":[{"dropping-particle":"","family":"Chahal","given":"Jyoti","non-dropping-particle":"","parse-names":false,"suffix":""},{"dropping-particle":"","family":"Shoukat","given":"Muhammad Haroon","non-dropping-particle":"","parse-names":false,"suffix":""},{"dropping-particle":"","family":"Massoud","given":"Hiba K.","non-dropping-particle":"","parse-names":false,"suffix":""},{"dropping-particle":"","family":"Ayoubi","given":"Rami M.","non-dropping-particle":"","parse-names":false,"suffix":""}],"container-title":"Cogent Business and Management","id":"ITEM-1","issue":"1","issued":{"date-parts":[["2024"]]},"page":"-","publisher":"Cogent","title":"Analysing the impact of post-pandemic factors on entrepreneurial intentions: the enduring significance of self-efficacy in student planned behaviour","type":"article-journal","volume":"11"},"uris":["http://www.mendeley.com/documents/?uuid=b39cf3ad-e419-4b64-a3f6-881e9e70a7dd"]}],"mendeley":{"formattedCitation":"(Chahal et al., 2024)","plainTextFormattedCitation":"(Chahal et al., 2024)","previouslyFormattedCitation":"(Chahal et al., 2024)"},"properties":{"noteIndex":0},"schema":"https://github.com/citation-style-language/schema/raw/master/csl-citation.json"}</w:instrText>
      </w:r>
      <w:r w:rsidR="00CC5373">
        <w:fldChar w:fldCharType="separate"/>
      </w:r>
      <w:r w:rsidR="00CC5373" w:rsidRPr="00CC5373">
        <w:rPr>
          <w:noProof/>
        </w:rPr>
        <w:t>(Chahal et al., 2024)</w:t>
      </w:r>
      <w:r w:rsidR="00CC5373">
        <w:fldChar w:fldCharType="end"/>
      </w:r>
      <w:r w:rsidRPr="00077581">
        <w:t>.</w:t>
      </w:r>
    </w:p>
    <w:p w14:paraId="0D0D190C" w14:textId="77777777" w:rsidR="00D81433" w:rsidRPr="00077581" w:rsidRDefault="00D81433" w:rsidP="00EF0802">
      <w:pPr>
        <w:pStyle w:val="Heading4"/>
        <w:spacing w:before="0" w:after="160" w:line="360" w:lineRule="auto"/>
        <w:jc w:val="both"/>
        <w:rPr>
          <w:rFonts w:ascii="Times New Roman" w:hAnsi="Times New Roman" w:cs="Times New Roman"/>
          <w:color w:val="auto"/>
        </w:rPr>
      </w:pPr>
      <w:r w:rsidRPr="00077581">
        <w:rPr>
          <w:rStyle w:val="Strong"/>
          <w:rFonts w:ascii="Times New Roman" w:hAnsi="Times New Roman" w:cs="Times New Roman"/>
          <w:color w:val="auto"/>
        </w:rPr>
        <w:t>Sampling Technique</w:t>
      </w:r>
    </w:p>
    <w:p w14:paraId="4A86900A" w14:textId="01132BD2" w:rsidR="00D81433" w:rsidRPr="00077581" w:rsidRDefault="00D81433" w:rsidP="00EF0802">
      <w:pPr>
        <w:pStyle w:val="NormalWeb"/>
        <w:spacing w:before="0" w:beforeAutospacing="0" w:after="160" w:afterAutospacing="0" w:line="360" w:lineRule="auto"/>
        <w:jc w:val="both"/>
      </w:pPr>
      <w:r w:rsidRPr="00077581">
        <w:t xml:space="preserve">A </w:t>
      </w:r>
      <w:r w:rsidRPr="00415883">
        <w:rPr>
          <w:rStyle w:val="Strong"/>
          <w:b w:val="0"/>
          <w:bCs w:val="0"/>
        </w:rPr>
        <w:t>purposive sampling technique</w:t>
      </w:r>
      <w:r w:rsidRPr="00077581">
        <w:t xml:space="preserve"> was used to recruit participants who met the criteria and were available and willing to participate during the data collection period. This method was chosen to focus on individuals who could most benefit from and contribute to the study objectives</w:t>
      </w:r>
      <w:r w:rsidR="00CC5373">
        <w:t xml:space="preserve"> </w:t>
      </w:r>
      <w:r w:rsidR="00CC5373">
        <w:fldChar w:fldCharType="begin" w:fldLock="1"/>
      </w:r>
      <w:r w:rsidR="00CC5373">
        <w:instrText>ADDIN CSL_CITATION {"citationItems":[{"id":"ITEM-1","itemData":{"DOI":"https://doi.org/10.1016/j.ijme.2023.100878","author":[{"dropping-particle":"","family":"Chahal","given":"Jyoti","non-dropping-particle":"","parse-names":false,"suffix":""},{"dropping-particle":"","family":"Dagar","given":"Vishal","non-dropping-particle":"","parse-names":false,"suffix":""},{"dropping-particle":"","family":"Dagher","given":"Leila","non-dropping-particle":"","parse-names":false,"suffix":""},{"dropping-particle":"","family":"Rao","given":"Amar","non-dropping-particle":"","parse-names":false,"suffix":""},{"dropping-particle":"","family":"Udemba","given":"Edmund Ntom","non-dropping-particle":"","parse-names":false,"suffix":""}],"container-title":"The International Journal of Management Education","id":"ITEM-1","issue":"100878","issued":{"date-parts":[["2023"]]},"page":"3","title":"The crisis effect in TPB as a moderator for post-pandemic entrepreneurial intentions among higher education students: PLS-SEM and ANN approach","type":"article-journal","volume":"21"},"uris":["http://www.mendeley.com/documents/?uuid=69e5f5b8-3d05-4e9f-be74-d9fc1275cb26"]}],"mendeley":{"formattedCitation":"(Chahal et al., 2023)","plainTextFormattedCitation":"(Chahal et al., 2023)","previouslyFormattedCitation":"(Chahal et al., 2023)"},"properties":{"noteIndex":0},"schema":"https://github.com/citation-style-language/schema/raw/master/csl-citation.json"}</w:instrText>
      </w:r>
      <w:r w:rsidR="00CC5373">
        <w:fldChar w:fldCharType="separate"/>
      </w:r>
      <w:r w:rsidR="00CC5373" w:rsidRPr="00CC5373">
        <w:rPr>
          <w:noProof/>
        </w:rPr>
        <w:t>(Chahal et al., 2023)</w:t>
      </w:r>
      <w:r w:rsidR="00CC5373">
        <w:fldChar w:fldCharType="end"/>
      </w:r>
      <w:r w:rsidRPr="00077581">
        <w:t>.</w:t>
      </w:r>
    </w:p>
    <w:p w14:paraId="2750AFB1" w14:textId="77777777" w:rsidR="00D81433" w:rsidRPr="00077581" w:rsidRDefault="00D81433" w:rsidP="00EF0802">
      <w:pPr>
        <w:pStyle w:val="NormalWeb"/>
        <w:spacing w:before="0" w:beforeAutospacing="0" w:after="160" w:afterAutospacing="0" w:line="360" w:lineRule="auto"/>
        <w:jc w:val="both"/>
      </w:pPr>
    </w:p>
    <w:p w14:paraId="5D70EDE5" w14:textId="77777777" w:rsidR="00D81433" w:rsidRPr="00077581" w:rsidRDefault="00D81433" w:rsidP="00EF0802">
      <w:pPr>
        <w:pStyle w:val="NormalWeb"/>
        <w:spacing w:before="0" w:beforeAutospacing="0" w:after="160" w:afterAutospacing="0" w:line="360" w:lineRule="auto"/>
        <w:rPr>
          <w:b/>
          <w:bCs/>
        </w:rPr>
      </w:pPr>
      <w:r w:rsidRPr="00077581">
        <w:rPr>
          <w:b/>
          <w:bCs/>
        </w:rPr>
        <w:t>3.8 Inclusion and Exclusion Criteria</w:t>
      </w:r>
    </w:p>
    <w:p w14:paraId="506346CD" w14:textId="77777777" w:rsidR="00D81433" w:rsidRPr="00077581" w:rsidRDefault="00D81433" w:rsidP="00CC5373">
      <w:pPr>
        <w:pStyle w:val="NormalWeb"/>
        <w:spacing w:before="0" w:beforeAutospacing="0" w:after="160" w:afterAutospacing="0" w:line="360" w:lineRule="auto"/>
        <w:jc w:val="both"/>
      </w:pPr>
      <w:r w:rsidRPr="00077581">
        <w:t xml:space="preserve">To ensure methodological rigor and the reliability of findings, clearly defined inclusion and exclusion criteria were applied to recruit suitable participants for the study. These criteria were designed to select pregnant women who could benefit from the intervention and were capable of completing the study procedures. A summarized breakdown of the inclusion and exclusion criteria is presented in </w:t>
      </w:r>
      <w:r w:rsidRPr="00415883">
        <w:rPr>
          <w:rStyle w:val="Strong"/>
          <w:b w:val="0"/>
          <w:bCs w:val="0"/>
        </w:rPr>
        <w:t>Table 3.1</w:t>
      </w:r>
      <w:r w:rsidRPr="00077581">
        <w:rPr>
          <w:b/>
          <w:bCs/>
        </w:rPr>
        <w:t>.</w:t>
      </w:r>
    </w:p>
    <w:p w14:paraId="0BA013CC" w14:textId="77777777" w:rsidR="00D81433" w:rsidRPr="00077581" w:rsidRDefault="00D81433" w:rsidP="00EF0802">
      <w:pPr>
        <w:pStyle w:val="Heading4"/>
        <w:spacing w:before="0" w:after="160" w:line="360" w:lineRule="auto"/>
        <w:rPr>
          <w:rFonts w:ascii="Times New Roman" w:hAnsi="Times New Roman" w:cs="Times New Roman"/>
          <w:color w:val="auto"/>
        </w:rPr>
      </w:pPr>
      <w:r w:rsidRPr="00077581">
        <w:rPr>
          <w:rStyle w:val="Strong"/>
          <w:rFonts w:ascii="Times New Roman" w:hAnsi="Times New Roman" w:cs="Times New Roman"/>
          <w:color w:val="auto"/>
        </w:rPr>
        <w:t>Inclusion Criteria</w:t>
      </w:r>
    </w:p>
    <w:p w14:paraId="17242D1D" w14:textId="77777777" w:rsidR="00D81433" w:rsidRPr="00077581" w:rsidRDefault="00D81433" w:rsidP="00EF0802">
      <w:pPr>
        <w:pStyle w:val="NormalWeb"/>
        <w:numPr>
          <w:ilvl w:val="0"/>
          <w:numId w:val="60"/>
        </w:numPr>
        <w:spacing w:before="0" w:beforeAutospacing="0" w:after="160" w:afterAutospacing="0" w:line="360" w:lineRule="auto"/>
      </w:pPr>
      <w:r w:rsidRPr="00077581">
        <w:t>Pregnant women aged 18–40 years.</w:t>
      </w:r>
    </w:p>
    <w:p w14:paraId="61E36742" w14:textId="77777777" w:rsidR="00D81433" w:rsidRPr="00077581" w:rsidRDefault="00D81433" w:rsidP="00EF0802">
      <w:pPr>
        <w:pStyle w:val="NormalWeb"/>
        <w:numPr>
          <w:ilvl w:val="0"/>
          <w:numId w:val="60"/>
        </w:numPr>
        <w:spacing w:before="0" w:beforeAutospacing="0" w:after="160" w:afterAutospacing="0" w:line="360" w:lineRule="auto"/>
      </w:pPr>
      <w:r w:rsidRPr="00077581">
        <w:t>In any trimester of pregnancy.</w:t>
      </w:r>
    </w:p>
    <w:p w14:paraId="6BFD31E1" w14:textId="77777777" w:rsidR="00D81433" w:rsidRPr="00077581" w:rsidRDefault="00D81433" w:rsidP="00EF0802">
      <w:pPr>
        <w:pStyle w:val="NormalWeb"/>
        <w:numPr>
          <w:ilvl w:val="0"/>
          <w:numId w:val="60"/>
        </w:numPr>
        <w:spacing w:before="0" w:beforeAutospacing="0" w:after="160" w:afterAutospacing="0" w:line="360" w:lineRule="auto"/>
      </w:pPr>
      <w:r w:rsidRPr="00077581">
        <w:t>Diagnosed with or at risk of thyroid dysfunction or hypertension.</w:t>
      </w:r>
    </w:p>
    <w:p w14:paraId="6B6F7BF2" w14:textId="77777777" w:rsidR="00D81433" w:rsidRPr="00077581" w:rsidRDefault="00D81433" w:rsidP="00EF0802">
      <w:pPr>
        <w:pStyle w:val="NormalWeb"/>
        <w:numPr>
          <w:ilvl w:val="0"/>
          <w:numId w:val="60"/>
        </w:numPr>
        <w:spacing w:before="0" w:beforeAutospacing="0" w:after="160" w:afterAutospacing="0" w:line="360" w:lineRule="auto"/>
      </w:pPr>
      <w:r w:rsidRPr="00077581">
        <w:t>Able to provide informed consent.</w:t>
      </w:r>
    </w:p>
    <w:p w14:paraId="2EF2F2D1" w14:textId="77777777" w:rsidR="00D81433" w:rsidRPr="00077581" w:rsidRDefault="00D81433" w:rsidP="00EF0802">
      <w:pPr>
        <w:pStyle w:val="NormalWeb"/>
        <w:numPr>
          <w:ilvl w:val="0"/>
          <w:numId w:val="60"/>
        </w:numPr>
        <w:spacing w:before="0" w:beforeAutospacing="0" w:after="160" w:afterAutospacing="0" w:line="360" w:lineRule="auto"/>
      </w:pPr>
      <w:r w:rsidRPr="00077581">
        <w:t>Residing in the study area for the duration of the intervention.</w:t>
      </w:r>
    </w:p>
    <w:p w14:paraId="395A182A" w14:textId="77777777" w:rsidR="00D81433" w:rsidRPr="00077581" w:rsidRDefault="00D81433" w:rsidP="00EF0802">
      <w:pPr>
        <w:pStyle w:val="NormalWeb"/>
        <w:numPr>
          <w:ilvl w:val="0"/>
          <w:numId w:val="60"/>
        </w:numPr>
        <w:spacing w:before="0" w:beforeAutospacing="0" w:after="160" w:afterAutospacing="0" w:line="360" w:lineRule="auto"/>
      </w:pPr>
      <w:r w:rsidRPr="00077581">
        <w:t>Able to read and understand the study language (local language or English).</w:t>
      </w:r>
    </w:p>
    <w:p w14:paraId="505DCDBC" w14:textId="77777777" w:rsidR="00D81433" w:rsidRPr="00077581" w:rsidRDefault="00D81433" w:rsidP="00EF0802">
      <w:pPr>
        <w:pStyle w:val="Heading4"/>
        <w:spacing w:before="0" w:after="160" w:line="360" w:lineRule="auto"/>
        <w:rPr>
          <w:rFonts w:ascii="Times New Roman" w:hAnsi="Times New Roman" w:cs="Times New Roman"/>
          <w:color w:val="auto"/>
        </w:rPr>
      </w:pPr>
      <w:r w:rsidRPr="00077581">
        <w:rPr>
          <w:rStyle w:val="Strong"/>
          <w:rFonts w:ascii="Times New Roman" w:hAnsi="Times New Roman" w:cs="Times New Roman"/>
          <w:color w:val="auto"/>
        </w:rPr>
        <w:t>Exclusion Criteria</w:t>
      </w:r>
    </w:p>
    <w:p w14:paraId="39AA9444" w14:textId="77777777" w:rsidR="00D81433" w:rsidRPr="00077581" w:rsidRDefault="00D81433" w:rsidP="00EF0802">
      <w:pPr>
        <w:pStyle w:val="NormalWeb"/>
        <w:numPr>
          <w:ilvl w:val="0"/>
          <w:numId w:val="61"/>
        </w:numPr>
        <w:spacing w:before="0" w:beforeAutospacing="0" w:after="160" w:afterAutospacing="0" w:line="360" w:lineRule="auto"/>
      </w:pPr>
      <w:r w:rsidRPr="00077581">
        <w:t>Women below 18 or above 40 years of age.</w:t>
      </w:r>
    </w:p>
    <w:p w14:paraId="6006CEEA" w14:textId="77777777" w:rsidR="00D81433" w:rsidRPr="00077581" w:rsidRDefault="00D81433" w:rsidP="00EF0802">
      <w:pPr>
        <w:pStyle w:val="NormalWeb"/>
        <w:numPr>
          <w:ilvl w:val="0"/>
          <w:numId w:val="61"/>
        </w:numPr>
        <w:spacing w:before="0" w:beforeAutospacing="0" w:after="160" w:afterAutospacing="0" w:line="360" w:lineRule="auto"/>
      </w:pPr>
      <w:r w:rsidRPr="00077581">
        <w:lastRenderedPageBreak/>
        <w:t>High-risk pregnancies requiring intensive medical care.</w:t>
      </w:r>
    </w:p>
    <w:p w14:paraId="003CDB87" w14:textId="77777777" w:rsidR="00D81433" w:rsidRPr="00077581" w:rsidRDefault="00D81433" w:rsidP="00EF0802">
      <w:pPr>
        <w:pStyle w:val="NormalWeb"/>
        <w:numPr>
          <w:ilvl w:val="0"/>
          <w:numId w:val="61"/>
        </w:numPr>
        <w:spacing w:before="0" w:beforeAutospacing="0" w:after="160" w:afterAutospacing="0" w:line="360" w:lineRule="auto"/>
      </w:pPr>
      <w:r w:rsidRPr="00077581">
        <w:t>Presence of chronic comorbidities such as severe renal, cardiac, or autoimmune diseases.</w:t>
      </w:r>
    </w:p>
    <w:p w14:paraId="39BE6877" w14:textId="77777777" w:rsidR="00D81433" w:rsidRPr="00077581" w:rsidRDefault="00D81433" w:rsidP="00EF0802">
      <w:pPr>
        <w:pStyle w:val="NormalWeb"/>
        <w:numPr>
          <w:ilvl w:val="0"/>
          <w:numId w:val="61"/>
        </w:numPr>
        <w:spacing w:before="0" w:beforeAutospacing="0" w:after="160" w:afterAutospacing="0" w:line="360" w:lineRule="auto"/>
      </w:pPr>
      <w:r w:rsidRPr="00077581">
        <w:t>Inability to communicate effectively due to language or cognitive barriers.</w:t>
      </w:r>
    </w:p>
    <w:p w14:paraId="58BA6D54" w14:textId="77777777" w:rsidR="00D81433" w:rsidRPr="00077581" w:rsidRDefault="00D81433" w:rsidP="00EF0802">
      <w:pPr>
        <w:pStyle w:val="NormalWeb"/>
        <w:numPr>
          <w:ilvl w:val="0"/>
          <w:numId w:val="61"/>
        </w:numPr>
        <w:spacing w:before="0" w:beforeAutospacing="0" w:after="160" w:afterAutospacing="0" w:line="360" w:lineRule="auto"/>
      </w:pPr>
      <w:r w:rsidRPr="00077581">
        <w:t>Unwillingness or inability to attend follow-up assessments.</w:t>
      </w:r>
    </w:p>
    <w:p w14:paraId="03011E6A" w14:textId="00F77028" w:rsidR="00D81433" w:rsidRPr="00077581" w:rsidRDefault="00D81433" w:rsidP="00EF0802">
      <w:pPr>
        <w:pStyle w:val="NormalWeb"/>
        <w:spacing w:before="0" w:beforeAutospacing="0" w:after="160" w:afterAutospacing="0" w:line="360" w:lineRule="auto"/>
      </w:pPr>
      <w:r w:rsidRPr="00077581">
        <w:rPr>
          <w:rStyle w:val="Strong"/>
        </w:rPr>
        <w:t>Table 3.1 Inclusion and Exclusion Criteria Summary</w:t>
      </w:r>
    </w:p>
    <w:tbl>
      <w:tblPr>
        <w:tblStyle w:val="TableGrid"/>
        <w:tblW w:w="0" w:type="auto"/>
        <w:tblLook w:val="04A0" w:firstRow="1" w:lastRow="0" w:firstColumn="1" w:lastColumn="0" w:noHBand="0" w:noVBand="1"/>
      </w:tblPr>
      <w:tblGrid>
        <w:gridCol w:w="1848"/>
        <w:gridCol w:w="3234"/>
        <w:gridCol w:w="3214"/>
      </w:tblGrid>
      <w:tr w:rsidR="00D81433" w:rsidRPr="00077581" w14:paraId="29CF6DFA" w14:textId="77777777" w:rsidTr="00E55E15">
        <w:tc>
          <w:tcPr>
            <w:tcW w:w="0" w:type="auto"/>
            <w:hideMark/>
          </w:tcPr>
          <w:p w14:paraId="5CF87563"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Criteria Type</w:t>
            </w:r>
          </w:p>
        </w:tc>
        <w:tc>
          <w:tcPr>
            <w:tcW w:w="0" w:type="auto"/>
            <w:hideMark/>
          </w:tcPr>
          <w:p w14:paraId="42BC4F9A"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Inclusion Criteria</w:t>
            </w:r>
          </w:p>
        </w:tc>
        <w:tc>
          <w:tcPr>
            <w:tcW w:w="0" w:type="auto"/>
            <w:hideMark/>
          </w:tcPr>
          <w:p w14:paraId="4D46A25B"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Exclusion Criteria</w:t>
            </w:r>
          </w:p>
        </w:tc>
      </w:tr>
      <w:tr w:rsidR="00D81433" w:rsidRPr="00077581" w14:paraId="07D3E820" w14:textId="77777777" w:rsidTr="00E55E15">
        <w:tc>
          <w:tcPr>
            <w:tcW w:w="0" w:type="auto"/>
            <w:hideMark/>
          </w:tcPr>
          <w:p w14:paraId="15BADF66" w14:textId="77777777" w:rsidR="00D81433" w:rsidRPr="00096657" w:rsidRDefault="00D81433" w:rsidP="00EF0802">
            <w:pPr>
              <w:spacing w:line="360" w:lineRule="auto"/>
              <w:rPr>
                <w:rFonts w:ascii="Times New Roman" w:hAnsi="Times New Roman" w:cs="Times New Roman"/>
                <w:b/>
                <w:bCs/>
              </w:rPr>
            </w:pPr>
            <w:r w:rsidRPr="00096657">
              <w:rPr>
                <w:rStyle w:val="Strong"/>
                <w:rFonts w:ascii="Times New Roman" w:hAnsi="Times New Roman" w:cs="Times New Roman"/>
                <w:b w:val="0"/>
                <w:bCs w:val="0"/>
              </w:rPr>
              <w:t>Age</w:t>
            </w:r>
          </w:p>
        </w:tc>
        <w:tc>
          <w:tcPr>
            <w:tcW w:w="0" w:type="auto"/>
            <w:hideMark/>
          </w:tcPr>
          <w:p w14:paraId="3D18FBC9"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Pregnant women aged 18–40 years</w:t>
            </w:r>
          </w:p>
        </w:tc>
        <w:tc>
          <w:tcPr>
            <w:tcW w:w="0" w:type="auto"/>
            <w:hideMark/>
          </w:tcPr>
          <w:p w14:paraId="02801C8C"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&lt;18 or &gt;40 years</w:t>
            </w:r>
          </w:p>
        </w:tc>
      </w:tr>
      <w:tr w:rsidR="00D81433" w:rsidRPr="00077581" w14:paraId="3B24100D" w14:textId="77777777" w:rsidTr="00E55E15">
        <w:tc>
          <w:tcPr>
            <w:tcW w:w="0" w:type="auto"/>
            <w:hideMark/>
          </w:tcPr>
          <w:p w14:paraId="677CCF1E" w14:textId="77777777" w:rsidR="00D81433" w:rsidRPr="00096657" w:rsidRDefault="00D81433" w:rsidP="00EF0802">
            <w:pPr>
              <w:spacing w:line="360" w:lineRule="auto"/>
              <w:rPr>
                <w:rFonts w:ascii="Times New Roman" w:hAnsi="Times New Roman" w:cs="Times New Roman"/>
                <w:b/>
                <w:bCs/>
              </w:rPr>
            </w:pPr>
            <w:r w:rsidRPr="00096657">
              <w:rPr>
                <w:rStyle w:val="Strong"/>
                <w:rFonts w:ascii="Times New Roman" w:hAnsi="Times New Roman" w:cs="Times New Roman"/>
                <w:b w:val="0"/>
                <w:bCs w:val="0"/>
              </w:rPr>
              <w:t>Pregnancy Stage</w:t>
            </w:r>
          </w:p>
        </w:tc>
        <w:tc>
          <w:tcPr>
            <w:tcW w:w="0" w:type="auto"/>
            <w:hideMark/>
          </w:tcPr>
          <w:p w14:paraId="3A22AB46"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Any trimester (1st, 2nd, or 3rd)</w:t>
            </w:r>
          </w:p>
        </w:tc>
        <w:tc>
          <w:tcPr>
            <w:tcW w:w="0" w:type="auto"/>
            <w:hideMark/>
          </w:tcPr>
          <w:p w14:paraId="5F1170DF"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High-risk pregnancies requiring intensive medical intervention</w:t>
            </w:r>
          </w:p>
        </w:tc>
      </w:tr>
      <w:tr w:rsidR="00D81433" w:rsidRPr="00077581" w14:paraId="3E844D9F" w14:textId="77777777" w:rsidTr="00E55E15">
        <w:tc>
          <w:tcPr>
            <w:tcW w:w="0" w:type="auto"/>
            <w:hideMark/>
          </w:tcPr>
          <w:p w14:paraId="718891EB" w14:textId="77777777" w:rsidR="00D81433" w:rsidRPr="00096657" w:rsidRDefault="00D81433" w:rsidP="00EF0802">
            <w:pPr>
              <w:spacing w:line="360" w:lineRule="auto"/>
              <w:rPr>
                <w:rFonts w:ascii="Times New Roman" w:hAnsi="Times New Roman" w:cs="Times New Roman"/>
                <w:b/>
                <w:bCs/>
              </w:rPr>
            </w:pPr>
            <w:r w:rsidRPr="00096657">
              <w:rPr>
                <w:rStyle w:val="Strong"/>
                <w:rFonts w:ascii="Times New Roman" w:hAnsi="Times New Roman" w:cs="Times New Roman"/>
                <w:b w:val="0"/>
                <w:bCs w:val="0"/>
              </w:rPr>
              <w:t>Medical Condition</w:t>
            </w:r>
          </w:p>
        </w:tc>
        <w:tc>
          <w:tcPr>
            <w:tcW w:w="0" w:type="auto"/>
            <w:hideMark/>
          </w:tcPr>
          <w:p w14:paraId="1F52E45A"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Diagnosed or at risk of thyroid disorders or hypertension</w:t>
            </w:r>
          </w:p>
        </w:tc>
        <w:tc>
          <w:tcPr>
            <w:tcW w:w="0" w:type="auto"/>
            <w:hideMark/>
          </w:tcPr>
          <w:p w14:paraId="4A0F0D76"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Severe comorbidities (renal, cardiac, or autoimmune diseases)</w:t>
            </w:r>
          </w:p>
        </w:tc>
      </w:tr>
      <w:tr w:rsidR="00D81433" w:rsidRPr="00077581" w14:paraId="07C38A24" w14:textId="77777777" w:rsidTr="00E55E15">
        <w:tc>
          <w:tcPr>
            <w:tcW w:w="0" w:type="auto"/>
            <w:hideMark/>
          </w:tcPr>
          <w:p w14:paraId="74A299DC" w14:textId="77777777" w:rsidR="00D81433" w:rsidRPr="00096657" w:rsidRDefault="00D81433" w:rsidP="00EF0802">
            <w:pPr>
              <w:spacing w:line="360" w:lineRule="auto"/>
              <w:rPr>
                <w:rFonts w:ascii="Times New Roman" w:hAnsi="Times New Roman" w:cs="Times New Roman"/>
                <w:b/>
                <w:bCs/>
              </w:rPr>
            </w:pPr>
            <w:r w:rsidRPr="00096657">
              <w:rPr>
                <w:rStyle w:val="Strong"/>
                <w:rFonts w:ascii="Times New Roman" w:hAnsi="Times New Roman" w:cs="Times New Roman"/>
                <w:b w:val="0"/>
                <w:bCs w:val="0"/>
              </w:rPr>
              <w:t>Consent</w:t>
            </w:r>
          </w:p>
        </w:tc>
        <w:tc>
          <w:tcPr>
            <w:tcW w:w="0" w:type="auto"/>
            <w:hideMark/>
          </w:tcPr>
          <w:p w14:paraId="1CF5899B"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Provided informed consent and willingness to participate in all stages</w:t>
            </w:r>
          </w:p>
        </w:tc>
        <w:tc>
          <w:tcPr>
            <w:tcW w:w="0" w:type="auto"/>
            <w:hideMark/>
          </w:tcPr>
          <w:p w14:paraId="12ACBC6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Refused or unable to give consent</w:t>
            </w:r>
          </w:p>
        </w:tc>
      </w:tr>
      <w:tr w:rsidR="00D81433" w:rsidRPr="00077581" w14:paraId="3B48891D" w14:textId="77777777" w:rsidTr="00E55E15">
        <w:tc>
          <w:tcPr>
            <w:tcW w:w="0" w:type="auto"/>
            <w:hideMark/>
          </w:tcPr>
          <w:p w14:paraId="739743B1" w14:textId="77777777" w:rsidR="00D81433" w:rsidRPr="00096657" w:rsidRDefault="00D81433" w:rsidP="00EF0802">
            <w:pPr>
              <w:spacing w:line="360" w:lineRule="auto"/>
              <w:rPr>
                <w:rFonts w:ascii="Times New Roman" w:hAnsi="Times New Roman" w:cs="Times New Roman"/>
                <w:b/>
                <w:bCs/>
              </w:rPr>
            </w:pPr>
            <w:r w:rsidRPr="00096657">
              <w:rPr>
                <w:rStyle w:val="Strong"/>
                <w:rFonts w:ascii="Times New Roman" w:hAnsi="Times New Roman" w:cs="Times New Roman"/>
                <w:b w:val="0"/>
                <w:bCs w:val="0"/>
              </w:rPr>
              <w:t>Communication</w:t>
            </w:r>
          </w:p>
        </w:tc>
        <w:tc>
          <w:tcPr>
            <w:tcW w:w="0" w:type="auto"/>
            <w:hideMark/>
          </w:tcPr>
          <w:p w14:paraId="0D0CDB7C"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Can read and understand the study language (local or English)</w:t>
            </w:r>
          </w:p>
        </w:tc>
        <w:tc>
          <w:tcPr>
            <w:tcW w:w="0" w:type="auto"/>
            <w:hideMark/>
          </w:tcPr>
          <w:p w14:paraId="414CD307"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Language barrier or cognitive impairments</w:t>
            </w:r>
          </w:p>
        </w:tc>
      </w:tr>
      <w:tr w:rsidR="00D81433" w:rsidRPr="00077581" w14:paraId="4AE235AC" w14:textId="77777777" w:rsidTr="00E55E15">
        <w:tc>
          <w:tcPr>
            <w:tcW w:w="0" w:type="auto"/>
            <w:hideMark/>
          </w:tcPr>
          <w:p w14:paraId="68C0E1A5" w14:textId="77777777" w:rsidR="00D81433" w:rsidRPr="00096657" w:rsidRDefault="00D81433" w:rsidP="00EF0802">
            <w:pPr>
              <w:spacing w:line="360" w:lineRule="auto"/>
              <w:rPr>
                <w:rFonts w:ascii="Times New Roman" w:hAnsi="Times New Roman" w:cs="Times New Roman"/>
                <w:b/>
                <w:bCs/>
              </w:rPr>
            </w:pPr>
            <w:r w:rsidRPr="00096657">
              <w:rPr>
                <w:rStyle w:val="Strong"/>
                <w:rFonts w:ascii="Times New Roman" w:hAnsi="Times New Roman" w:cs="Times New Roman"/>
                <w:b w:val="0"/>
                <w:bCs w:val="0"/>
              </w:rPr>
              <w:t>Residency</w:t>
            </w:r>
          </w:p>
        </w:tc>
        <w:tc>
          <w:tcPr>
            <w:tcW w:w="0" w:type="auto"/>
            <w:hideMark/>
          </w:tcPr>
          <w:p w14:paraId="4A9D550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Residing in the study area for the intervention period</w:t>
            </w:r>
          </w:p>
        </w:tc>
        <w:tc>
          <w:tcPr>
            <w:tcW w:w="0" w:type="auto"/>
            <w:hideMark/>
          </w:tcPr>
          <w:p w14:paraId="10D4B2F6"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Planning to relocate or inaccessible for post-intervention follow-up</w:t>
            </w:r>
          </w:p>
        </w:tc>
      </w:tr>
    </w:tbl>
    <w:p w14:paraId="6331EB10" w14:textId="77777777" w:rsidR="00D81433" w:rsidRPr="00077581" w:rsidRDefault="00D81433" w:rsidP="00EF0802">
      <w:pPr>
        <w:spacing w:line="360" w:lineRule="auto"/>
        <w:rPr>
          <w:rFonts w:ascii="Times New Roman" w:hAnsi="Times New Roman" w:cs="Times New Roman"/>
        </w:rPr>
      </w:pPr>
    </w:p>
    <w:p w14:paraId="0D13AE04" w14:textId="77777777" w:rsidR="00D81433" w:rsidRPr="00077581" w:rsidRDefault="00D81433" w:rsidP="00EF0802">
      <w:pPr>
        <w:pStyle w:val="Heading3"/>
        <w:spacing w:before="0" w:after="160" w:line="360" w:lineRule="auto"/>
        <w:rPr>
          <w:rFonts w:ascii="Times New Roman" w:hAnsi="Times New Roman" w:cs="Times New Roman"/>
          <w:b/>
          <w:bCs/>
          <w:color w:val="auto"/>
          <w:sz w:val="24"/>
          <w:szCs w:val="24"/>
        </w:rPr>
      </w:pPr>
      <w:r w:rsidRPr="00077581">
        <w:rPr>
          <w:rFonts w:ascii="Times New Roman" w:hAnsi="Times New Roman" w:cs="Times New Roman"/>
          <w:b/>
          <w:bCs/>
          <w:color w:val="auto"/>
          <w:sz w:val="24"/>
          <w:szCs w:val="24"/>
        </w:rPr>
        <w:t>3.9 Data Collection Tools</w:t>
      </w:r>
    </w:p>
    <w:p w14:paraId="470783D4" w14:textId="6025B8C4" w:rsidR="00D81433" w:rsidRPr="00077581" w:rsidRDefault="00D81433" w:rsidP="00EF0802">
      <w:pPr>
        <w:pStyle w:val="NormalWeb"/>
        <w:spacing w:before="0" w:beforeAutospacing="0" w:after="160" w:afterAutospacing="0" w:line="360" w:lineRule="auto"/>
        <w:jc w:val="both"/>
      </w:pPr>
      <w:r w:rsidRPr="00077581">
        <w:t xml:space="preserve">In order to assess the effectiveness of lifestyle modifications on the awareness and management of thyroid dysfunction and hypertension during pregnancy, a </w:t>
      </w:r>
      <w:r w:rsidRPr="00797E91">
        <w:rPr>
          <w:rStyle w:val="Strong"/>
          <w:b w:val="0"/>
          <w:bCs w:val="0"/>
        </w:rPr>
        <w:t>comprehensive, structured questionnaire</w:t>
      </w:r>
      <w:r w:rsidRPr="00077581">
        <w:t xml:space="preserve"> and supporting clinical data sheets were developed and utilized</w:t>
      </w:r>
      <w:r w:rsidR="00CC5373">
        <w:t xml:space="preserve"> </w:t>
      </w:r>
      <w:r w:rsidR="00CC5373">
        <w:fldChar w:fldCharType="begin" w:fldLock="1"/>
      </w:r>
      <w:r w:rsidR="00CC5373">
        <w:instrText>ADDIN CSL_CITATION {"citationItems":[{"id":"ITEM-1","itemData":{"DOI":"10.1093/occmed/kqw021","ISSN":"14718405","PMID":"26933065","abstract":"Background Besides causing ill health, a poor work environment may contribute to production loss. Production loss assessment instruments emphasize health-related consequences but there is no instrument to measure reduced work performance related to the work environment. Aims To examine convergent validity and test-retest reliability of health-related production loss (HRPL) and work environment-related production loss (WRPL) against a valid comparable instrument, the Health and Work Performance Questionnaire (HPQ). Methods Cross-sectional study of employees, not on sick leave, who were asked to self-rate their work performance and production losses. Using the Pearson correlation and Bland and Altman's Test of Agreement, convergent validity was examined. Subgroup analyses were performed for employees recording problem-specific reduced work performance. Consistency of pairs of HRPL and WRPL for samples responding to both assessments was expressed using Intraclass Correlation Coefficient (ICC) and tests of repeatability. Results A total of 88 employees participated and 44 responded to both assessments. Test of agreement between measurements estimates a mean difference of 0.34 for HRPL and -0.03 for WRPL compared with work performance. This indicates that the production loss questions are valid and moderately associated with work performance for the total sample and subgroups. ICC for paired HRPL assessments was 0.90 and 0.91 for WRPL, i.e. the test-retest reliability was good and suggests stability in the instrument. Conclusions HRPL and WRPL can be used to measure production loss due to health-related and work environment- related problems. These results may have implications for advancing methods of assessing production loss, which represents an important cost to employers.","author":[{"dropping-particle":"","family":"Aboagye","given":"E.","non-dropping-particle":"","parse-names":false,"suffix":""},{"dropping-particle":"","family":"Jensen","given":"I.","non-dropping-particle":"","parse-names":false,"suffix":""},{"dropping-particle":"","family":"Bergström","given":"G.","non-dropping-particle":"","parse-names":false,"suffix":""},{"dropping-particle":"","family":"Hagberg","given":"J.","non-dropping-particle":"","parse-names":false,"suffix":""},{"dropping-particle":"","family":"Axén","given":"I.","non-dropping-particle":"","parse-names":false,"suffix":""},{"dropping-particle":"","family":"Lohela-Karlsson","given":"M.","non-dropping-particle":"","parse-names":false,"suffix":""}],"container-title":"Occupational Medicine","id":"ITEM-1","issue":"5","issued":{"date-parts":[["2016"]]},"page":"377-382","title":"Validity and test-retest reliability of an at-work production loss instrument","type":"article-journal","volume":"66"},"uris":["http://www.mendeley.com/documents/?uuid=e0479529-c39a-4366-9c7f-84741a99b3b9"]}],"mendeley":{"formattedCitation":"(Aboagye et al., 2016)","plainTextFormattedCitation":"(Aboagye et al., 2016)","previouslyFormattedCitation":"(Aboagye et al., 2016)"},"properties":{"noteIndex":0},"schema":"https://github.com/citation-style-language/schema/raw/master/csl-citation.json"}</w:instrText>
      </w:r>
      <w:r w:rsidR="00CC5373">
        <w:fldChar w:fldCharType="separate"/>
      </w:r>
      <w:r w:rsidR="00CC5373" w:rsidRPr="00CC5373">
        <w:rPr>
          <w:noProof/>
        </w:rPr>
        <w:t>(Aboagye et al., 2016)</w:t>
      </w:r>
      <w:r w:rsidR="00CC5373">
        <w:fldChar w:fldCharType="end"/>
      </w:r>
      <w:r w:rsidRPr="00077581">
        <w:t xml:space="preserve">. The questionnaire was divided into multiple sections, each designed to address a specific component of the research </w:t>
      </w:r>
      <w:r w:rsidRPr="00077581">
        <w:lastRenderedPageBreak/>
        <w:t>objectives, including demographics, awareness levels, lifestyle practices, clinical outcomes, and participant feedback.</w:t>
      </w:r>
    </w:p>
    <w:p w14:paraId="2743066E" w14:textId="1023C837" w:rsidR="00D81433" w:rsidRPr="00077581" w:rsidRDefault="00D81433" w:rsidP="00EF0802">
      <w:pPr>
        <w:pStyle w:val="NormalWeb"/>
        <w:spacing w:before="0" w:beforeAutospacing="0" w:after="160" w:afterAutospacing="0" w:line="360" w:lineRule="auto"/>
        <w:jc w:val="both"/>
      </w:pPr>
      <w:r w:rsidRPr="00077581">
        <w:t xml:space="preserve">The tools were developed in alignment with the study's research questions and were reviewed by subject experts in public health, nursing, and obstetrics to ensure </w:t>
      </w:r>
      <w:r w:rsidRPr="00797E91">
        <w:rPr>
          <w:rStyle w:val="Strong"/>
          <w:b w:val="0"/>
          <w:bCs w:val="0"/>
        </w:rPr>
        <w:t>content validity</w:t>
      </w:r>
      <w:r w:rsidRPr="00797E91">
        <w:t>.</w:t>
      </w:r>
      <w:r w:rsidRPr="00077581">
        <w:t xml:space="preserve"> The complete questionnaire used in the study is provided in </w:t>
      </w:r>
      <w:r w:rsidRPr="00797E91">
        <w:rPr>
          <w:rStyle w:val="Strong"/>
          <w:b w:val="0"/>
          <w:bCs w:val="0"/>
        </w:rPr>
        <w:t>Appendix I</w:t>
      </w:r>
      <w:r w:rsidRPr="00797E91">
        <w:rPr>
          <w:b/>
          <w:bCs/>
        </w:rPr>
        <w:t xml:space="preserve">. </w:t>
      </w:r>
      <w:r w:rsidRPr="00797E91">
        <w:rPr>
          <w:rStyle w:val="Strong"/>
          <w:b w:val="0"/>
          <w:bCs w:val="0"/>
        </w:rPr>
        <w:t>Table 3.2</w:t>
      </w:r>
      <w:r w:rsidRPr="00077581">
        <w:t xml:space="preserve"> provides a detailed overview of the different sections of the data collection instruments used in the study. Each section served a distinct purpose and captured specific types of data. The table also presents the type of data collected (e.g., nominal, ordinal, binary, continuous) and the methods used to validate or confirm the reliability of each section.</w:t>
      </w:r>
    </w:p>
    <w:p w14:paraId="515A7CAE" w14:textId="77777777" w:rsidR="00D81433" w:rsidRPr="00077581" w:rsidRDefault="00D81433" w:rsidP="00EF0802">
      <w:pPr>
        <w:pStyle w:val="NormalWeb"/>
        <w:spacing w:before="0" w:beforeAutospacing="0" w:after="160" w:afterAutospacing="0" w:line="360" w:lineRule="auto"/>
        <w:jc w:val="both"/>
      </w:pPr>
      <w:r w:rsidRPr="00077581">
        <w:rPr>
          <w:rStyle w:val="Strong"/>
        </w:rPr>
        <w:t>Table 3.2 Data Collection Instruments and Validation Metrics</w:t>
      </w:r>
    </w:p>
    <w:tbl>
      <w:tblPr>
        <w:tblStyle w:val="TableGrid"/>
        <w:tblW w:w="0" w:type="auto"/>
        <w:tblLook w:val="04A0" w:firstRow="1" w:lastRow="0" w:firstColumn="1" w:lastColumn="0" w:noHBand="0" w:noVBand="1"/>
      </w:tblPr>
      <w:tblGrid>
        <w:gridCol w:w="2116"/>
        <w:gridCol w:w="2580"/>
        <w:gridCol w:w="1663"/>
        <w:gridCol w:w="1937"/>
      </w:tblGrid>
      <w:tr w:rsidR="00D81433" w:rsidRPr="00077581" w14:paraId="6B58918C" w14:textId="77777777" w:rsidTr="00E55E15">
        <w:tc>
          <w:tcPr>
            <w:tcW w:w="0" w:type="auto"/>
            <w:hideMark/>
          </w:tcPr>
          <w:p w14:paraId="176E0D6F"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Tool / Section</w:t>
            </w:r>
          </w:p>
        </w:tc>
        <w:tc>
          <w:tcPr>
            <w:tcW w:w="0" w:type="auto"/>
            <w:hideMark/>
          </w:tcPr>
          <w:p w14:paraId="74061637"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Purpose</w:t>
            </w:r>
          </w:p>
        </w:tc>
        <w:tc>
          <w:tcPr>
            <w:tcW w:w="0" w:type="auto"/>
            <w:hideMark/>
          </w:tcPr>
          <w:p w14:paraId="288F3358"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Data Type</w:t>
            </w:r>
          </w:p>
        </w:tc>
        <w:tc>
          <w:tcPr>
            <w:tcW w:w="0" w:type="auto"/>
            <w:hideMark/>
          </w:tcPr>
          <w:p w14:paraId="18B17816"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Validation / Reliability</w:t>
            </w:r>
          </w:p>
        </w:tc>
      </w:tr>
      <w:tr w:rsidR="00D81433" w:rsidRPr="00077581" w14:paraId="64E9F9B1" w14:textId="77777777" w:rsidTr="00E55E15">
        <w:tc>
          <w:tcPr>
            <w:tcW w:w="0" w:type="auto"/>
            <w:hideMark/>
          </w:tcPr>
          <w:p w14:paraId="3FD4927C"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Section A: Demographics</w:t>
            </w:r>
          </w:p>
        </w:tc>
        <w:tc>
          <w:tcPr>
            <w:tcW w:w="0" w:type="auto"/>
            <w:hideMark/>
          </w:tcPr>
          <w:p w14:paraId="590464CE"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Gather sociodemographic profile</w:t>
            </w:r>
          </w:p>
        </w:tc>
        <w:tc>
          <w:tcPr>
            <w:tcW w:w="0" w:type="auto"/>
            <w:hideMark/>
          </w:tcPr>
          <w:p w14:paraId="189C10CC"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Nominal / Ordinal</w:t>
            </w:r>
          </w:p>
        </w:tc>
        <w:tc>
          <w:tcPr>
            <w:tcW w:w="0" w:type="auto"/>
            <w:hideMark/>
          </w:tcPr>
          <w:p w14:paraId="363D336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Content validated by experts</w:t>
            </w:r>
          </w:p>
        </w:tc>
      </w:tr>
      <w:tr w:rsidR="00D81433" w:rsidRPr="00077581" w14:paraId="0F119527" w14:textId="77777777" w:rsidTr="00E55E15">
        <w:tc>
          <w:tcPr>
            <w:tcW w:w="0" w:type="auto"/>
            <w:hideMark/>
          </w:tcPr>
          <w:p w14:paraId="7F1CDE2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Section B: Knowledge and Awareness (Q10–17)</w:t>
            </w:r>
          </w:p>
        </w:tc>
        <w:tc>
          <w:tcPr>
            <w:tcW w:w="0" w:type="auto"/>
            <w:hideMark/>
          </w:tcPr>
          <w:p w14:paraId="1182883C"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Assess awareness on thyroid and hypertension in pregnancy</w:t>
            </w:r>
          </w:p>
        </w:tc>
        <w:tc>
          <w:tcPr>
            <w:tcW w:w="0" w:type="auto"/>
            <w:hideMark/>
          </w:tcPr>
          <w:p w14:paraId="57B11D2B"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Dichotomous / Multiple</w:t>
            </w:r>
          </w:p>
        </w:tc>
        <w:tc>
          <w:tcPr>
            <w:tcW w:w="0" w:type="auto"/>
            <w:hideMark/>
          </w:tcPr>
          <w:p w14:paraId="40B8DD6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Cronbach’s α = 0.78; CVR = 0.85</w:t>
            </w:r>
          </w:p>
        </w:tc>
      </w:tr>
      <w:tr w:rsidR="00D81433" w:rsidRPr="00077581" w14:paraId="4A72FA26" w14:textId="77777777" w:rsidTr="00E55E15">
        <w:tc>
          <w:tcPr>
            <w:tcW w:w="0" w:type="auto"/>
            <w:hideMark/>
          </w:tcPr>
          <w:p w14:paraId="3093B483"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Section C: Medical Record Sheet (TSH, BP, etc.)</w:t>
            </w:r>
          </w:p>
        </w:tc>
        <w:tc>
          <w:tcPr>
            <w:tcW w:w="0" w:type="auto"/>
            <w:hideMark/>
          </w:tcPr>
          <w:p w14:paraId="2D80DA09"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Track clinical outcomes pre- and post-intervention</w:t>
            </w:r>
          </w:p>
        </w:tc>
        <w:tc>
          <w:tcPr>
            <w:tcW w:w="0" w:type="auto"/>
            <w:hideMark/>
          </w:tcPr>
          <w:p w14:paraId="433959F2"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Continuous / Binary</w:t>
            </w:r>
          </w:p>
        </w:tc>
        <w:tc>
          <w:tcPr>
            <w:tcW w:w="0" w:type="auto"/>
            <w:hideMark/>
          </w:tcPr>
          <w:p w14:paraId="0A3C681E"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Verified through hospital records &amp; physician review</w:t>
            </w:r>
          </w:p>
        </w:tc>
      </w:tr>
      <w:tr w:rsidR="00D81433" w:rsidRPr="00077581" w14:paraId="6DB97728" w14:textId="77777777" w:rsidTr="00E55E15">
        <w:tc>
          <w:tcPr>
            <w:tcW w:w="0" w:type="auto"/>
            <w:hideMark/>
          </w:tcPr>
          <w:p w14:paraId="37F366F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Section D: Lifestyle Practices (Pre &amp; Post)</w:t>
            </w:r>
          </w:p>
        </w:tc>
        <w:tc>
          <w:tcPr>
            <w:tcW w:w="0" w:type="auto"/>
            <w:hideMark/>
          </w:tcPr>
          <w:p w14:paraId="0FC0C495"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Document exercise, diet, sleep, and supplementation</w:t>
            </w:r>
          </w:p>
        </w:tc>
        <w:tc>
          <w:tcPr>
            <w:tcW w:w="0" w:type="auto"/>
            <w:hideMark/>
          </w:tcPr>
          <w:p w14:paraId="71422ED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Ordinal / Binary</w:t>
            </w:r>
          </w:p>
        </w:tc>
        <w:tc>
          <w:tcPr>
            <w:tcW w:w="0" w:type="auto"/>
            <w:hideMark/>
          </w:tcPr>
          <w:p w14:paraId="130CD0F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Test-retest reliability = 0.82</w:t>
            </w:r>
          </w:p>
        </w:tc>
      </w:tr>
      <w:tr w:rsidR="00D81433" w:rsidRPr="00077581" w14:paraId="51BA1B7D" w14:textId="77777777" w:rsidTr="00E55E15">
        <w:tc>
          <w:tcPr>
            <w:tcW w:w="0" w:type="auto"/>
            <w:hideMark/>
          </w:tcPr>
          <w:p w14:paraId="7F1D3B27"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Section E: Post-Intervention Lifestyle Changes</w:t>
            </w:r>
          </w:p>
        </w:tc>
        <w:tc>
          <w:tcPr>
            <w:tcW w:w="0" w:type="auto"/>
            <w:hideMark/>
          </w:tcPr>
          <w:p w14:paraId="1F7350AA"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 xml:space="preserve">Identify sustained </w:t>
            </w:r>
            <w:proofErr w:type="spellStart"/>
            <w:r w:rsidRPr="00077581">
              <w:rPr>
                <w:rFonts w:ascii="Times New Roman" w:hAnsi="Times New Roman" w:cs="Times New Roman"/>
              </w:rPr>
              <w:t>behavioral</w:t>
            </w:r>
            <w:proofErr w:type="spellEnd"/>
            <w:r w:rsidRPr="00077581">
              <w:rPr>
                <w:rFonts w:ascii="Times New Roman" w:hAnsi="Times New Roman" w:cs="Times New Roman"/>
              </w:rPr>
              <w:t xml:space="preserve"> changes</w:t>
            </w:r>
          </w:p>
        </w:tc>
        <w:tc>
          <w:tcPr>
            <w:tcW w:w="0" w:type="auto"/>
            <w:hideMark/>
          </w:tcPr>
          <w:p w14:paraId="25EA4939"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Nominal / Likert</w:t>
            </w:r>
          </w:p>
        </w:tc>
        <w:tc>
          <w:tcPr>
            <w:tcW w:w="0" w:type="auto"/>
            <w:hideMark/>
          </w:tcPr>
          <w:p w14:paraId="2807E3C7"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Pilot-tested with 30 participants</w:t>
            </w:r>
          </w:p>
        </w:tc>
      </w:tr>
      <w:tr w:rsidR="00D81433" w:rsidRPr="00077581" w14:paraId="511F34EA" w14:textId="77777777" w:rsidTr="00E55E15">
        <w:tc>
          <w:tcPr>
            <w:tcW w:w="0" w:type="auto"/>
            <w:hideMark/>
          </w:tcPr>
          <w:p w14:paraId="6BBD6E36"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lastRenderedPageBreak/>
              <w:t>Section F: Medical Outcome Monitoring</w:t>
            </w:r>
          </w:p>
        </w:tc>
        <w:tc>
          <w:tcPr>
            <w:tcW w:w="0" w:type="auto"/>
            <w:hideMark/>
          </w:tcPr>
          <w:p w14:paraId="5D3A0BB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Self-assessed improvement in BP, thyroid, symptoms</w:t>
            </w:r>
          </w:p>
        </w:tc>
        <w:tc>
          <w:tcPr>
            <w:tcW w:w="0" w:type="auto"/>
            <w:hideMark/>
          </w:tcPr>
          <w:p w14:paraId="16E086A9"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Ordinal / Binary</w:t>
            </w:r>
          </w:p>
        </w:tc>
        <w:tc>
          <w:tcPr>
            <w:tcW w:w="0" w:type="auto"/>
            <w:hideMark/>
          </w:tcPr>
          <w:p w14:paraId="3E9ABBB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Face-validated</w:t>
            </w:r>
          </w:p>
        </w:tc>
      </w:tr>
      <w:tr w:rsidR="00D81433" w:rsidRPr="00077581" w14:paraId="681F3014" w14:textId="77777777" w:rsidTr="00E55E15">
        <w:tc>
          <w:tcPr>
            <w:tcW w:w="0" w:type="auto"/>
            <w:hideMark/>
          </w:tcPr>
          <w:p w14:paraId="353DD70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Section G: Satisfaction and Feedback</w:t>
            </w:r>
          </w:p>
        </w:tc>
        <w:tc>
          <w:tcPr>
            <w:tcW w:w="0" w:type="auto"/>
            <w:hideMark/>
          </w:tcPr>
          <w:p w14:paraId="206E7E69"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Gather feedback on intervention usefulness</w:t>
            </w:r>
          </w:p>
        </w:tc>
        <w:tc>
          <w:tcPr>
            <w:tcW w:w="0" w:type="auto"/>
            <w:hideMark/>
          </w:tcPr>
          <w:p w14:paraId="49F44056"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Likert / Nominal</w:t>
            </w:r>
          </w:p>
        </w:tc>
        <w:tc>
          <w:tcPr>
            <w:tcW w:w="0" w:type="auto"/>
            <w:hideMark/>
          </w:tcPr>
          <w:p w14:paraId="3A54F3F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Cronbach’s α = 0.80 (Likert items)</w:t>
            </w:r>
          </w:p>
        </w:tc>
      </w:tr>
    </w:tbl>
    <w:p w14:paraId="0F844CB4" w14:textId="77777777" w:rsidR="00D81433" w:rsidRPr="00077581" w:rsidRDefault="00D81433" w:rsidP="00EF0802">
      <w:pPr>
        <w:spacing w:line="360" w:lineRule="auto"/>
        <w:rPr>
          <w:rFonts w:ascii="Times New Roman" w:hAnsi="Times New Roman" w:cs="Times New Roman"/>
        </w:rPr>
      </w:pPr>
    </w:p>
    <w:p w14:paraId="617F5C45" w14:textId="77777777" w:rsidR="00D81433" w:rsidRPr="00077581" w:rsidRDefault="00D81433" w:rsidP="00EF0802">
      <w:pPr>
        <w:pStyle w:val="Heading3"/>
        <w:spacing w:before="0" w:after="160" w:line="360" w:lineRule="auto"/>
        <w:jc w:val="both"/>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3.10 Intervention Design</w:t>
      </w:r>
    </w:p>
    <w:p w14:paraId="6E03BCD3" w14:textId="77777777" w:rsidR="00D81433" w:rsidRPr="00077581" w:rsidRDefault="00D81433" w:rsidP="00EF0802">
      <w:pPr>
        <w:pStyle w:val="NormalWeb"/>
        <w:spacing w:before="0" w:beforeAutospacing="0" w:after="160" w:afterAutospacing="0" w:line="360" w:lineRule="auto"/>
        <w:jc w:val="both"/>
      </w:pPr>
      <w:r w:rsidRPr="00077581">
        <w:t xml:space="preserve">The intervention in this study was a </w:t>
      </w:r>
      <w:r w:rsidRPr="00797E91">
        <w:rPr>
          <w:rStyle w:val="Strong"/>
          <w:b w:val="0"/>
          <w:bCs w:val="0"/>
        </w:rPr>
        <w:t>structured lifestyle modification program</w:t>
      </w:r>
      <w:r w:rsidRPr="00077581">
        <w:t xml:space="preserve"> designed to improve awareness and support the prevention and management of thyroid dysfunction and hypertension in pregnant women. The intervention was conducted in </w:t>
      </w:r>
      <w:r w:rsidRPr="00797E91">
        <w:rPr>
          <w:rStyle w:val="Strong"/>
          <w:b w:val="0"/>
          <w:bCs w:val="0"/>
        </w:rPr>
        <w:t>three phases</w:t>
      </w:r>
      <w:r w:rsidRPr="00077581">
        <w:t xml:space="preserve"> over a period of approximately </w:t>
      </w:r>
      <w:r w:rsidRPr="00797E91">
        <w:rPr>
          <w:rStyle w:val="Strong"/>
          <w:b w:val="0"/>
          <w:bCs w:val="0"/>
        </w:rPr>
        <w:t>8–10 weeks</w:t>
      </w:r>
      <w:r w:rsidRPr="00077581">
        <w:t xml:space="preserve">, and included educational, </w:t>
      </w:r>
      <w:proofErr w:type="spellStart"/>
      <w:r w:rsidRPr="00077581">
        <w:t>behavioral</w:t>
      </w:r>
      <w:proofErr w:type="spellEnd"/>
      <w:r w:rsidRPr="00077581">
        <w:t>, and clinical engagement components.</w:t>
      </w:r>
    </w:p>
    <w:p w14:paraId="206FCADD" w14:textId="77777777" w:rsidR="00D81433" w:rsidRPr="00077581" w:rsidRDefault="00D81433" w:rsidP="00EF0802">
      <w:pPr>
        <w:pStyle w:val="Heading4"/>
        <w:spacing w:before="0" w:after="160" w:line="360" w:lineRule="auto"/>
        <w:jc w:val="both"/>
        <w:rPr>
          <w:rFonts w:ascii="Times New Roman" w:hAnsi="Times New Roman" w:cs="Times New Roman"/>
          <w:color w:val="auto"/>
        </w:rPr>
      </w:pPr>
      <w:r w:rsidRPr="00077581">
        <w:rPr>
          <w:rStyle w:val="Strong"/>
          <w:rFonts w:ascii="Times New Roman" w:hAnsi="Times New Roman" w:cs="Times New Roman"/>
          <w:color w:val="auto"/>
        </w:rPr>
        <w:t>Intervention Components:</w:t>
      </w:r>
    </w:p>
    <w:p w14:paraId="7BC63C73" w14:textId="77777777" w:rsidR="00D81433" w:rsidRPr="00077581" w:rsidRDefault="00D81433" w:rsidP="00EF0802">
      <w:pPr>
        <w:pStyle w:val="NormalWeb"/>
        <w:numPr>
          <w:ilvl w:val="0"/>
          <w:numId w:val="62"/>
        </w:numPr>
        <w:spacing w:before="0" w:beforeAutospacing="0" w:after="160" w:afterAutospacing="0" w:line="360" w:lineRule="auto"/>
        <w:jc w:val="both"/>
      </w:pPr>
      <w:r w:rsidRPr="00077581">
        <w:rPr>
          <w:rStyle w:val="Strong"/>
        </w:rPr>
        <w:t>Educational Sessions:</w:t>
      </w:r>
      <w:r w:rsidRPr="00077581">
        <w:t xml:space="preserve"> Interactive group and one-on-one </w:t>
      </w:r>
      <w:proofErr w:type="spellStart"/>
      <w:r w:rsidRPr="00077581">
        <w:t>counseling</w:t>
      </w:r>
      <w:proofErr w:type="spellEnd"/>
      <w:r w:rsidRPr="00077581">
        <w:t xml:space="preserve"> on the importance of lifestyle factors (diet, exercise, sleep, stress management) in preventing and managing thyroid and hypertension.</w:t>
      </w:r>
    </w:p>
    <w:p w14:paraId="7F0A0282" w14:textId="77777777" w:rsidR="00D81433" w:rsidRPr="00077581" w:rsidRDefault="00D81433" w:rsidP="00EF0802">
      <w:pPr>
        <w:pStyle w:val="NormalWeb"/>
        <w:numPr>
          <w:ilvl w:val="0"/>
          <w:numId w:val="62"/>
        </w:numPr>
        <w:spacing w:before="0" w:beforeAutospacing="0" w:after="160" w:afterAutospacing="0" w:line="360" w:lineRule="auto"/>
        <w:jc w:val="both"/>
      </w:pPr>
      <w:r w:rsidRPr="00077581">
        <w:rPr>
          <w:rStyle w:val="Strong"/>
        </w:rPr>
        <w:t>Demonstrations:</w:t>
      </w:r>
      <w:r w:rsidRPr="00077581">
        <w:t xml:space="preserve"> Practical demonstrations of prenatal exercises (e.g., walking, yoga) and diet planning.</w:t>
      </w:r>
    </w:p>
    <w:p w14:paraId="3E0F2372" w14:textId="77777777" w:rsidR="00D81433" w:rsidRPr="00077581" w:rsidRDefault="00D81433" w:rsidP="00EF0802">
      <w:pPr>
        <w:pStyle w:val="NormalWeb"/>
        <w:numPr>
          <w:ilvl w:val="0"/>
          <w:numId w:val="62"/>
        </w:numPr>
        <w:spacing w:before="0" w:beforeAutospacing="0" w:after="160" w:afterAutospacing="0" w:line="360" w:lineRule="auto"/>
        <w:jc w:val="both"/>
      </w:pPr>
      <w:r w:rsidRPr="00077581">
        <w:rPr>
          <w:rStyle w:val="Strong"/>
        </w:rPr>
        <w:t>Printed Materials:</w:t>
      </w:r>
      <w:r w:rsidRPr="00077581">
        <w:t xml:space="preserve"> Distribution of pamphlets in local language summarizing key takeaways, symptom checklists, and healthy practices.</w:t>
      </w:r>
    </w:p>
    <w:p w14:paraId="65CFADBE" w14:textId="77777777" w:rsidR="00D81433" w:rsidRPr="00077581" w:rsidRDefault="00D81433" w:rsidP="00EF0802">
      <w:pPr>
        <w:pStyle w:val="NormalWeb"/>
        <w:numPr>
          <w:ilvl w:val="0"/>
          <w:numId w:val="62"/>
        </w:numPr>
        <w:spacing w:before="0" w:beforeAutospacing="0" w:after="160" w:afterAutospacing="0" w:line="360" w:lineRule="auto"/>
        <w:jc w:val="both"/>
      </w:pPr>
      <w:r w:rsidRPr="00077581">
        <w:rPr>
          <w:rStyle w:val="Strong"/>
        </w:rPr>
        <w:t>Follow-Up Reinforcement:</w:t>
      </w:r>
      <w:r w:rsidRPr="00077581">
        <w:t xml:space="preserve"> Regular reminders and Q&amp;A sessions at ANC visits to reinforce learning and address barriers.</w:t>
      </w:r>
    </w:p>
    <w:p w14:paraId="6B49505A" w14:textId="77777777" w:rsidR="00D81433" w:rsidRDefault="00D81433" w:rsidP="00EF0802">
      <w:pPr>
        <w:pStyle w:val="NormalWeb"/>
        <w:spacing w:before="0" w:beforeAutospacing="0" w:after="160" w:afterAutospacing="0" w:line="360" w:lineRule="auto"/>
        <w:jc w:val="both"/>
      </w:pPr>
      <w:r w:rsidRPr="00077581">
        <w:t>The content was adapted to suit cultural sensitivities and literacy levels, and sessions were delivered by trained nurses and health educators under the supervision of obstetricians.</w:t>
      </w:r>
    </w:p>
    <w:p w14:paraId="5F0D147E" w14:textId="77777777" w:rsidR="00CC5373" w:rsidRPr="00077581" w:rsidRDefault="00CC5373" w:rsidP="00EF0802">
      <w:pPr>
        <w:pStyle w:val="NormalWeb"/>
        <w:spacing w:before="0" w:beforeAutospacing="0" w:after="160" w:afterAutospacing="0" w:line="360" w:lineRule="auto"/>
        <w:jc w:val="both"/>
      </w:pPr>
    </w:p>
    <w:p w14:paraId="6A809738" w14:textId="4B8E1CCA" w:rsidR="00D81433" w:rsidRPr="00077581" w:rsidRDefault="00D81433" w:rsidP="00EF0802">
      <w:pPr>
        <w:pStyle w:val="Heading3"/>
        <w:spacing w:before="0" w:after="160" w:line="360" w:lineRule="auto"/>
        <w:jc w:val="both"/>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lastRenderedPageBreak/>
        <w:t>3.11 Data Collection Procedure</w:t>
      </w:r>
    </w:p>
    <w:p w14:paraId="6236319C" w14:textId="77777777" w:rsidR="00D81433" w:rsidRPr="00064EB5" w:rsidRDefault="00D81433" w:rsidP="00EF0802">
      <w:pPr>
        <w:pStyle w:val="NormalWeb"/>
        <w:spacing w:before="0" w:beforeAutospacing="0" w:after="160" w:afterAutospacing="0" w:line="360" w:lineRule="auto"/>
        <w:jc w:val="both"/>
      </w:pPr>
      <w:r w:rsidRPr="00064EB5">
        <w:t xml:space="preserve">The data collection process was conducted in two main stages: </w:t>
      </w:r>
      <w:r w:rsidRPr="00064EB5">
        <w:rPr>
          <w:rStyle w:val="Strong"/>
          <w:b w:val="0"/>
          <w:bCs w:val="0"/>
        </w:rPr>
        <w:t>pre-intervention (baseline)</w:t>
      </w:r>
      <w:r w:rsidRPr="00064EB5">
        <w:t xml:space="preserve"> and </w:t>
      </w:r>
      <w:r w:rsidRPr="00064EB5">
        <w:rPr>
          <w:rStyle w:val="Strong"/>
          <w:b w:val="0"/>
          <w:bCs w:val="0"/>
        </w:rPr>
        <w:t>post-intervention (follow-up)</w:t>
      </w:r>
      <w:r w:rsidRPr="00064EB5">
        <w:rPr>
          <w:b/>
          <w:bCs/>
        </w:rPr>
        <w:t>.</w:t>
      </w:r>
      <w:r w:rsidRPr="00064EB5">
        <w:t xml:space="preserve"> The timeline and procedure were as follows:</w:t>
      </w:r>
    </w:p>
    <w:p w14:paraId="541A0796"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Certainly! Here is a concise paragraph for each phase of the data collection process:</w:t>
      </w:r>
    </w:p>
    <w:p w14:paraId="05A1DE23"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b/>
          <w:bCs/>
          <w:kern w:val="0"/>
          <w:lang w:eastAsia="en-IN"/>
          <w14:ligatures w14:val="none"/>
        </w:rPr>
        <w:t xml:space="preserve">A. Recruitment and Consent: </w:t>
      </w:r>
      <w:r w:rsidRPr="00077581">
        <w:rPr>
          <w:rFonts w:ascii="Times New Roman" w:eastAsia="Times New Roman" w:hAnsi="Times New Roman" w:cs="Times New Roman"/>
          <w:kern w:val="0"/>
          <w:lang w:eastAsia="en-IN"/>
          <w14:ligatures w14:val="none"/>
        </w:rPr>
        <w:t>Eligible pregnant women were identified during routine antenatal clinic visits based on predefined inclusion criteria. Each potential participant was informed about the study’s purpose, procedures, and their rights, after which written informed consent was obtained to ensure voluntary participation.</w:t>
      </w:r>
    </w:p>
    <w:p w14:paraId="2DD3939F"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b/>
          <w:bCs/>
          <w:kern w:val="0"/>
          <w:lang w:eastAsia="en-IN"/>
          <w14:ligatures w14:val="none"/>
        </w:rPr>
        <w:t xml:space="preserve">B. Pre-Test (Baseline): </w:t>
      </w:r>
      <w:r w:rsidRPr="00077581">
        <w:rPr>
          <w:rFonts w:ascii="Times New Roman" w:eastAsia="Times New Roman" w:hAnsi="Times New Roman" w:cs="Times New Roman"/>
          <w:kern w:val="0"/>
          <w:lang w:eastAsia="en-IN"/>
          <w14:ligatures w14:val="none"/>
        </w:rPr>
        <w:t>At the baseline stage, participants completed Section A (Demographics), Section B (Knowledge and Awareness), and Section D (Lifestyle Practices) of the questionnaire. Concurrently, relevant clinical data—such as thyroid hormone levels (TSH, T3, T4), blood pressure readings, and other medical indicators—were collected from hospital records for initial comparison.</w:t>
      </w:r>
    </w:p>
    <w:p w14:paraId="28D3095D"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b/>
          <w:bCs/>
          <w:kern w:val="0"/>
          <w:lang w:eastAsia="en-IN"/>
          <w14:ligatures w14:val="none"/>
        </w:rPr>
        <w:t xml:space="preserve">C. Intervention Period: </w:t>
      </w:r>
      <w:r w:rsidRPr="00077581">
        <w:rPr>
          <w:rFonts w:ascii="Times New Roman" w:eastAsia="Times New Roman" w:hAnsi="Times New Roman" w:cs="Times New Roman"/>
          <w:kern w:val="0"/>
          <w:lang w:eastAsia="en-IN"/>
          <w14:ligatures w14:val="none"/>
        </w:rPr>
        <w:t>Participants underwent structured lifestyle modification sessions over a span of 4 to 6 weeks. These sessions included guidance on diet, physical activity, stress management, and sleep hygiene. Ongoing follow-up and reinforcement were provided during their regular antenatal care (ANC) visits to promote adherence and clarify doubts.</w:t>
      </w:r>
    </w:p>
    <w:p w14:paraId="431AFD04" w14:textId="77777777" w:rsidR="00D81433" w:rsidRPr="00077581" w:rsidRDefault="00D81433" w:rsidP="00EF0802">
      <w:pPr>
        <w:spacing w:line="360" w:lineRule="auto"/>
        <w:jc w:val="both"/>
        <w:rPr>
          <w:rStyle w:val="Strong"/>
          <w:rFonts w:ascii="Times New Roman" w:eastAsia="Times New Roman" w:hAnsi="Times New Roman" w:cs="Times New Roman"/>
          <w:b w:val="0"/>
          <w:bCs w:val="0"/>
          <w:kern w:val="0"/>
          <w:lang w:eastAsia="en-IN"/>
          <w14:ligatures w14:val="none"/>
        </w:rPr>
      </w:pPr>
      <w:r w:rsidRPr="00077581">
        <w:rPr>
          <w:rFonts w:ascii="Times New Roman" w:eastAsia="Times New Roman" w:hAnsi="Times New Roman" w:cs="Times New Roman"/>
          <w:b/>
          <w:bCs/>
          <w:kern w:val="0"/>
          <w:lang w:eastAsia="en-IN"/>
          <w14:ligatures w14:val="none"/>
        </w:rPr>
        <w:t xml:space="preserve">D. Post-Test (Follow-Up): </w:t>
      </w:r>
      <w:r w:rsidRPr="00077581">
        <w:rPr>
          <w:rFonts w:ascii="Times New Roman" w:eastAsia="Times New Roman" w:hAnsi="Times New Roman" w:cs="Times New Roman"/>
          <w:kern w:val="0"/>
          <w:lang w:eastAsia="en-IN"/>
          <w14:ligatures w14:val="none"/>
        </w:rPr>
        <w:t xml:space="preserve">Following the intervention, the same questionnaire sections were re-administered to assess changes in awareness and practices. Additionally, participants completed new sections—Section E (Lifestyle Changes), Section F (Medical Outcomes), and Section G (Satisfaction &amp; Feedback)—to evaluate </w:t>
      </w:r>
      <w:proofErr w:type="spellStart"/>
      <w:r w:rsidRPr="00077581">
        <w:rPr>
          <w:rFonts w:ascii="Times New Roman" w:eastAsia="Times New Roman" w:hAnsi="Times New Roman" w:cs="Times New Roman"/>
          <w:kern w:val="0"/>
          <w:lang w:eastAsia="en-IN"/>
          <w14:ligatures w14:val="none"/>
        </w:rPr>
        <w:t>behavioral</w:t>
      </w:r>
      <w:proofErr w:type="spellEnd"/>
      <w:r w:rsidRPr="00077581">
        <w:rPr>
          <w:rFonts w:ascii="Times New Roman" w:eastAsia="Times New Roman" w:hAnsi="Times New Roman" w:cs="Times New Roman"/>
          <w:kern w:val="0"/>
          <w:lang w:eastAsia="en-IN"/>
          <w14:ligatures w14:val="none"/>
        </w:rPr>
        <w:t xml:space="preserve"> adoption and perceptions. Updated clinical parameters were also recorded to measure any physiological improvements.</w:t>
      </w:r>
    </w:p>
    <w:p w14:paraId="31800BD8" w14:textId="46DE5CD2" w:rsidR="00CC5373" w:rsidRDefault="00D81433" w:rsidP="00CC5373">
      <w:pPr>
        <w:pStyle w:val="NormalWeb"/>
        <w:spacing w:before="0" w:beforeAutospacing="0" w:after="160" w:afterAutospacing="0" w:line="360" w:lineRule="auto"/>
        <w:jc w:val="both"/>
      </w:pPr>
      <w:r w:rsidRPr="00077581">
        <w:t>To maintain data consistency and reduce bias, the same data collectors administered the questionnaires and coordinated medical data verification pre- and post-intervention.</w:t>
      </w:r>
    </w:p>
    <w:p w14:paraId="00D6E9CB" w14:textId="77777777" w:rsidR="00CC5373" w:rsidRDefault="00CC5373" w:rsidP="00CC5373">
      <w:pPr>
        <w:pStyle w:val="NormalWeb"/>
        <w:spacing w:before="0" w:beforeAutospacing="0" w:after="160" w:afterAutospacing="0" w:line="360" w:lineRule="auto"/>
        <w:jc w:val="both"/>
        <w:rPr>
          <w:rStyle w:val="Strong"/>
        </w:rPr>
      </w:pPr>
    </w:p>
    <w:p w14:paraId="4FF3E539" w14:textId="427C3167" w:rsidR="00D81433" w:rsidRPr="00077581" w:rsidRDefault="00D81433" w:rsidP="00EF0802">
      <w:pPr>
        <w:pStyle w:val="Heading3"/>
        <w:spacing w:before="0" w:after="160" w:line="360" w:lineRule="auto"/>
        <w:jc w:val="both"/>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lastRenderedPageBreak/>
        <w:t>3.12 Ethical Considerations</w:t>
      </w:r>
    </w:p>
    <w:p w14:paraId="5AADAB59" w14:textId="77777777" w:rsidR="00D81433" w:rsidRPr="00077581" w:rsidRDefault="00D81433" w:rsidP="00EF0802">
      <w:pPr>
        <w:pStyle w:val="NormalWeb"/>
        <w:spacing w:before="0" w:beforeAutospacing="0" w:after="160" w:afterAutospacing="0" w:line="360" w:lineRule="auto"/>
        <w:jc w:val="both"/>
      </w:pPr>
      <w:r w:rsidRPr="00077581">
        <w:t>Ethical integrity was maintained throughout the research process, guided by national and institutional ethical standards.</w:t>
      </w:r>
    </w:p>
    <w:p w14:paraId="539367E6" w14:textId="77777777" w:rsidR="00D81433" w:rsidRPr="00077581" w:rsidRDefault="00D81433" w:rsidP="00EF0802">
      <w:pPr>
        <w:pStyle w:val="NormalWeb"/>
        <w:spacing w:before="0" w:beforeAutospacing="0" w:after="160" w:afterAutospacing="0" w:line="360" w:lineRule="auto"/>
        <w:jc w:val="both"/>
      </w:pPr>
      <w:r w:rsidRPr="00077581">
        <w:rPr>
          <w:rStyle w:val="Strong"/>
        </w:rPr>
        <w:t>Approval:</w:t>
      </w:r>
      <w:r w:rsidRPr="00077581">
        <w:t xml:space="preserve"> Ethical clearance was obtained from the [Insert Name] Institutional Ethics Committee prior to data collection.</w:t>
      </w:r>
    </w:p>
    <w:p w14:paraId="5905B1FA" w14:textId="77777777" w:rsidR="00D81433" w:rsidRPr="00077581" w:rsidRDefault="00D81433" w:rsidP="00EF0802">
      <w:pPr>
        <w:pStyle w:val="NormalWeb"/>
        <w:spacing w:before="0" w:beforeAutospacing="0" w:after="160" w:afterAutospacing="0" w:line="360" w:lineRule="auto"/>
        <w:jc w:val="both"/>
      </w:pPr>
      <w:r w:rsidRPr="00077581">
        <w:rPr>
          <w:rStyle w:val="Strong"/>
        </w:rPr>
        <w:t>Informed Consent:</w:t>
      </w:r>
      <w:r w:rsidRPr="00077581">
        <w:t xml:space="preserve"> Written informed consent was secured from all participants after explaining the purpose, procedures, benefits, and confidentiality protocols.</w:t>
      </w:r>
    </w:p>
    <w:p w14:paraId="4A89B257" w14:textId="77777777" w:rsidR="00D81433" w:rsidRPr="00077581" w:rsidRDefault="00D81433" w:rsidP="00EF0802">
      <w:pPr>
        <w:pStyle w:val="NormalWeb"/>
        <w:spacing w:before="0" w:beforeAutospacing="0" w:after="160" w:afterAutospacing="0" w:line="360" w:lineRule="auto"/>
        <w:jc w:val="both"/>
      </w:pPr>
      <w:r w:rsidRPr="00077581">
        <w:rPr>
          <w:rStyle w:val="Strong"/>
        </w:rPr>
        <w:t>Voluntary Participation:</w:t>
      </w:r>
      <w:r w:rsidRPr="00077581">
        <w:t xml:space="preserve"> Participation was entirely voluntary, with the right to withdraw at any stage without any impact on medical care.</w:t>
      </w:r>
    </w:p>
    <w:p w14:paraId="1F8B8A60" w14:textId="77777777" w:rsidR="00D81433" w:rsidRPr="00077581" w:rsidRDefault="00D81433" w:rsidP="00EF0802">
      <w:pPr>
        <w:pStyle w:val="NormalWeb"/>
        <w:spacing w:before="0" w:beforeAutospacing="0" w:after="160" w:afterAutospacing="0" w:line="360" w:lineRule="auto"/>
        <w:jc w:val="both"/>
      </w:pPr>
      <w:r w:rsidRPr="00077581">
        <w:rPr>
          <w:rStyle w:val="Strong"/>
        </w:rPr>
        <w:t>Confidentiality:</w:t>
      </w:r>
      <w:r w:rsidRPr="00077581">
        <w:t xml:space="preserve"> Participant information was coded and stored securely. Names or identifiable information were not disclosed in any publications.</w:t>
      </w:r>
    </w:p>
    <w:p w14:paraId="3A9ACFDD" w14:textId="374AB6C2" w:rsidR="00D81433" w:rsidRPr="00077581" w:rsidRDefault="00D81433" w:rsidP="00EF0802">
      <w:pPr>
        <w:pStyle w:val="NormalWeb"/>
        <w:spacing w:before="0" w:beforeAutospacing="0" w:after="160" w:afterAutospacing="0" w:line="360" w:lineRule="auto"/>
      </w:pPr>
      <w:r w:rsidRPr="00077581">
        <w:rPr>
          <w:rStyle w:val="Strong"/>
        </w:rPr>
        <w:t>Non-Maleficence:</w:t>
      </w:r>
      <w:r w:rsidRPr="00077581">
        <w:t xml:space="preserve"> No invasive procedures were used, and all lifestyle suggestions adhered to prenatal care safety norms.</w:t>
      </w:r>
    </w:p>
    <w:p w14:paraId="748D4908" w14:textId="77777777" w:rsidR="003D240C" w:rsidRDefault="003D240C" w:rsidP="00EF0802">
      <w:pPr>
        <w:pStyle w:val="Heading3"/>
        <w:spacing w:before="0" w:after="160" w:line="360" w:lineRule="auto"/>
        <w:jc w:val="both"/>
        <w:rPr>
          <w:rStyle w:val="Strong"/>
          <w:rFonts w:ascii="Times New Roman" w:hAnsi="Times New Roman" w:cs="Times New Roman"/>
          <w:color w:val="auto"/>
          <w:sz w:val="24"/>
          <w:szCs w:val="24"/>
        </w:rPr>
      </w:pPr>
    </w:p>
    <w:p w14:paraId="60253683" w14:textId="1D5F8566" w:rsidR="00D81433" w:rsidRPr="00077581" w:rsidRDefault="00D81433" w:rsidP="00EF0802">
      <w:pPr>
        <w:pStyle w:val="Heading3"/>
        <w:spacing w:before="0" w:after="160" w:line="360" w:lineRule="auto"/>
        <w:jc w:val="both"/>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3.13 Data Analysis Plan</w:t>
      </w:r>
    </w:p>
    <w:p w14:paraId="0EA928A5" w14:textId="77777777" w:rsidR="00D81433" w:rsidRPr="00077581" w:rsidRDefault="00D81433" w:rsidP="00EF0802">
      <w:pPr>
        <w:pStyle w:val="NormalWeb"/>
        <w:spacing w:before="0" w:beforeAutospacing="0" w:after="160" w:afterAutospacing="0" w:line="360" w:lineRule="auto"/>
        <w:jc w:val="both"/>
      </w:pPr>
      <w:r w:rsidRPr="00077581">
        <w:t xml:space="preserve">The data collected from participants before and after the lifestyle modification intervention were </w:t>
      </w:r>
      <w:proofErr w:type="spellStart"/>
      <w:r w:rsidRPr="00077581">
        <w:t>analyzed</w:t>
      </w:r>
      <w:proofErr w:type="spellEnd"/>
      <w:r w:rsidRPr="00077581">
        <w:t xml:space="preserve"> using </w:t>
      </w:r>
      <w:r w:rsidRPr="00064EB5">
        <w:rPr>
          <w:rStyle w:val="Strong"/>
          <w:b w:val="0"/>
          <w:bCs w:val="0"/>
        </w:rPr>
        <w:t>SPSS (Statistical Package for the Social Sciences)</w:t>
      </w:r>
      <w:r w:rsidRPr="00064EB5">
        <w:rPr>
          <w:b/>
          <w:bCs/>
        </w:rPr>
        <w:t>,</w:t>
      </w:r>
      <w:r w:rsidRPr="00077581">
        <w:t xml:space="preserve"> version 27. The analysis aimed to assess the effectiveness of the intervention in improving awareness, altering health-related </w:t>
      </w:r>
      <w:proofErr w:type="spellStart"/>
      <w:r w:rsidRPr="00077581">
        <w:t>behaviors</w:t>
      </w:r>
      <w:proofErr w:type="spellEnd"/>
      <w:r w:rsidRPr="00077581">
        <w:t xml:space="preserve">, and contributing to better clinical outcomes (e.g., blood pressure and thyroid hormone levels). Both </w:t>
      </w:r>
      <w:r w:rsidRPr="00064EB5">
        <w:rPr>
          <w:rStyle w:val="Strong"/>
          <w:b w:val="0"/>
          <w:bCs w:val="0"/>
        </w:rPr>
        <w:t>descriptive</w:t>
      </w:r>
      <w:r w:rsidRPr="00077581">
        <w:t xml:space="preserve"> and </w:t>
      </w:r>
      <w:r w:rsidRPr="00064EB5">
        <w:rPr>
          <w:rStyle w:val="Strong"/>
          <w:b w:val="0"/>
          <w:bCs w:val="0"/>
        </w:rPr>
        <w:t>inferential</w:t>
      </w:r>
      <w:r w:rsidRPr="00077581">
        <w:rPr>
          <w:rStyle w:val="Strong"/>
        </w:rPr>
        <w:t xml:space="preserve"> </w:t>
      </w:r>
      <w:r w:rsidRPr="00064EB5">
        <w:rPr>
          <w:rStyle w:val="Strong"/>
          <w:b w:val="0"/>
          <w:bCs w:val="0"/>
        </w:rPr>
        <w:t>statistical</w:t>
      </w:r>
      <w:r w:rsidRPr="00077581">
        <w:rPr>
          <w:rStyle w:val="Strong"/>
        </w:rPr>
        <w:t xml:space="preserve"> </w:t>
      </w:r>
      <w:r w:rsidRPr="00064EB5">
        <w:rPr>
          <w:rStyle w:val="Strong"/>
          <w:b w:val="0"/>
          <w:bCs w:val="0"/>
        </w:rPr>
        <w:t>techniques</w:t>
      </w:r>
      <w:r w:rsidRPr="00077581">
        <w:t xml:space="preserve"> were used to ensure comprehensive and rigorous interpretation of the findings.</w:t>
      </w:r>
    </w:p>
    <w:p w14:paraId="0A88E862" w14:textId="77777777" w:rsidR="00D81433" w:rsidRPr="00077581" w:rsidRDefault="00D81433" w:rsidP="00EF0802">
      <w:pPr>
        <w:pStyle w:val="Heading4"/>
        <w:spacing w:before="0" w:after="160" w:line="360" w:lineRule="auto"/>
        <w:jc w:val="both"/>
        <w:rPr>
          <w:rFonts w:ascii="Times New Roman" w:hAnsi="Times New Roman" w:cs="Times New Roman"/>
          <w:color w:val="auto"/>
        </w:rPr>
      </w:pPr>
      <w:r w:rsidRPr="00077581">
        <w:rPr>
          <w:rStyle w:val="Strong"/>
          <w:rFonts w:ascii="Times New Roman" w:hAnsi="Times New Roman" w:cs="Times New Roman"/>
          <w:color w:val="auto"/>
        </w:rPr>
        <w:t>Descriptive Analysis</w:t>
      </w:r>
    </w:p>
    <w:p w14:paraId="4147B20C" w14:textId="77777777" w:rsidR="00D81433" w:rsidRPr="00077581" w:rsidRDefault="00D81433" w:rsidP="00EF0802">
      <w:pPr>
        <w:pStyle w:val="NormalWeb"/>
        <w:spacing w:before="0" w:beforeAutospacing="0" w:after="160" w:afterAutospacing="0" w:line="360" w:lineRule="auto"/>
        <w:jc w:val="both"/>
      </w:pPr>
      <w:r w:rsidRPr="00077581">
        <w:t>Descriptive statistics were employed to summarize the baseline characteristics and post-intervention status of the study participants. These included:</w:t>
      </w:r>
    </w:p>
    <w:p w14:paraId="768643E8" w14:textId="77777777" w:rsidR="00D81433" w:rsidRPr="00077581" w:rsidRDefault="00D81433" w:rsidP="00EF0802">
      <w:pPr>
        <w:pStyle w:val="NormalWeb"/>
        <w:numPr>
          <w:ilvl w:val="0"/>
          <w:numId w:val="67"/>
        </w:numPr>
        <w:spacing w:before="0" w:beforeAutospacing="0" w:after="160" w:afterAutospacing="0" w:line="360" w:lineRule="auto"/>
        <w:jc w:val="both"/>
      </w:pPr>
      <w:r w:rsidRPr="00077581">
        <w:rPr>
          <w:rStyle w:val="Strong"/>
        </w:rPr>
        <w:t>Frequencies and percentages</w:t>
      </w:r>
      <w:r w:rsidRPr="00077581">
        <w:t xml:space="preserve"> to describe categorical variables such as education level, occupation, residence type, family history, and lifestyle </w:t>
      </w:r>
      <w:proofErr w:type="spellStart"/>
      <w:r w:rsidRPr="00077581">
        <w:t>behaviors</w:t>
      </w:r>
      <w:proofErr w:type="spellEnd"/>
      <w:r w:rsidRPr="00077581">
        <w:t xml:space="preserve"> (e.g., exercise frequency, supplement intake).</w:t>
      </w:r>
    </w:p>
    <w:p w14:paraId="17E81B69" w14:textId="77777777" w:rsidR="00D81433" w:rsidRPr="00077581" w:rsidRDefault="00D81433" w:rsidP="00EF0802">
      <w:pPr>
        <w:pStyle w:val="NormalWeb"/>
        <w:numPr>
          <w:ilvl w:val="0"/>
          <w:numId w:val="67"/>
        </w:numPr>
        <w:spacing w:before="0" w:beforeAutospacing="0" w:after="160" w:afterAutospacing="0" w:line="360" w:lineRule="auto"/>
        <w:jc w:val="both"/>
      </w:pPr>
      <w:r w:rsidRPr="00077581">
        <w:rPr>
          <w:rStyle w:val="Strong"/>
        </w:rPr>
        <w:lastRenderedPageBreak/>
        <w:t>Means and standard deviations</w:t>
      </w:r>
      <w:r w:rsidRPr="00077581">
        <w:t xml:space="preserve"> to evaluate continuous variables such as age, awareness scores, and clinical parameters (e.g., systolic and diastolic blood pressure, TSH levels).</w:t>
      </w:r>
    </w:p>
    <w:p w14:paraId="76A00315" w14:textId="163B5A7D" w:rsidR="00D81433" w:rsidRPr="00EF0802" w:rsidRDefault="00D81433" w:rsidP="00EF0802">
      <w:pPr>
        <w:pStyle w:val="NormalWeb"/>
        <w:numPr>
          <w:ilvl w:val="0"/>
          <w:numId w:val="67"/>
        </w:numPr>
        <w:spacing w:before="0" w:beforeAutospacing="0" w:after="160" w:afterAutospacing="0" w:line="360" w:lineRule="auto"/>
        <w:jc w:val="both"/>
      </w:pPr>
      <w:r w:rsidRPr="00077581">
        <w:t>These summary statistics were instrumental in providing a demographic profile of the sample and identifying trends or patterns in health knowledge and practices.</w:t>
      </w:r>
    </w:p>
    <w:p w14:paraId="73A32899" w14:textId="77777777" w:rsidR="00D81433" w:rsidRPr="00077581" w:rsidRDefault="00D81433" w:rsidP="00EF0802">
      <w:pPr>
        <w:pStyle w:val="Heading4"/>
        <w:spacing w:before="0" w:after="160" w:line="360" w:lineRule="auto"/>
        <w:rPr>
          <w:rFonts w:ascii="Times New Roman" w:hAnsi="Times New Roman" w:cs="Times New Roman"/>
          <w:color w:val="auto"/>
        </w:rPr>
      </w:pPr>
      <w:r w:rsidRPr="00077581">
        <w:rPr>
          <w:rStyle w:val="Strong"/>
          <w:rFonts w:ascii="Times New Roman" w:hAnsi="Times New Roman" w:cs="Times New Roman"/>
          <w:color w:val="auto"/>
        </w:rPr>
        <w:t>Inferential Analysis</w:t>
      </w:r>
    </w:p>
    <w:p w14:paraId="55596C0B" w14:textId="77777777" w:rsidR="00D81433" w:rsidRPr="00077581" w:rsidRDefault="00D81433" w:rsidP="00EF0802">
      <w:pPr>
        <w:pStyle w:val="NormalWeb"/>
        <w:spacing w:before="0" w:beforeAutospacing="0" w:after="160" w:afterAutospacing="0" w:line="360" w:lineRule="auto"/>
      </w:pPr>
      <w:r w:rsidRPr="00077581">
        <w:t>To test the study hypotheses and examine the relationships and effects of the intervention, the following inferential statistical tests were applied (see Table 3.3):</w:t>
      </w:r>
    </w:p>
    <w:p w14:paraId="6292C294" w14:textId="77777777" w:rsidR="00D81433" w:rsidRPr="00077581" w:rsidRDefault="00D81433" w:rsidP="00EF0802">
      <w:pPr>
        <w:pStyle w:val="NormalWeb"/>
        <w:spacing w:before="0" w:beforeAutospacing="0" w:after="160" w:afterAutospacing="0" w:line="360" w:lineRule="auto"/>
        <w:rPr>
          <w:b/>
          <w:bCs/>
        </w:rPr>
      </w:pPr>
      <w:r w:rsidRPr="00077581">
        <w:rPr>
          <w:b/>
          <w:bCs/>
        </w:rPr>
        <w:t>Table 3.3 Statistical Tests for Hypotheses Testing</w:t>
      </w:r>
    </w:p>
    <w:tbl>
      <w:tblPr>
        <w:tblStyle w:val="TableGrid"/>
        <w:tblW w:w="0" w:type="auto"/>
        <w:tblLook w:val="04A0" w:firstRow="1" w:lastRow="0" w:firstColumn="1" w:lastColumn="0" w:noHBand="0" w:noVBand="1"/>
      </w:tblPr>
      <w:tblGrid>
        <w:gridCol w:w="1350"/>
        <w:gridCol w:w="2541"/>
        <w:gridCol w:w="4405"/>
      </w:tblGrid>
      <w:tr w:rsidR="00D81433" w:rsidRPr="00077581" w14:paraId="6DFE799E" w14:textId="77777777" w:rsidTr="00E55E15">
        <w:tc>
          <w:tcPr>
            <w:tcW w:w="0" w:type="auto"/>
            <w:hideMark/>
          </w:tcPr>
          <w:p w14:paraId="333F86C7"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Hypothesis</w:t>
            </w:r>
          </w:p>
        </w:tc>
        <w:tc>
          <w:tcPr>
            <w:tcW w:w="0" w:type="auto"/>
            <w:hideMark/>
          </w:tcPr>
          <w:p w14:paraId="2722400F"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Statistical Test Used</w:t>
            </w:r>
          </w:p>
        </w:tc>
        <w:tc>
          <w:tcPr>
            <w:tcW w:w="0" w:type="auto"/>
            <w:hideMark/>
          </w:tcPr>
          <w:p w14:paraId="68004907"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Purpose</w:t>
            </w:r>
          </w:p>
        </w:tc>
      </w:tr>
      <w:tr w:rsidR="00D81433" w:rsidRPr="00077581" w14:paraId="02DE3FD2" w14:textId="77777777" w:rsidTr="00E55E15">
        <w:tc>
          <w:tcPr>
            <w:tcW w:w="0" w:type="auto"/>
            <w:hideMark/>
          </w:tcPr>
          <w:p w14:paraId="568C87B3" w14:textId="77777777" w:rsidR="00D81433" w:rsidRPr="00A83F7A" w:rsidRDefault="00D81433" w:rsidP="00EF0802">
            <w:pPr>
              <w:spacing w:line="360" w:lineRule="auto"/>
              <w:rPr>
                <w:rFonts w:ascii="Times New Roman" w:hAnsi="Times New Roman" w:cs="Times New Roman"/>
                <w:b/>
                <w:bCs/>
              </w:rPr>
            </w:pPr>
            <w:r w:rsidRPr="00A83F7A">
              <w:rPr>
                <w:rStyle w:val="Strong"/>
                <w:rFonts w:ascii="Times New Roman" w:hAnsi="Times New Roman" w:cs="Times New Roman"/>
                <w:b w:val="0"/>
                <w:bCs w:val="0"/>
              </w:rPr>
              <w:t>H1</w:t>
            </w:r>
          </w:p>
        </w:tc>
        <w:tc>
          <w:tcPr>
            <w:tcW w:w="0" w:type="auto"/>
            <w:hideMark/>
          </w:tcPr>
          <w:p w14:paraId="683ECE0B" w14:textId="77777777" w:rsidR="00D81433" w:rsidRPr="00077581" w:rsidRDefault="00D81433" w:rsidP="00EF0802">
            <w:pPr>
              <w:spacing w:line="360" w:lineRule="auto"/>
              <w:rPr>
                <w:rFonts w:ascii="Times New Roman" w:hAnsi="Times New Roman" w:cs="Times New Roman"/>
              </w:rPr>
            </w:pPr>
            <w:r w:rsidRPr="00077581">
              <w:rPr>
                <w:rStyle w:val="Emphasis"/>
                <w:rFonts w:ascii="Times New Roman" w:hAnsi="Times New Roman" w:cs="Times New Roman"/>
              </w:rPr>
              <w:t>Paired Sample t-Test</w:t>
            </w:r>
          </w:p>
        </w:tc>
        <w:tc>
          <w:tcPr>
            <w:tcW w:w="0" w:type="auto"/>
            <w:hideMark/>
          </w:tcPr>
          <w:p w14:paraId="4C736B0A"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To assess whether there was a statistically significant difference in awareness scores before and after the intervention.</w:t>
            </w:r>
          </w:p>
        </w:tc>
      </w:tr>
      <w:tr w:rsidR="00D81433" w:rsidRPr="00077581" w14:paraId="111E02F2" w14:textId="77777777" w:rsidTr="00E55E15">
        <w:tc>
          <w:tcPr>
            <w:tcW w:w="0" w:type="auto"/>
            <w:hideMark/>
          </w:tcPr>
          <w:p w14:paraId="2342FEF5" w14:textId="77777777" w:rsidR="00D81433" w:rsidRPr="00A83F7A" w:rsidRDefault="00D81433" w:rsidP="00EF0802">
            <w:pPr>
              <w:spacing w:line="360" w:lineRule="auto"/>
              <w:rPr>
                <w:rFonts w:ascii="Times New Roman" w:hAnsi="Times New Roman" w:cs="Times New Roman"/>
                <w:b/>
                <w:bCs/>
              </w:rPr>
            </w:pPr>
            <w:r w:rsidRPr="00A83F7A">
              <w:rPr>
                <w:rStyle w:val="Strong"/>
                <w:rFonts w:ascii="Times New Roman" w:hAnsi="Times New Roman" w:cs="Times New Roman"/>
                <w:b w:val="0"/>
                <w:bCs w:val="0"/>
              </w:rPr>
              <w:t>H2</w:t>
            </w:r>
          </w:p>
        </w:tc>
        <w:tc>
          <w:tcPr>
            <w:tcW w:w="0" w:type="auto"/>
            <w:hideMark/>
          </w:tcPr>
          <w:p w14:paraId="5C3BC22A" w14:textId="77777777" w:rsidR="00D81433" w:rsidRPr="00077581" w:rsidRDefault="00D81433" w:rsidP="00EF0802">
            <w:pPr>
              <w:spacing w:line="360" w:lineRule="auto"/>
              <w:rPr>
                <w:rFonts w:ascii="Times New Roman" w:hAnsi="Times New Roman" w:cs="Times New Roman"/>
              </w:rPr>
            </w:pPr>
            <w:r w:rsidRPr="00077581">
              <w:rPr>
                <w:rStyle w:val="Emphasis"/>
                <w:rFonts w:ascii="Times New Roman" w:hAnsi="Times New Roman" w:cs="Times New Roman"/>
              </w:rPr>
              <w:t>Chi-square Test of Independence</w:t>
            </w:r>
          </w:p>
        </w:tc>
        <w:tc>
          <w:tcPr>
            <w:tcW w:w="0" w:type="auto"/>
            <w:hideMark/>
          </w:tcPr>
          <w:p w14:paraId="7B94A8D6"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To examine associations between awareness levels and selected demographic variables such as education, income, and parity.</w:t>
            </w:r>
          </w:p>
        </w:tc>
      </w:tr>
      <w:tr w:rsidR="00D81433" w:rsidRPr="00077581" w14:paraId="2AB594FD" w14:textId="77777777" w:rsidTr="00E55E15">
        <w:tc>
          <w:tcPr>
            <w:tcW w:w="0" w:type="auto"/>
            <w:hideMark/>
          </w:tcPr>
          <w:p w14:paraId="4763B24A" w14:textId="77777777" w:rsidR="00D81433" w:rsidRPr="00A83F7A" w:rsidRDefault="00D81433" w:rsidP="00EF0802">
            <w:pPr>
              <w:spacing w:line="360" w:lineRule="auto"/>
              <w:rPr>
                <w:rFonts w:ascii="Times New Roman" w:hAnsi="Times New Roman" w:cs="Times New Roman"/>
                <w:b/>
                <w:bCs/>
              </w:rPr>
            </w:pPr>
            <w:r w:rsidRPr="00A83F7A">
              <w:rPr>
                <w:rStyle w:val="Strong"/>
                <w:rFonts w:ascii="Times New Roman" w:hAnsi="Times New Roman" w:cs="Times New Roman"/>
                <w:b w:val="0"/>
                <w:bCs w:val="0"/>
              </w:rPr>
              <w:t>H3</w:t>
            </w:r>
          </w:p>
        </w:tc>
        <w:tc>
          <w:tcPr>
            <w:tcW w:w="0" w:type="auto"/>
            <w:hideMark/>
          </w:tcPr>
          <w:p w14:paraId="56BB9972" w14:textId="77777777" w:rsidR="00D81433" w:rsidRPr="00077581" w:rsidRDefault="00D81433" w:rsidP="00EF0802">
            <w:pPr>
              <w:spacing w:line="360" w:lineRule="auto"/>
              <w:rPr>
                <w:rFonts w:ascii="Times New Roman" w:hAnsi="Times New Roman" w:cs="Times New Roman"/>
              </w:rPr>
            </w:pPr>
            <w:r w:rsidRPr="00077581">
              <w:rPr>
                <w:rStyle w:val="Emphasis"/>
                <w:rFonts w:ascii="Times New Roman" w:hAnsi="Times New Roman" w:cs="Times New Roman"/>
              </w:rPr>
              <w:t>Wilcoxon Signed-Rank Test</w:t>
            </w:r>
            <w:r w:rsidRPr="00077581">
              <w:rPr>
                <w:rFonts w:ascii="Times New Roman" w:hAnsi="Times New Roman" w:cs="Times New Roman"/>
              </w:rPr>
              <w:t xml:space="preserve"> and </w:t>
            </w:r>
            <w:r w:rsidRPr="00077581">
              <w:rPr>
                <w:rStyle w:val="Emphasis"/>
                <w:rFonts w:ascii="Times New Roman" w:hAnsi="Times New Roman" w:cs="Times New Roman"/>
              </w:rPr>
              <w:t>McNemar’s Test</w:t>
            </w:r>
          </w:p>
        </w:tc>
        <w:tc>
          <w:tcPr>
            <w:tcW w:w="0" w:type="auto"/>
            <w:hideMark/>
          </w:tcPr>
          <w:p w14:paraId="75FA9F13"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To assess pre- and post-intervention changes in ordinal and binary lifestyle practices (e.g., exercise frequency, diet modification, supplement use).</w:t>
            </w:r>
          </w:p>
        </w:tc>
      </w:tr>
      <w:tr w:rsidR="00D81433" w:rsidRPr="00077581" w14:paraId="3397B1B0" w14:textId="77777777" w:rsidTr="00E55E15">
        <w:tc>
          <w:tcPr>
            <w:tcW w:w="0" w:type="auto"/>
            <w:hideMark/>
          </w:tcPr>
          <w:p w14:paraId="132175C5" w14:textId="77777777" w:rsidR="00D81433" w:rsidRPr="00A83F7A" w:rsidRDefault="00D81433" w:rsidP="00EF0802">
            <w:pPr>
              <w:spacing w:line="360" w:lineRule="auto"/>
              <w:rPr>
                <w:rFonts w:ascii="Times New Roman" w:hAnsi="Times New Roman" w:cs="Times New Roman"/>
                <w:b/>
                <w:bCs/>
              </w:rPr>
            </w:pPr>
            <w:r w:rsidRPr="00A83F7A">
              <w:rPr>
                <w:rStyle w:val="Strong"/>
                <w:rFonts w:ascii="Times New Roman" w:hAnsi="Times New Roman" w:cs="Times New Roman"/>
                <w:b w:val="0"/>
                <w:bCs w:val="0"/>
              </w:rPr>
              <w:t>H4</w:t>
            </w:r>
          </w:p>
        </w:tc>
        <w:tc>
          <w:tcPr>
            <w:tcW w:w="0" w:type="auto"/>
            <w:hideMark/>
          </w:tcPr>
          <w:p w14:paraId="05AFC177" w14:textId="77777777" w:rsidR="00D81433" w:rsidRPr="00077581" w:rsidRDefault="00D81433" w:rsidP="00EF0802">
            <w:pPr>
              <w:spacing w:line="360" w:lineRule="auto"/>
              <w:rPr>
                <w:rFonts w:ascii="Times New Roman" w:hAnsi="Times New Roman" w:cs="Times New Roman"/>
              </w:rPr>
            </w:pPr>
            <w:r w:rsidRPr="00077581">
              <w:rPr>
                <w:rStyle w:val="Emphasis"/>
                <w:rFonts w:ascii="Times New Roman" w:hAnsi="Times New Roman" w:cs="Times New Roman"/>
              </w:rPr>
              <w:t>Wilcoxon Signed-Rank Test</w:t>
            </w:r>
            <w:r w:rsidRPr="00077581">
              <w:rPr>
                <w:rFonts w:ascii="Times New Roman" w:hAnsi="Times New Roman" w:cs="Times New Roman"/>
              </w:rPr>
              <w:t xml:space="preserve"> and comparison of clinical data</w:t>
            </w:r>
          </w:p>
        </w:tc>
        <w:tc>
          <w:tcPr>
            <w:tcW w:w="0" w:type="auto"/>
            <w:hideMark/>
          </w:tcPr>
          <w:p w14:paraId="429D9CD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To evaluate the physiological impact of lifestyle education on measurable clinical outcomes (e.g., thyroid hormone levels, blood pressure).</w:t>
            </w:r>
          </w:p>
        </w:tc>
      </w:tr>
    </w:tbl>
    <w:p w14:paraId="5D8879E3" w14:textId="77777777" w:rsidR="00D81433" w:rsidRPr="00077581" w:rsidRDefault="00D81433" w:rsidP="00EF0802">
      <w:pPr>
        <w:pStyle w:val="NormalWeb"/>
        <w:spacing w:before="0" w:beforeAutospacing="0" w:after="160" w:afterAutospacing="0" w:line="360" w:lineRule="auto"/>
      </w:pPr>
    </w:p>
    <w:p w14:paraId="57B8E835" w14:textId="77777777" w:rsidR="00D81433" w:rsidRPr="00077581" w:rsidRDefault="00D81433" w:rsidP="00EF0802">
      <w:pPr>
        <w:pStyle w:val="NormalWeb"/>
        <w:spacing w:before="0" w:beforeAutospacing="0" w:after="160" w:afterAutospacing="0" w:line="360" w:lineRule="auto"/>
        <w:jc w:val="both"/>
      </w:pPr>
      <w:r w:rsidRPr="00077581">
        <w:t xml:space="preserve">Each test was chosen based on the level of measurement and distribution of the data. For example, the </w:t>
      </w:r>
      <w:r w:rsidRPr="00464D72">
        <w:rPr>
          <w:rStyle w:val="Strong"/>
          <w:b w:val="0"/>
          <w:bCs w:val="0"/>
        </w:rPr>
        <w:t>Wilcoxon Signed-Rank Test</w:t>
      </w:r>
      <w:r w:rsidRPr="00077581">
        <w:rPr>
          <w:b/>
          <w:bCs/>
        </w:rPr>
        <w:t>,</w:t>
      </w:r>
      <w:r w:rsidRPr="00077581">
        <w:t xml:space="preserve"> a non-parametric alternative to the paired t-test, was used where data did not meet normality assumptions or where ordinal scales were involved.</w:t>
      </w:r>
    </w:p>
    <w:p w14:paraId="05E2729D" w14:textId="77777777" w:rsidR="00D81433" w:rsidRPr="00077581" w:rsidRDefault="00D81433" w:rsidP="00EF0802">
      <w:pPr>
        <w:pStyle w:val="Heading4"/>
        <w:spacing w:before="0" w:after="160" w:line="360" w:lineRule="auto"/>
        <w:jc w:val="both"/>
        <w:rPr>
          <w:rFonts w:ascii="Times New Roman" w:hAnsi="Times New Roman" w:cs="Times New Roman"/>
          <w:color w:val="auto"/>
        </w:rPr>
      </w:pPr>
      <w:r w:rsidRPr="00077581">
        <w:rPr>
          <w:rStyle w:val="Strong"/>
          <w:rFonts w:ascii="Times New Roman" w:hAnsi="Times New Roman" w:cs="Times New Roman"/>
          <w:color w:val="auto"/>
        </w:rPr>
        <w:lastRenderedPageBreak/>
        <w:t>Scoring Criteria</w:t>
      </w:r>
    </w:p>
    <w:p w14:paraId="5B53B4B2" w14:textId="77777777" w:rsidR="00D81433" w:rsidRPr="00077581" w:rsidRDefault="00D81433" w:rsidP="00EF0802">
      <w:pPr>
        <w:pStyle w:val="NormalWeb"/>
        <w:spacing w:before="0" w:beforeAutospacing="0" w:after="160" w:afterAutospacing="0" w:line="360" w:lineRule="auto"/>
        <w:jc w:val="both"/>
      </w:pPr>
      <w:r w:rsidRPr="00077581">
        <w:t xml:space="preserve">To quantify participants' knowledge and interpret </w:t>
      </w:r>
      <w:proofErr w:type="spellStart"/>
      <w:r w:rsidRPr="00077581">
        <w:t>behavioral</w:t>
      </w:r>
      <w:proofErr w:type="spellEnd"/>
      <w:r w:rsidRPr="00077581">
        <w:t xml:space="preserve"> changes, the following scoring and categorization criteria were applied:</w:t>
      </w:r>
    </w:p>
    <w:p w14:paraId="3547EB54" w14:textId="77777777" w:rsidR="00D81433" w:rsidRPr="00077581" w:rsidRDefault="00D81433" w:rsidP="00EF0802">
      <w:pPr>
        <w:pStyle w:val="NormalWeb"/>
        <w:numPr>
          <w:ilvl w:val="0"/>
          <w:numId w:val="68"/>
        </w:numPr>
        <w:spacing w:before="0" w:beforeAutospacing="0" w:after="160" w:afterAutospacing="0" w:line="360" w:lineRule="auto"/>
        <w:jc w:val="both"/>
      </w:pPr>
      <w:r w:rsidRPr="00077581">
        <w:rPr>
          <w:rStyle w:val="Strong"/>
        </w:rPr>
        <w:t>Knowledge Scores (based on Section B of the questionnaire):</w:t>
      </w:r>
    </w:p>
    <w:p w14:paraId="231BC71D" w14:textId="77777777" w:rsidR="00D81433" w:rsidRPr="00077581" w:rsidRDefault="00D81433" w:rsidP="00EF0802">
      <w:pPr>
        <w:pStyle w:val="NormalWeb"/>
        <w:numPr>
          <w:ilvl w:val="1"/>
          <w:numId w:val="68"/>
        </w:numPr>
        <w:spacing w:before="0" w:beforeAutospacing="0" w:after="160" w:afterAutospacing="0" w:line="360" w:lineRule="auto"/>
        <w:jc w:val="both"/>
      </w:pPr>
      <w:r w:rsidRPr="00077581">
        <w:rPr>
          <w:rStyle w:val="Strong"/>
        </w:rPr>
        <w:t>0–3:</w:t>
      </w:r>
      <w:r w:rsidRPr="00077581">
        <w:t xml:space="preserve"> Low knowledge</w:t>
      </w:r>
    </w:p>
    <w:p w14:paraId="7BB275F4" w14:textId="77777777" w:rsidR="00D81433" w:rsidRPr="00077581" w:rsidRDefault="00D81433" w:rsidP="00EF0802">
      <w:pPr>
        <w:pStyle w:val="NormalWeb"/>
        <w:numPr>
          <w:ilvl w:val="1"/>
          <w:numId w:val="68"/>
        </w:numPr>
        <w:spacing w:before="0" w:beforeAutospacing="0" w:after="160" w:afterAutospacing="0" w:line="360" w:lineRule="auto"/>
        <w:jc w:val="both"/>
      </w:pPr>
      <w:r w:rsidRPr="00077581">
        <w:rPr>
          <w:rStyle w:val="Strong"/>
        </w:rPr>
        <w:t>4–6:</w:t>
      </w:r>
      <w:r w:rsidRPr="00077581">
        <w:t xml:space="preserve"> Moderate knowledge</w:t>
      </w:r>
    </w:p>
    <w:p w14:paraId="08640A5B" w14:textId="77777777" w:rsidR="00D81433" w:rsidRPr="00077581" w:rsidRDefault="00D81433" w:rsidP="00EF0802">
      <w:pPr>
        <w:pStyle w:val="NormalWeb"/>
        <w:numPr>
          <w:ilvl w:val="1"/>
          <w:numId w:val="68"/>
        </w:numPr>
        <w:spacing w:before="0" w:beforeAutospacing="0" w:after="160" w:afterAutospacing="0" w:line="360" w:lineRule="auto"/>
        <w:jc w:val="both"/>
      </w:pPr>
      <w:r w:rsidRPr="00077581">
        <w:rPr>
          <w:rStyle w:val="Strong"/>
        </w:rPr>
        <w:t>7–8:</w:t>
      </w:r>
      <w:r w:rsidRPr="00077581">
        <w:t xml:space="preserve"> High knowledge</w:t>
      </w:r>
    </w:p>
    <w:p w14:paraId="00EDEA27" w14:textId="77777777" w:rsidR="00D81433" w:rsidRPr="00077581" w:rsidRDefault="00D81433" w:rsidP="00EF0802">
      <w:pPr>
        <w:pStyle w:val="NormalWeb"/>
        <w:spacing w:before="0" w:beforeAutospacing="0" w:after="160" w:afterAutospacing="0" w:line="360" w:lineRule="auto"/>
        <w:jc w:val="both"/>
      </w:pPr>
      <w:r w:rsidRPr="00077581">
        <w:t>These categories were used to assess baseline awareness levels and measure changes post-intervention.</w:t>
      </w:r>
    </w:p>
    <w:p w14:paraId="423C8A46" w14:textId="77777777" w:rsidR="00D81433" w:rsidRPr="00077581" w:rsidRDefault="00D81433" w:rsidP="00EF0802">
      <w:pPr>
        <w:pStyle w:val="NormalWeb"/>
        <w:numPr>
          <w:ilvl w:val="0"/>
          <w:numId w:val="68"/>
        </w:numPr>
        <w:spacing w:before="0" w:beforeAutospacing="0" w:after="160" w:afterAutospacing="0" w:line="360" w:lineRule="auto"/>
        <w:jc w:val="both"/>
      </w:pPr>
      <w:r w:rsidRPr="00077581">
        <w:rPr>
          <w:rStyle w:val="Strong"/>
        </w:rPr>
        <w:t xml:space="preserve">Lifestyle </w:t>
      </w:r>
      <w:proofErr w:type="spellStart"/>
      <w:r w:rsidRPr="00077581">
        <w:rPr>
          <w:rStyle w:val="Strong"/>
        </w:rPr>
        <w:t>Behavior</w:t>
      </w:r>
      <w:proofErr w:type="spellEnd"/>
      <w:r w:rsidRPr="00077581">
        <w:rPr>
          <w:rStyle w:val="Strong"/>
        </w:rPr>
        <w:t xml:space="preserve"> Changes:</w:t>
      </w:r>
    </w:p>
    <w:p w14:paraId="27916A70" w14:textId="77777777" w:rsidR="00D81433" w:rsidRPr="00077581" w:rsidRDefault="00D81433" w:rsidP="00EF0802">
      <w:pPr>
        <w:pStyle w:val="NormalWeb"/>
        <w:numPr>
          <w:ilvl w:val="1"/>
          <w:numId w:val="68"/>
        </w:numPr>
        <w:spacing w:before="0" w:beforeAutospacing="0" w:after="160" w:afterAutospacing="0" w:line="360" w:lineRule="auto"/>
        <w:jc w:val="both"/>
      </w:pPr>
      <w:r w:rsidRPr="00077581">
        <w:t xml:space="preserve">Improvement in </w:t>
      </w:r>
      <w:proofErr w:type="spellStart"/>
      <w:r w:rsidRPr="00077581">
        <w:t>behavior</w:t>
      </w:r>
      <w:proofErr w:type="spellEnd"/>
      <w:r w:rsidRPr="00077581">
        <w:t xml:space="preserve"> was assessed by comparing the frequency and consistency of healthy practices before and after the intervention.</w:t>
      </w:r>
    </w:p>
    <w:p w14:paraId="10AD02D0" w14:textId="77777777" w:rsidR="00D81433" w:rsidRPr="00077581" w:rsidRDefault="00D81433" w:rsidP="00EF0802">
      <w:pPr>
        <w:pStyle w:val="NormalWeb"/>
        <w:numPr>
          <w:ilvl w:val="1"/>
          <w:numId w:val="68"/>
        </w:numPr>
        <w:spacing w:before="0" w:beforeAutospacing="0" w:after="160" w:afterAutospacing="0" w:line="360" w:lineRule="auto"/>
        <w:jc w:val="both"/>
      </w:pPr>
      <w:r w:rsidRPr="00077581">
        <w:t xml:space="preserve">Practices such as </w:t>
      </w:r>
      <w:r w:rsidRPr="00464D72">
        <w:rPr>
          <w:rStyle w:val="Strong"/>
          <w:b w:val="0"/>
          <w:bCs w:val="0"/>
        </w:rPr>
        <w:t>daily exercise, reduced salt intake, supplement adherence, and stress management</w:t>
      </w:r>
      <w:r w:rsidRPr="00077581">
        <w:t xml:space="preserve"> were </w:t>
      </w:r>
      <w:proofErr w:type="spellStart"/>
      <w:r w:rsidRPr="00077581">
        <w:t>analyzed</w:t>
      </w:r>
      <w:proofErr w:type="spellEnd"/>
      <w:r w:rsidRPr="00077581">
        <w:t xml:space="preserve"> for positive shifts in adoption.</w:t>
      </w:r>
    </w:p>
    <w:p w14:paraId="4DB0C312" w14:textId="77777777" w:rsidR="00D81433" w:rsidRPr="00077581" w:rsidRDefault="00D81433" w:rsidP="00EF0802">
      <w:pPr>
        <w:pStyle w:val="Heading4"/>
        <w:spacing w:before="0" w:after="160" w:line="360" w:lineRule="auto"/>
        <w:jc w:val="both"/>
        <w:rPr>
          <w:rFonts w:ascii="Times New Roman" w:hAnsi="Times New Roman" w:cs="Times New Roman"/>
          <w:color w:val="auto"/>
        </w:rPr>
      </w:pPr>
      <w:r w:rsidRPr="00077581">
        <w:rPr>
          <w:rStyle w:val="Strong"/>
          <w:rFonts w:ascii="Times New Roman" w:hAnsi="Times New Roman" w:cs="Times New Roman"/>
          <w:color w:val="auto"/>
        </w:rPr>
        <w:t>Statistical Significance Threshold</w:t>
      </w:r>
    </w:p>
    <w:p w14:paraId="11386EFF" w14:textId="77777777" w:rsidR="00D81433" w:rsidRPr="00077581" w:rsidRDefault="00D81433" w:rsidP="00EF0802">
      <w:pPr>
        <w:pStyle w:val="NormalWeb"/>
        <w:spacing w:before="0" w:beforeAutospacing="0" w:after="160" w:afterAutospacing="0" w:line="360" w:lineRule="auto"/>
        <w:jc w:val="both"/>
      </w:pPr>
      <w:r w:rsidRPr="00077581">
        <w:t xml:space="preserve">A </w:t>
      </w:r>
      <w:r w:rsidRPr="008A5465">
        <w:rPr>
          <w:rStyle w:val="Strong"/>
          <w:b w:val="0"/>
          <w:bCs w:val="0"/>
        </w:rPr>
        <w:t>p-value &lt; 0.05</w:t>
      </w:r>
      <w:r w:rsidRPr="00077581">
        <w:t xml:space="preserve"> was considered statistically significant for all tests. This means that if the probability of the observed difference or association occurring by chance was less than 5%, the result was deemed significant and the null hypothesis was rejected.</w:t>
      </w:r>
    </w:p>
    <w:p w14:paraId="3D06DDDD" w14:textId="77777777" w:rsidR="00D81433" w:rsidRPr="00077581" w:rsidRDefault="00D81433" w:rsidP="00EF0802">
      <w:pPr>
        <w:spacing w:line="360" w:lineRule="auto"/>
        <w:jc w:val="both"/>
        <w:rPr>
          <w:rFonts w:ascii="Times New Roman" w:hAnsi="Times New Roman" w:cs="Times New Roman"/>
        </w:rPr>
      </w:pPr>
    </w:p>
    <w:p w14:paraId="4B7A4E16" w14:textId="77777777" w:rsidR="00D81433" w:rsidRPr="00077581" w:rsidRDefault="00D81433" w:rsidP="00EF0802">
      <w:pPr>
        <w:spacing w:line="360" w:lineRule="auto"/>
        <w:jc w:val="both"/>
        <w:rPr>
          <w:rFonts w:ascii="Times New Roman" w:hAnsi="Times New Roman" w:cs="Times New Roman"/>
          <w:b/>
          <w:bCs/>
        </w:rPr>
      </w:pPr>
      <w:r w:rsidRPr="00077581">
        <w:rPr>
          <w:rFonts w:ascii="Times New Roman" w:hAnsi="Times New Roman" w:cs="Times New Roman"/>
          <w:b/>
          <w:bCs/>
        </w:rPr>
        <w:t xml:space="preserve">3.14 Summary of Chapter </w:t>
      </w:r>
    </w:p>
    <w:p w14:paraId="3A63B44E" w14:textId="16A4B3BC" w:rsidR="00D81433" w:rsidRPr="007E77ED"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 xml:space="preserve">Chapter 3 provided a comprehensive overview of the research methodology employed to evaluate the effectiveness of lifestyle modifications in improving awareness and managing thyroid dysfunction and hypertension among pregnant women. It detailed the quasi-experimental design, quantitative research approach, research questions, and hypotheses guiding the study. The chapter also outlined the study setting, sampling strategy, inclusion and exclusion criteria, and the validated tools used for data collection. The intervention was described as a structured educational program tailored </w:t>
      </w:r>
      <w:r w:rsidRPr="00077581">
        <w:rPr>
          <w:rFonts w:ascii="Times New Roman" w:eastAsia="Times New Roman" w:hAnsi="Times New Roman" w:cs="Times New Roman"/>
          <w:kern w:val="0"/>
          <w:lang w:eastAsia="en-IN"/>
          <w14:ligatures w14:val="none"/>
        </w:rPr>
        <w:lastRenderedPageBreak/>
        <w:t>to antenatal care, and the step-by-step data collection procedure was explained. Ethical considerations were thoroughly addressed, ensuring the protection of participants’ rights. Finally, the data analysis plan was presented, specifying the descriptive and inferential statistical techniques used to evaluate the intervention's impact, with significance determined at p &lt; 0.05.</w:t>
      </w:r>
    </w:p>
    <w:p w14:paraId="62533F17" w14:textId="77777777" w:rsidR="00D81433" w:rsidRPr="00077581" w:rsidRDefault="00D81433" w:rsidP="00EF0802">
      <w:pPr>
        <w:spacing w:line="360" w:lineRule="auto"/>
        <w:rPr>
          <w:rFonts w:ascii="Times New Roman" w:hAnsi="Times New Roman" w:cs="Times New Roman"/>
          <w:b/>
          <w:bCs/>
          <w:sz w:val="28"/>
          <w:szCs w:val="28"/>
        </w:rPr>
      </w:pPr>
    </w:p>
    <w:p w14:paraId="52FB035D" w14:textId="77777777" w:rsidR="003D240C" w:rsidRDefault="003D240C" w:rsidP="00EF0802">
      <w:pPr>
        <w:spacing w:line="360" w:lineRule="auto"/>
        <w:jc w:val="center"/>
        <w:rPr>
          <w:rFonts w:ascii="Times New Roman" w:hAnsi="Times New Roman" w:cs="Times New Roman"/>
          <w:b/>
          <w:bCs/>
          <w:sz w:val="28"/>
          <w:szCs w:val="28"/>
        </w:rPr>
      </w:pPr>
    </w:p>
    <w:p w14:paraId="25BF8C3E" w14:textId="77777777" w:rsidR="003D240C" w:rsidRDefault="003D240C" w:rsidP="00EF0802">
      <w:pPr>
        <w:spacing w:line="360" w:lineRule="auto"/>
        <w:jc w:val="center"/>
        <w:rPr>
          <w:rFonts w:ascii="Times New Roman" w:hAnsi="Times New Roman" w:cs="Times New Roman"/>
          <w:b/>
          <w:bCs/>
          <w:sz w:val="28"/>
          <w:szCs w:val="28"/>
        </w:rPr>
      </w:pPr>
    </w:p>
    <w:p w14:paraId="3BF72734" w14:textId="77777777" w:rsidR="003D240C" w:rsidRDefault="003D240C" w:rsidP="00EF0802">
      <w:pPr>
        <w:spacing w:line="360" w:lineRule="auto"/>
        <w:jc w:val="center"/>
        <w:rPr>
          <w:rFonts w:ascii="Times New Roman" w:hAnsi="Times New Roman" w:cs="Times New Roman"/>
          <w:b/>
          <w:bCs/>
          <w:sz w:val="28"/>
          <w:szCs w:val="28"/>
        </w:rPr>
      </w:pPr>
    </w:p>
    <w:p w14:paraId="27D62ABD" w14:textId="77777777" w:rsidR="003D240C" w:rsidRDefault="003D240C" w:rsidP="00EF0802">
      <w:pPr>
        <w:spacing w:line="360" w:lineRule="auto"/>
        <w:jc w:val="center"/>
        <w:rPr>
          <w:rFonts w:ascii="Times New Roman" w:hAnsi="Times New Roman" w:cs="Times New Roman"/>
          <w:b/>
          <w:bCs/>
          <w:sz w:val="28"/>
          <w:szCs w:val="28"/>
        </w:rPr>
      </w:pPr>
    </w:p>
    <w:p w14:paraId="146D2CD3" w14:textId="77777777" w:rsidR="00477547" w:rsidRDefault="00477547" w:rsidP="00EF0802">
      <w:pPr>
        <w:spacing w:line="360" w:lineRule="auto"/>
        <w:jc w:val="center"/>
        <w:rPr>
          <w:rFonts w:ascii="Times New Roman" w:hAnsi="Times New Roman" w:cs="Times New Roman"/>
          <w:b/>
          <w:bCs/>
          <w:sz w:val="28"/>
          <w:szCs w:val="28"/>
        </w:rPr>
      </w:pPr>
    </w:p>
    <w:p w14:paraId="0ECAF5AE" w14:textId="77777777" w:rsidR="00EF0802" w:rsidRDefault="00EF0802" w:rsidP="00EF0802">
      <w:pPr>
        <w:spacing w:line="360" w:lineRule="auto"/>
        <w:jc w:val="center"/>
        <w:rPr>
          <w:rFonts w:ascii="Times New Roman" w:hAnsi="Times New Roman" w:cs="Times New Roman"/>
          <w:b/>
          <w:bCs/>
          <w:sz w:val="28"/>
          <w:szCs w:val="28"/>
        </w:rPr>
      </w:pPr>
    </w:p>
    <w:p w14:paraId="7904BACC" w14:textId="77777777" w:rsidR="00EF0802" w:rsidRDefault="00EF0802" w:rsidP="00EF0802">
      <w:pPr>
        <w:spacing w:line="360" w:lineRule="auto"/>
        <w:jc w:val="center"/>
        <w:rPr>
          <w:rFonts w:ascii="Times New Roman" w:hAnsi="Times New Roman" w:cs="Times New Roman"/>
          <w:b/>
          <w:bCs/>
          <w:sz w:val="28"/>
          <w:szCs w:val="28"/>
        </w:rPr>
      </w:pPr>
    </w:p>
    <w:p w14:paraId="36AA04F4" w14:textId="77777777" w:rsidR="00EF0802" w:rsidRDefault="00EF0802" w:rsidP="00EF0802">
      <w:pPr>
        <w:spacing w:line="360" w:lineRule="auto"/>
        <w:jc w:val="center"/>
        <w:rPr>
          <w:rFonts w:ascii="Times New Roman" w:hAnsi="Times New Roman" w:cs="Times New Roman"/>
          <w:b/>
          <w:bCs/>
          <w:sz w:val="28"/>
          <w:szCs w:val="28"/>
        </w:rPr>
      </w:pPr>
    </w:p>
    <w:p w14:paraId="3B8B2586" w14:textId="77777777" w:rsidR="00EF0802" w:rsidRDefault="00EF0802" w:rsidP="00EF0802">
      <w:pPr>
        <w:spacing w:line="360" w:lineRule="auto"/>
        <w:jc w:val="center"/>
        <w:rPr>
          <w:rFonts w:ascii="Times New Roman" w:hAnsi="Times New Roman" w:cs="Times New Roman"/>
          <w:b/>
          <w:bCs/>
          <w:sz w:val="28"/>
          <w:szCs w:val="28"/>
        </w:rPr>
      </w:pPr>
    </w:p>
    <w:p w14:paraId="6E472B22" w14:textId="77777777" w:rsidR="00EF0802" w:rsidRDefault="00EF0802" w:rsidP="00EF0802">
      <w:pPr>
        <w:spacing w:line="360" w:lineRule="auto"/>
        <w:jc w:val="center"/>
        <w:rPr>
          <w:rFonts w:ascii="Times New Roman" w:hAnsi="Times New Roman" w:cs="Times New Roman"/>
          <w:b/>
          <w:bCs/>
          <w:sz w:val="28"/>
          <w:szCs w:val="28"/>
        </w:rPr>
      </w:pPr>
    </w:p>
    <w:p w14:paraId="547D4493" w14:textId="77777777" w:rsidR="00EF0802" w:rsidRDefault="00EF0802" w:rsidP="00EF0802">
      <w:pPr>
        <w:spacing w:line="360" w:lineRule="auto"/>
        <w:jc w:val="center"/>
        <w:rPr>
          <w:rFonts w:ascii="Times New Roman" w:hAnsi="Times New Roman" w:cs="Times New Roman"/>
          <w:b/>
          <w:bCs/>
          <w:sz w:val="28"/>
          <w:szCs w:val="28"/>
        </w:rPr>
      </w:pPr>
    </w:p>
    <w:p w14:paraId="30716BCF" w14:textId="77777777" w:rsidR="00EF0802" w:rsidRDefault="00EF0802" w:rsidP="00EF0802">
      <w:pPr>
        <w:spacing w:line="360" w:lineRule="auto"/>
        <w:jc w:val="center"/>
        <w:rPr>
          <w:rFonts w:ascii="Times New Roman" w:hAnsi="Times New Roman" w:cs="Times New Roman"/>
          <w:b/>
          <w:bCs/>
          <w:sz w:val="28"/>
          <w:szCs w:val="28"/>
        </w:rPr>
      </w:pPr>
    </w:p>
    <w:p w14:paraId="17DF2EE7" w14:textId="77777777" w:rsidR="00EF0802" w:rsidRDefault="00EF0802" w:rsidP="00EF0802">
      <w:pPr>
        <w:spacing w:line="360" w:lineRule="auto"/>
        <w:jc w:val="center"/>
        <w:rPr>
          <w:rFonts w:ascii="Times New Roman" w:hAnsi="Times New Roman" w:cs="Times New Roman"/>
          <w:b/>
          <w:bCs/>
          <w:sz w:val="28"/>
          <w:szCs w:val="28"/>
        </w:rPr>
      </w:pPr>
    </w:p>
    <w:p w14:paraId="568C1EF9" w14:textId="77777777" w:rsidR="00EF0802" w:rsidRDefault="00EF0802" w:rsidP="00EF0802">
      <w:pPr>
        <w:spacing w:line="360" w:lineRule="auto"/>
        <w:jc w:val="center"/>
        <w:rPr>
          <w:rFonts w:ascii="Times New Roman" w:hAnsi="Times New Roman" w:cs="Times New Roman"/>
          <w:b/>
          <w:bCs/>
          <w:sz w:val="28"/>
          <w:szCs w:val="28"/>
        </w:rPr>
      </w:pPr>
    </w:p>
    <w:p w14:paraId="3A8B392F" w14:textId="77777777" w:rsidR="00EF0802" w:rsidRDefault="00EF0802" w:rsidP="00EF0802">
      <w:pPr>
        <w:spacing w:line="360" w:lineRule="auto"/>
        <w:jc w:val="center"/>
        <w:rPr>
          <w:rFonts w:ascii="Times New Roman" w:hAnsi="Times New Roman" w:cs="Times New Roman"/>
          <w:b/>
          <w:bCs/>
          <w:sz w:val="28"/>
          <w:szCs w:val="28"/>
        </w:rPr>
      </w:pPr>
    </w:p>
    <w:p w14:paraId="28F4C23B" w14:textId="77777777" w:rsidR="00EF0802" w:rsidRDefault="00EF0802" w:rsidP="00EF0802">
      <w:pPr>
        <w:spacing w:line="360" w:lineRule="auto"/>
        <w:jc w:val="center"/>
        <w:rPr>
          <w:rFonts w:ascii="Times New Roman" w:hAnsi="Times New Roman" w:cs="Times New Roman"/>
          <w:b/>
          <w:bCs/>
          <w:sz w:val="28"/>
          <w:szCs w:val="28"/>
        </w:rPr>
      </w:pPr>
    </w:p>
    <w:p w14:paraId="3FCAFA76" w14:textId="77777777" w:rsidR="00EF0802" w:rsidRDefault="00EF0802" w:rsidP="00EF0802">
      <w:pPr>
        <w:spacing w:line="360" w:lineRule="auto"/>
        <w:jc w:val="center"/>
        <w:rPr>
          <w:rFonts w:ascii="Times New Roman" w:hAnsi="Times New Roman" w:cs="Times New Roman"/>
          <w:b/>
          <w:bCs/>
          <w:sz w:val="28"/>
          <w:szCs w:val="28"/>
        </w:rPr>
      </w:pPr>
    </w:p>
    <w:p w14:paraId="2EA840BB" w14:textId="68F75456" w:rsidR="00D81433" w:rsidRPr="00077581" w:rsidRDefault="00D81433" w:rsidP="00EF0802">
      <w:pPr>
        <w:spacing w:line="360" w:lineRule="auto"/>
        <w:jc w:val="center"/>
        <w:rPr>
          <w:rFonts w:ascii="Times New Roman" w:hAnsi="Times New Roman" w:cs="Times New Roman"/>
          <w:b/>
          <w:bCs/>
          <w:sz w:val="28"/>
          <w:szCs w:val="28"/>
        </w:rPr>
      </w:pPr>
      <w:r w:rsidRPr="00077581">
        <w:rPr>
          <w:rFonts w:ascii="Times New Roman" w:hAnsi="Times New Roman" w:cs="Times New Roman"/>
          <w:b/>
          <w:bCs/>
          <w:sz w:val="28"/>
          <w:szCs w:val="28"/>
        </w:rPr>
        <w:lastRenderedPageBreak/>
        <w:t>Chapter 4</w:t>
      </w:r>
    </w:p>
    <w:p w14:paraId="07C80494" w14:textId="77777777" w:rsidR="00D81433" w:rsidRPr="00077581" w:rsidRDefault="00D81433" w:rsidP="00EF0802">
      <w:pPr>
        <w:spacing w:line="360" w:lineRule="auto"/>
        <w:jc w:val="center"/>
        <w:rPr>
          <w:rFonts w:ascii="Times New Roman" w:hAnsi="Times New Roman" w:cs="Times New Roman"/>
          <w:b/>
          <w:bCs/>
          <w:sz w:val="28"/>
          <w:szCs w:val="28"/>
        </w:rPr>
      </w:pPr>
      <w:r w:rsidRPr="00077581">
        <w:rPr>
          <w:rFonts w:ascii="Times New Roman" w:hAnsi="Times New Roman" w:cs="Times New Roman"/>
          <w:b/>
          <w:bCs/>
          <w:sz w:val="28"/>
          <w:szCs w:val="28"/>
        </w:rPr>
        <w:t>Results and Discussion</w:t>
      </w:r>
    </w:p>
    <w:p w14:paraId="1F644F8D" w14:textId="77777777" w:rsidR="00D81433" w:rsidRPr="00077581" w:rsidRDefault="00D81433" w:rsidP="00EF0802">
      <w:pPr>
        <w:spacing w:line="360" w:lineRule="auto"/>
        <w:rPr>
          <w:rFonts w:ascii="Times New Roman" w:hAnsi="Times New Roman" w:cs="Times New Roman"/>
          <w:b/>
          <w:bCs/>
        </w:rPr>
      </w:pPr>
    </w:p>
    <w:p w14:paraId="664C8706"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b/>
          <w:bCs/>
          <w:kern w:val="0"/>
          <w:lang w:eastAsia="en-IN"/>
          <w14:ligatures w14:val="none"/>
        </w:rPr>
        <w:t>4.1 General Introduction</w:t>
      </w:r>
    </w:p>
    <w:p w14:paraId="20E4D0DE"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Chapter 4 presents a comprehensive analysis of the data collected to evaluate the effectiveness of a structured lifestyle modification intervention on the awareness, prevention, and management of thyroid dysfunction and hypertension among pregnant women. The chapter is structured to systematically present the findings related to the study’s research questions and hypotheses, using both descriptive and inferential statistical methods.</w:t>
      </w:r>
    </w:p>
    <w:p w14:paraId="052D8668"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The chapter begins with an overview of the socio-demographic profile of the study participants. Variables such as age, education, gestational age, occupation, income, residence, family type, parity, and family history of thyroid or hypertension are detailed to establish the baseline characteristics of the sample. This demographic information provides important context for interpreting the results and assessing generalizability.</w:t>
      </w:r>
    </w:p>
    <w:p w14:paraId="3E89E846"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Subsequent sections compare pre-test and post-test awareness levels regarding thyroid disorders and hypertension in pregnancy. This includes an analysis of responses to knowledge-based questions and a breakdown of overall awareness scores into low, moderate, and high categories. The use of a paired sample t-test helps establish whether the observed changes in awareness levels are statistically significant following the intervention.</w:t>
      </w:r>
    </w:p>
    <w:p w14:paraId="4BA08A83"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 xml:space="preserve">Lifestyle practices before and after the intervention are then examined using a combination of Wilcoxon Signed-Rank Tests for ordinal data and McNemar’s Test for binary responses. These analyses focus on exercise frequency, dietary habits, supplement intake, stress management, sleep patterns, and medical consultation </w:t>
      </w:r>
      <w:proofErr w:type="spellStart"/>
      <w:r w:rsidRPr="00077581">
        <w:rPr>
          <w:rFonts w:ascii="Times New Roman" w:eastAsia="Times New Roman" w:hAnsi="Times New Roman" w:cs="Times New Roman"/>
          <w:kern w:val="0"/>
          <w:lang w:eastAsia="en-IN"/>
          <w14:ligatures w14:val="none"/>
        </w:rPr>
        <w:t>behavior</w:t>
      </w:r>
      <w:proofErr w:type="spellEnd"/>
      <w:r w:rsidRPr="00077581">
        <w:rPr>
          <w:rFonts w:ascii="Times New Roman" w:eastAsia="Times New Roman" w:hAnsi="Times New Roman" w:cs="Times New Roman"/>
          <w:kern w:val="0"/>
          <w:lang w:eastAsia="en-IN"/>
          <w14:ligatures w14:val="none"/>
        </w:rPr>
        <w:t xml:space="preserve">. The results reveal significant improvements in many areas, suggesting the effectiveness of the lifestyle education sessions in changing </w:t>
      </w:r>
      <w:proofErr w:type="spellStart"/>
      <w:r w:rsidRPr="00077581">
        <w:rPr>
          <w:rFonts w:ascii="Times New Roman" w:eastAsia="Times New Roman" w:hAnsi="Times New Roman" w:cs="Times New Roman"/>
          <w:kern w:val="0"/>
          <w:lang w:eastAsia="en-IN"/>
          <w14:ligatures w14:val="none"/>
        </w:rPr>
        <w:t>behavior</w:t>
      </w:r>
      <w:proofErr w:type="spellEnd"/>
      <w:r w:rsidRPr="00077581">
        <w:rPr>
          <w:rFonts w:ascii="Times New Roman" w:eastAsia="Times New Roman" w:hAnsi="Times New Roman" w:cs="Times New Roman"/>
          <w:kern w:val="0"/>
          <w:lang w:eastAsia="en-IN"/>
          <w14:ligatures w14:val="none"/>
        </w:rPr>
        <w:t>.</w:t>
      </w:r>
    </w:p>
    <w:p w14:paraId="68EEAF8F"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 xml:space="preserve">Further, the chapter evaluates changes in clinical indicators such as blood pressure, TSH, T3, and T4 levels, and blood glucose. Paired t-tests, McNemar’s Test, and Wilcoxon Signed-Rank Tests are employed to assess the physiological impact of the </w:t>
      </w:r>
      <w:r w:rsidRPr="00077581">
        <w:rPr>
          <w:rFonts w:ascii="Times New Roman" w:eastAsia="Times New Roman" w:hAnsi="Times New Roman" w:cs="Times New Roman"/>
          <w:kern w:val="0"/>
          <w:lang w:eastAsia="en-IN"/>
          <w14:ligatures w14:val="none"/>
        </w:rPr>
        <w:lastRenderedPageBreak/>
        <w:t>intervention. Findings indicate significant improvements in several key health parameters, supporting the hypothesis that lifestyle education positively influences medical outcomes.</w:t>
      </w:r>
    </w:p>
    <w:p w14:paraId="27D1F756"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The chapter also presents post-intervention feedback, including perceived benefits, adherence challenges, and participant satisfaction levels. This qualitative insight complements the quantitative data, offering a well-rounded view of the intervention’s acceptability and impact.</w:t>
      </w:r>
    </w:p>
    <w:p w14:paraId="55A20FD1" w14:textId="77777777" w:rsidR="00D81433" w:rsidRPr="00077581" w:rsidRDefault="00D81433" w:rsidP="00EF0802">
      <w:pPr>
        <w:spacing w:line="360" w:lineRule="auto"/>
        <w:jc w:val="both"/>
        <w:rPr>
          <w:rFonts w:ascii="Times New Roman" w:hAnsi="Times New Roman" w:cs="Times New Roman"/>
          <w:b/>
          <w:bCs/>
        </w:rPr>
      </w:pPr>
    </w:p>
    <w:p w14:paraId="4545AECD" w14:textId="77777777" w:rsidR="00D81433" w:rsidRPr="00077581" w:rsidRDefault="00D81433" w:rsidP="00EF0802">
      <w:pPr>
        <w:spacing w:line="360" w:lineRule="auto"/>
        <w:jc w:val="both"/>
        <w:rPr>
          <w:rFonts w:ascii="Times New Roman" w:hAnsi="Times New Roman" w:cs="Times New Roman"/>
          <w:b/>
          <w:bCs/>
        </w:rPr>
      </w:pPr>
      <w:r w:rsidRPr="00077581">
        <w:rPr>
          <w:rFonts w:ascii="Times New Roman" w:hAnsi="Times New Roman" w:cs="Times New Roman"/>
          <w:b/>
          <w:bCs/>
        </w:rPr>
        <w:t>4.2 Demographic Profile of Respondents</w:t>
      </w:r>
    </w:p>
    <w:p w14:paraId="1D4FBB34" w14:textId="4D25CB86"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Table 4.1</w:t>
      </w:r>
      <w:r w:rsidR="00477547">
        <w:rPr>
          <w:rFonts w:ascii="Times New Roman" w:eastAsia="Times New Roman" w:hAnsi="Times New Roman" w:cs="Times New Roman"/>
          <w:kern w:val="0"/>
          <w:lang w:eastAsia="en-IN"/>
          <w14:ligatures w14:val="none"/>
        </w:rPr>
        <w:t xml:space="preserve">and Figure 4.1-10 </w:t>
      </w:r>
      <w:r w:rsidRPr="00077581">
        <w:rPr>
          <w:rFonts w:ascii="Times New Roman" w:eastAsia="Times New Roman" w:hAnsi="Times New Roman" w:cs="Times New Roman"/>
          <w:kern w:val="0"/>
          <w:lang w:eastAsia="en-IN"/>
          <w14:ligatures w14:val="none"/>
        </w:rPr>
        <w:t xml:space="preserve">outline the demographic characteristics of the 200 pregnant women who participated in the study. Understanding the background of the respondents is essential for interpreting the study results, especially when exploring the relationship between socio-demographic variables and awareness or </w:t>
      </w:r>
      <w:proofErr w:type="spellStart"/>
      <w:r w:rsidRPr="00077581">
        <w:rPr>
          <w:rFonts w:ascii="Times New Roman" w:eastAsia="Times New Roman" w:hAnsi="Times New Roman" w:cs="Times New Roman"/>
          <w:kern w:val="0"/>
          <w:lang w:eastAsia="en-IN"/>
          <w14:ligatures w14:val="none"/>
        </w:rPr>
        <w:t>behavioral</w:t>
      </w:r>
      <w:proofErr w:type="spellEnd"/>
      <w:r w:rsidRPr="00077581">
        <w:rPr>
          <w:rFonts w:ascii="Times New Roman" w:eastAsia="Times New Roman" w:hAnsi="Times New Roman" w:cs="Times New Roman"/>
          <w:kern w:val="0"/>
          <w:lang w:eastAsia="en-IN"/>
          <w14:ligatures w14:val="none"/>
        </w:rPr>
        <w:t xml:space="preserve"> changes.</w:t>
      </w:r>
    </w:p>
    <w:p w14:paraId="16CD6D5F" w14:textId="77777777" w:rsidR="00D81433" w:rsidRPr="00077581" w:rsidRDefault="00D81433" w:rsidP="00EF0802">
      <w:pPr>
        <w:spacing w:line="360" w:lineRule="auto"/>
        <w:jc w:val="both"/>
        <w:rPr>
          <w:rFonts w:ascii="Times New Roman" w:eastAsia="Times New Roman" w:hAnsi="Times New Roman" w:cs="Times New Roman"/>
          <w:b/>
          <w:bCs/>
          <w:kern w:val="0"/>
          <w:lang w:eastAsia="en-IN"/>
          <w14:ligatures w14:val="none"/>
        </w:rPr>
      </w:pPr>
      <w:r w:rsidRPr="00077581">
        <w:rPr>
          <w:rFonts w:ascii="Times New Roman" w:eastAsia="Times New Roman" w:hAnsi="Times New Roman" w:cs="Times New Roman"/>
          <w:b/>
          <w:bCs/>
          <w:kern w:val="0"/>
          <w:lang w:eastAsia="en-IN"/>
          <w14:ligatures w14:val="none"/>
        </w:rPr>
        <w:t xml:space="preserve">Age Distribution: </w:t>
      </w:r>
      <w:r w:rsidRPr="00077581">
        <w:rPr>
          <w:rFonts w:ascii="Times New Roman" w:eastAsia="Times New Roman" w:hAnsi="Times New Roman" w:cs="Times New Roman"/>
          <w:kern w:val="0"/>
          <w:lang w:eastAsia="en-IN"/>
          <w14:ligatures w14:val="none"/>
        </w:rPr>
        <w:t>The majority of respondents were between 21 and 30 years of age, with 27% aged 21–25 and 34% aged 26–30. Women below 20 years made up 14%, while 18.5% were in the 31–35 age group, and only 6.5% were older than 35. This reflects a predominance of women in their prime reproductive years.</w:t>
      </w:r>
    </w:p>
    <w:p w14:paraId="61E980D2"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b/>
          <w:bCs/>
          <w:kern w:val="0"/>
          <w:lang w:eastAsia="en-IN"/>
          <w14:ligatures w14:val="none"/>
        </w:rPr>
        <w:t xml:space="preserve">Gestational Age: </w:t>
      </w:r>
      <w:r w:rsidRPr="00077581">
        <w:rPr>
          <w:rFonts w:ascii="Times New Roman" w:eastAsia="Times New Roman" w:hAnsi="Times New Roman" w:cs="Times New Roman"/>
          <w:kern w:val="0"/>
          <w:lang w:eastAsia="en-IN"/>
          <w14:ligatures w14:val="none"/>
        </w:rPr>
        <w:t>Most participants were in their second trimester (49.5%), followed by those in the third trimester (31.5%) and first trimester (19%). The higher representation in the second trimester aligns with common patterns of antenatal clinic attendance during mid-pregnancy.</w:t>
      </w:r>
    </w:p>
    <w:p w14:paraId="55FFD1AD"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b/>
          <w:bCs/>
          <w:kern w:val="0"/>
          <w:lang w:eastAsia="en-IN"/>
          <w14:ligatures w14:val="none"/>
        </w:rPr>
        <w:t>Educational Level:</w:t>
      </w:r>
      <w:r w:rsidRPr="00077581">
        <w:rPr>
          <w:rFonts w:ascii="Times New Roman" w:eastAsia="Times New Roman" w:hAnsi="Times New Roman" w:cs="Times New Roman"/>
          <w:kern w:val="0"/>
          <w:lang w:eastAsia="en-IN"/>
          <w14:ligatures w14:val="none"/>
        </w:rPr>
        <w:t xml:space="preserve"> Education levels varied, with a significant portion holding at least a secondary education. Graduates formed the largest group (35.5%), followed by those with secondary (30%) and postgraduate (15.5%) qualifications. A small percentage had no formal education (4.5%) or only primary education (14.5%), highlighting a relatively well-educated sample.</w:t>
      </w:r>
    </w:p>
    <w:p w14:paraId="521BCE6F"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b/>
          <w:bCs/>
          <w:kern w:val="0"/>
          <w:lang w:eastAsia="en-IN"/>
          <w14:ligatures w14:val="none"/>
        </w:rPr>
        <w:t xml:space="preserve">Occupation: </w:t>
      </w:r>
      <w:r w:rsidRPr="00077581">
        <w:rPr>
          <w:rFonts w:ascii="Times New Roman" w:eastAsia="Times New Roman" w:hAnsi="Times New Roman" w:cs="Times New Roman"/>
          <w:kern w:val="0"/>
          <w:lang w:eastAsia="en-IN"/>
          <w14:ligatures w14:val="none"/>
        </w:rPr>
        <w:t>Homemakers constituted the largest occupational group (39%), followed by working women (30.5%), students (19.5%), and unemployed respondents (11%). This distribution suggests a mix of household-focused and economically active participants.</w:t>
      </w:r>
    </w:p>
    <w:p w14:paraId="0FCB6A71"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b/>
          <w:bCs/>
          <w:kern w:val="0"/>
          <w:lang w:eastAsia="en-IN"/>
          <w14:ligatures w14:val="none"/>
        </w:rPr>
        <w:lastRenderedPageBreak/>
        <w:t>Monthly Family Income:</w:t>
      </w:r>
      <w:r w:rsidRPr="00077581">
        <w:rPr>
          <w:rFonts w:ascii="Times New Roman" w:eastAsia="Times New Roman" w:hAnsi="Times New Roman" w:cs="Times New Roman"/>
          <w:kern w:val="0"/>
          <w:lang w:eastAsia="en-IN"/>
          <w14:ligatures w14:val="none"/>
        </w:rPr>
        <w:t xml:space="preserve"> The income distribution showed that most families earned between ₹10,000 and ₹30,000 per month (60.5% combined), with 10% earning less than ₹10,000 and 9.5% earning over ₹50,000. This indicates that the sample includes primarily low- to middle-income households.</w:t>
      </w:r>
    </w:p>
    <w:p w14:paraId="09BF3D08"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b/>
          <w:bCs/>
          <w:kern w:val="0"/>
          <w:lang w:eastAsia="en-IN"/>
          <w14:ligatures w14:val="none"/>
        </w:rPr>
        <w:t>Place of Residence:</w:t>
      </w:r>
      <w:r w:rsidRPr="00077581">
        <w:rPr>
          <w:rFonts w:ascii="Times New Roman" w:eastAsia="Times New Roman" w:hAnsi="Times New Roman" w:cs="Times New Roman"/>
          <w:kern w:val="0"/>
          <w:lang w:eastAsia="en-IN"/>
          <w14:ligatures w14:val="none"/>
        </w:rPr>
        <w:t xml:space="preserve"> Participants were almost evenly spread across urban (40%), semi-urban (29%), and rural (31%) areas, enhancing the study’s representation of diverse living environments.</w:t>
      </w:r>
    </w:p>
    <w:p w14:paraId="0895166E"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b/>
          <w:bCs/>
          <w:kern w:val="0"/>
          <w:lang w:eastAsia="en-IN"/>
          <w14:ligatures w14:val="none"/>
        </w:rPr>
        <w:t>Family Type and Parity:</w:t>
      </w:r>
      <w:r w:rsidRPr="00077581">
        <w:rPr>
          <w:rFonts w:ascii="Times New Roman" w:eastAsia="Times New Roman" w:hAnsi="Times New Roman" w:cs="Times New Roman"/>
          <w:kern w:val="0"/>
          <w:lang w:eastAsia="en-IN"/>
          <w14:ligatures w14:val="none"/>
        </w:rPr>
        <w:t xml:space="preserve"> A majority lived in nuclear families (60.5%) and were primigravida (55%), indicating that many were first-time mothers. This may influence awareness levels and openness to lifestyle guidance.</w:t>
      </w:r>
    </w:p>
    <w:p w14:paraId="5A8A281E"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b/>
          <w:bCs/>
          <w:kern w:val="0"/>
          <w:lang w:eastAsia="en-IN"/>
          <w14:ligatures w14:val="none"/>
        </w:rPr>
        <w:t>Family History:</w:t>
      </w:r>
      <w:r w:rsidRPr="00077581">
        <w:rPr>
          <w:rFonts w:ascii="Times New Roman" w:eastAsia="Times New Roman" w:hAnsi="Times New Roman" w:cs="Times New Roman"/>
          <w:kern w:val="0"/>
          <w:lang w:eastAsia="en-IN"/>
          <w14:ligatures w14:val="none"/>
        </w:rPr>
        <w:t xml:space="preserve"> About 31% had a family history of thyroid disorders, while 40.5% reported a family history of hypertension—important risk factors relevant to the study’s focus.</w:t>
      </w:r>
    </w:p>
    <w:p w14:paraId="452A2282" w14:textId="76AC3D47" w:rsidR="00FA0AEC" w:rsidRPr="00EF0802"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 xml:space="preserve">Collectively, these demographic insights provide a foundation for </w:t>
      </w:r>
      <w:proofErr w:type="spellStart"/>
      <w:r w:rsidRPr="00077581">
        <w:rPr>
          <w:rFonts w:ascii="Times New Roman" w:eastAsia="Times New Roman" w:hAnsi="Times New Roman" w:cs="Times New Roman"/>
          <w:kern w:val="0"/>
          <w:lang w:eastAsia="en-IN"/>
          <w14:ligatures w14:val="none"/>
        </w:rPr>
        <w:t>analyzing</w:t>
      </w:r>
      <w:proofErr w:type="spellEnd"/>
      <w:r w:rsidRPr="00077581">
        <w:rPr>
          <w:rFonts w:ascii="Times New Roman" w:eastAsia="Times New Roman" w:hAnsi="Times New Roman" w:cs="Times New Roman"/>
          <w:kern w:val="0"/>
          <w:lang w:eastAsia="en-IN"/>
          <w14:ligatures w14:val="none"/>
        </w:rPr>
        <w:t xml:space="preserve"> how background characteristics influence health awareness and intervention outcomes among the study population.</w:t>
      </w:r>
    </w:p>
    <w:p w14:paraId="041FA165" w14:textId="762616C8" w:rsidR="004575B0" w:rsidRPr="007E5737" w:rsidRDefault="00D81433" w:rsidP="00EF0802">
      <w:pPr>
        <w:spacing w:line="360" w:lineRule="auto"/>
        <w:jc w:val="both"/>
        <w:rPr>
          <w:rFonts w:ascii="Times New Roman" w:hAnsi="Times New Roman" w:cs="Times New Roman"/>
          <w:b/>
          <w:bCs/>
          <w:color w:val="156082" w:themeColor="accent1"/>
        </w:rPr>
      </w:pPr>
      <w:r w:rsidRPr="007E5737">
        <w:rPr>
          <w:rFonts w:ascii="Times New Roman" w:hAnsi="Times New Roman" w:cs="Times New Roman"/>
          <w:b/>
          <w:bCs/>
          <w:color w:val="156082" w:themeColor="accent1"/>
        </w:rPr>
        <w:t xml:space="preserve">Table 4.1 Demographic Profile of </w:t>
      </w:r>
      <w:proofErr w:type="gramStart"/>
      <w:r w:rsidRPr="007E5737">
        <w:rPr>
          <w:rFonts w:ascii="Times New Roman" w:hAnsi="Times New Roman" w:cs="Times New Roman"/>
          <w:b/>
          <w:bCs/>
          <w:color w:val="156082" w:themeColor="accent1"/>
        </w:rPr>
        <w:t>Respondents</w:t>
      </w:r>
      <w:r w:rsidR="007E5737" w:rsidRPr="007E5737">
        <w:rPr>
          <w:rFonts w:ascii="Times New Roman" w:hAnsi="Times New Roman" w:cs="Times New Roman"/>
          <w:b/>
          <w:bCs/>
          <w:color w:val="156082" w:themeColor="accent1"/>
        </w:rPr>
        <w:t xml:space="preserve">  </w:t>
      </w:r>
      <w:r w:rsidR="007E5737" w:rsidRPr="007E5737">
        <w:rPr>
          <w:rFonts w:ascii="Times New Roman" w:hAnsi="Times New Roman" w:cs="Times New Roman"/>
          <w:color w:val="156082" w:themeColor="accent1"/>
        </w:rPr>
        <w:t>pre</w:t>
      </w:r>
      <w:proofErr w:type="gramEnd"/>
      <w:r w:rsidR="007E5737" w:rsidRPr="007E5737">
        <w:rPr>
          <w:rFonts w:ascii="Times New Roman" w:hAnsi="Times New Roman" w:cs="Times New Roman"/>
          <w:color w:val="156082" w:themeColor="accent1"/>
        </w:rPr>
        <w:t>-test</w:t>
      </w:r>
    </w:p>
    <w:tbl>
      <w:tblPr>
        <w:tblStyle w:val="TableGrid"/>
        <w:tblW w:w="5000" w:type="pct"/>
        <w:tblLook w:val="04A0" w:firstRow="1" w:lastRow="0" w:firstColumn="1" w:lastColumn="0" w:noHBand="0" w:noVBand="1"/>
      </w:tblPr>
      <w:tblGrid>
        <w:gridCol w:w="3405"/>
        <w:gridCol w:w="2241"/>
        <w:gridCol w:w="1305"/>
        <w:gridCol w:w="1345"/>
      </w:tblGrid>
      <w:tr w:rsidR="00D81433" w:rsidRPr="00077581" w14:paraId="4127117B" w14:textId="77777777" w:rsidTr="00704F34">
        <w:tc>
          <w:tcPr>
            <w:tcW w:w="2064" w:type="pct"/>
            <w:hideMark/>
          </w:tcPr>
          <w:p w14:paraId="57856064"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Variable</w:t>
            </w:r>
          </w:p>
        </w:tc>
        <w:tc>
          <w:tcPr>
            <w:tcW w:w="1363" w:type="pct"/>
            <w:hideMark/>
          </w:tcPr>
          <w:p w14:paraId="32CFC78D"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Category</w:t>
            </w:r>
          </w:p>
        </w:tc>
        <w:tc>
          <w:tcPr>
            <w:tcW w:w="775" w:type="pct"/>
            <w:hideMark/>
          </w:tcPr>
          <w:p w14:paraId="6827434A"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Frequency</w:t>
            </w:r>
          </w:p>
        </w:tc>
        <w:tc>
          <w:tcPr>
            <w:tcW w:w="798" w:type="pct"/>
            <w:hideMark/>
          </w:tcPr>
          <w:p w14:paraId="454D4A45"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Percentage</w:t>
            </w:r>
          </w:p>
        </w:tc>
      </w:tr>
      <w:tr w:rsidR="00704F34" w:rsidRPr="00077581" w14:paraId="4283DE90" w14:textId="77777777" w:rsidTr="00704F34">
        <w:tc>
          <w:tcPr>
            <w:tcW w:w="2064" w:type="pct"/>
            <w:vMerge w:val="restart"/>
            <w:hideMark/>
          </w:tcPr>
          <w:p w14:paraId="12D6826A" w14:textId="77777777" w:rsidR="00704F34" w:rsidRPr="005A6C70" w:rsidRDefault="00704F34" w:rsidP="00EF0802">
            <w:pPr>
              <w:spacing w:line="360" w:lineRule="auto"/>
              <w:rPr>
                <w:rFonts w:ascii="Times New Roman" w:hAnsi="Times New Roman" w:cs="Times New Roman"/>
                <w:b/>
                <w:bCs/>
              </w:rPr>
            </w:pPr>
            <w:r w:rsidRPr="005A6C70">
              <w:rPr>
                <w:rStyle w:val="Strong"/>
                <w:rFonts w:ascii="Times New Roman" w:hAnsi="Times New Roman" w:cs="Times New Roman"/>
                <w:b w:val="0"/>
                <w:bCs w:val="0"/>
              </w:rPr>
              <w:t>Age</w:t>
            </w:r>
          </w:p>
        </w:tc>
        <w:tc>
          <w:tcPr>
            <w:tcW w:w="1363" w:type="pct"/>
            <w:hideMark/>
          </w:tcPr>
          <w:p w14:paraId="4A55D11B"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&lt;20 Years</w:t>
            </w:r>
          </w:p>
        </w:tc>
        <w:tc>
          <w:tcPr>
            <w:tcW w:w="775" w:type="pct"/>
            <w:hideMark/>
          </w:tcPr>
          <w:p w14:paraId="5943E647"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28</w:t>
            </w:r>
          </w:p>
        </w:tc>
        <w:tc>
          <w:tcPr>
            <w:tcW w:w="798" w:type="pct"/>
            <w:hideMark/>
          </w:tcPr>
          <w:p w14:paraId="1CE61A18"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14.0%</w:t>
            </w:r>
          </w:p>
        </w:tc>
      </w:tr>
      <w:tr w:rsidR="00704F34" w:rsidRPr="00077581" w14:paraId="558CA8E0" w14:textId="77777777" w:rsidTr="00704F34">
        <w:tc>
          <w:tcPr>
            <w:tcW w:w="2064" w:type="pct"/>
            <w:vMerge/>
            <w:hideMark/>
          </w:tcPr>
          <w:p w14:paraId="57FE1DF7" w14:textId="77777777" w:rsidR="00704F34" w:rsidRPr="005A6C70" w:rsidRDefault="00704F34" w:rsidP="00EF0802">
            <w:pPr>
              <w:spacing w:line="360" w:lineRule="auto"/>
              <w:rPr>
                <w:rFonts w:ascii="Times New Roman" w:hAnsi="Times New Roman" w:cs="Times New Roman"/>
              </w:rPr>
            </w:pPr>
          </w:p>
        </w:tc>
        <w:tc>
          <w:tcPr>
            <w:tcW w:w="1363" w:type="pct"/>
            <w:hideMark/>
          </w:tcPr>
          <w:p w14:paraId="4AD07CE6"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21–25 Years</w:t>
            </w:r>
          </w:p>
        </w:tc>
        <w:tc>
          <w:tcPr>
            <w:tcW w:w="775" w:type="pct"/>
            <w:hideMark/>
          </w:tcPr>
          <w:p w14:paraId="3B545A2C"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54</w:t>
            </w:r>
          </w:p>
        </w:tc>
        <w:tc>
          <w:tcPr>
            <w:tcW w:w="798" w:type="pct"/>
            <w:hideMark/>
          </w:tcPr>
          <w:p w14:paraId="2E1422ED"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27.0%</w:t>
            </w:r>
          </w:p>
        </w:tc>
      </w:tr>
      <w:tr w:rsidR="00704F34" w:rsidRPr="00077581" w14:paraId="048BF600" w14:textId="77777777" w:rsidTr="00704F34">
        <w:tc>
          <w:tcPr>
            <w:tcW w:w="2064" w:type="pct"/>
            <w:vMerge/>
            <w:hideMark/>
          </w:tcPr>
          <w:p w14:paraId="10377DDB" w14:textId="77777777" w:rsidR="00704F34" w:rsidRPr="005A6C70" w:rsidRDefault="00704F34" w:rsidP="00EF0802">
            <w:pPr>
              <w:spacing w:line="360" w:lineRule="auto"/>
              <w:rPr>
                <w:rFonts w:ascii="Times New Roman" w:hAnsi="Times New Roman" w:cs="Times New Roman"/>
              </w:rPr>
            </w:pPr>
          </w:p>
        </w:tc>
        <w:tc>
          <w:tcPr>
            <w:tcW w:w="1363" w:type="pct"/>
            <w:hideMark/>
          </w:tcPr>
          <w:p w14:paraId="3BE4044A"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26–30 Years</w:t>
            </w:r>
          </w:p>
        </w:tc>
        <w:tc>
          <w:tcPr>
            <w:tcW w:w="775" w:type="pct"/>
            <w:hideMark/>
          </w:tcPr>
          <w:p w14:paraId="35855A88"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68</w:t>
            </w:r>
          </w:p>
        </w:tc>
        <w:tc>
          <w:tcPr>
            <w:tcW w:w="798" w:type="pct"/>
            <w:hideMark/>
          </w:tcPr>
          <w:p w14:paraId="57EEF077"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34.0%</w:t>
            </w:r>
          </w:p>
        </w:tc>
      </w:tr>
      <w:tr w:rsidR="00704F34" w:rsidRPr="00077581" w14:paraId="0522AA0B" w14:textId="77777777" w:rsidTr="00704F34">
        <w:tc>
          <w:tcPr>
            <w:tcW w:w="2064" w:type="pct"/>
            <w:vMerge/>
            <w:hideMark/>
          </w:tcPr>
          <w:p w14:paraId="08691FA4" w14:textId="77777777" w:rsidR="00704F34" w:rsidRPr="005A6C70" w:rsidRDefault="00704F34" w:rsidP="00EF0802">
            <w:pPr>
              <w:spacing w:line="360" w:lineRule="auto"/>
              <w:rPr>
                <w:rFonts w:ascii="Times New Roman" w:hAnsi="Times New Roman" w:cs="Times New Roman"/>
              </w:rPr>
            </w:pPr>
          </w:p>
        </w:tc>
        <w:tc>
          <w:tcPr>
            <w:tcW w:w="1363" w:type="pct"/>
            <w:hideMark/>
          </w:tcPr>
          <w:p w14:paraId="43EF8E8D"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31–35 Years</w:t>
            </w:r>
          </w:p>
        </w:tc>
        <w:tc>
          <w:tcPr>
            <w:tcW w:w="775" w:type="pct"/>
            <w:hideMark/>
          </w:tcPr>
          <w:p w14:paraId="583C84FF"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37</w:t>
            </w:r>
          </w:p>
        </w:tc>
        <w:tc>
          <w:tcPr>
            <w:tcW w:w="798" w:type="pct"/>
            <w:hideMark/>
          </w:tcPr>
          <w:p w14:paraId="24C7194F"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18.5%</w:t>
            </w:r>
          </w:p>
        </w:tc>
      </w:tr>
      <w:tr w:rsidR="00704F34" w:rsidRPr="00077581" w14:paraId="2AD0431A" w14:textId="77777777" w:rsidTr="00704F34">
        <w:tc>
          <w:tcPr>
            <w:tcW w:w="2064" w:type="pct"/>
            <w:vMerge/>
            <w:hideMark/>
          </w:tcPr>
          <w:p w14:paraId="1DE22045" w14:textId="77777777" w:rsidR="00704F34" w:rsidRPr="005A6C70" w:rsidRDefault="00704F34" w:rsidP="00EF0802">
            <w:pPr>
              <w:spacing w:line="360" w:lineRule="auto"/>
              <w:rPr>
                <w:rFonts w:ascii="Times New Roman" w:hAnsi="Times New Roman" w:cs="Times New Roman"/>
              </w:rPr>
            </w:pPr>
          </w:p>
        </w:tc>
        <w:tc>
          <w:tcPr>
            <w:tcW w:w="1363" w:type="pct"/>
            <w:hideMark/>
          </w:tcPr>
          <w:p w14:paraId="06FCBA5B"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&gt;35 Years</w:t>
            </w:r>
          </w:p>
        </w:tc>
        <w:tc>
          <w:tcPr>
            <w:tcW w:w="775" w:type="pct"/>
            <w:hideMark/>
          </w:tcPr>
          <w:p w14:paraId="2885ECE2"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13</w:t>
            </w:r>
          </w:p>
        </w:tc>
        <w:tc>
          <w:tcPr>
            <w:tcW w:w="798" w:type="pct"/>
            <w:hideMark/>
          </w:tcPr>
          <w:p w14:paraId="34DD59F1"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6.5%</w:t>
            </w:r>
          </w:p>
        </w:tc>
      </w:tr>
      <w:tr w:rsidR="00704F34" w:rsidRPr="00077581" w14:paraId="36BBB543" w14:textId="77777777" w:rsidTr="00704F34">
        <w:tc>
          <w:tcPr>
            <w:tcW w:w="2064" w:type="pct"/>
            <w:vMerge w:val="restart"/>
            <w:hideMark/>
          </w:tcPr>
          <w:p w14:paraId="12AAFA0A" w14:textId="77777777" w:rsidR="00704F34" w:rsidRPr="005A6C70" w:rsidRDefault="00704F34" w:rsidP="00EF0802">
            <w:pPr>
              <w:spacing w:line="360" w:lineRule="auto"/>
              <w:rPr>
                <w:rFonts w:ascii="Times New Roman" w:hAnsi="Times New Roman" w:cs="Times New Roman"/>
                <w:b/>
                <w:bCs/>
              </w:rPr>
            </w:pPr>
            <w:r w:rsidRPr="005A6C70">
              <w:rPr>
                <w:rStyle w:val="Strong"/>
                <w:rFonts w:ascii="Times New Roman" w:hAnsi="Times New Roman" w:cs="Times New Roman"/>
                <w:b w:val="0"/>
                <w:bCs w:val="0"/>
              </w:rPr>
              <w:t>Gestational Age</w:t>
            </w:r>
          </w:p>
        </w:tc>
        <w:tc>
          <w:tcPr>
            <w:tcW w:w="1363" w:type="pct"/>
            <w:hideMark/>
          </w:tcPr>
          <w:p w14:paraId="444710F3"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1st Trimester</w:t>
            </w:r>
          </w:p>
        </w:tc>
        <w:tc>
          <w:tcPr>
            <w:tcW w:w="775" w:type="pct"/>
            <w:hideMark/>
          </w:tcPr>
          <w:p w14:paraId="75620068"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38</w:t>
            </w:r>
          </w:p>
        </w:tc>
        <w:tc>
          <w:tcPr>
            <w:tcW w:w="798" w:type="pct"/>
            <w:hideMark/>
          </w:tcPr>
          <w:p w14:paraId="4BB69695"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19.0%</w:t>
            </w:r>
          </w:p>
        </w:tc>
      </w:tr>
      <w:tr w:rsidR="00704F34" w:rsidRPr="00077581" w14:paraId="477CB212" w14:textId="77777777" w:rsidTr="00704F34">
        <w:tc>
          <w:tcPr>
            <w:tcW w:w="2064" w:type="pct"/>
            <w:vMerge/>
            <w:hideMark/>
          </w:tcPr>
          <w:p w14:paraId="5A258ABA" w14:textId="77777777" w:rsidR="00704F34" w:rsidRPr="005A6C70" w:rsidRDefault="00704F34" w:rsidP="00EF0802">
            <w:pPr>
              <w:spacing w:line="360" w:lineRule="auto"/>
              <w:rPr>
                <w:rFonts w:ascii="Times New Roman" w:hAnsi="Times New Roman" w:cs="Times New Roman"/>
              </w:rPr>
            </w:pPr>
          </w:p>
        </w:tc>
        <w:tc>
          <w:tcPr>
            <w:tcW w:w="1363" w:type="pct"/>
            <w:hideMark/>
          </w:tcPr>
          <w:p w14:paraId="6D47F508"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2nd Trimester</w:t>
            </w:r>
          </w:p>
        </w:tc>
        <w:tc>
          <w:tcPr>
            <w:tcW w:w="775" w:type="pct"/>
            <w:hideMark/>
          </w:tcPr>
          <w:p w14:paraId="7C903095"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99</w:t>
            </w:r>
          </w:p>
        </w:tc>
        <w:tc>
          <w:tcPr>
            <w:tcW w:w="798" w:type="pct"/>
            <w:hideMark/>
          </w:tcPr>
          <w:p w14:paraId="42A4CDEC"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49.5%</w:t>
            </w:r>
          </w:p>
        </w:tc>
      </w:tr>
      <w:tr w:rsidR="00704F34" w:rsidRPr="00077581" w14:paraId="1C5E9B3A" w14:textId="77777777" w:rsidTr="00704F34">
        <w:tc>
          <w:tcPr>
            <w:tcW w:w="2064" w:type="pct"/>
            <w:vMerge/>
            <w:hideMark/>
          </w:tcPr>
          <w:p w14:paraId="15C8467E" w14:textId="77777777" w:rsidR="00704F34" w:rsidRPr="005A6C70" w:rsidRDefault="00704F34" w:rsidP="00EF0802">
            <w:pPr>
              <w:spacing w:line="360" w:lineRule="auto"/>
              <w:rPr>
                <w:rFonts w:ascii="Times New Roman" w:hAnsi="Times New Roman" w:cs="Times New Roman"/>
              </w:rPr>
            </w:pPr>
          </w:p>
        </w:tc>
        <w:tc>
          <w:tcPr>
            <w:tcW w:w="1363" w:type="pct"/>
            <w:hideMark/>
          </w:tcPr>
          <w:p w14:paraId="3F44FD1B"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3rd Trimester</w:t>
            </w:r>
          </w:p>
        </w:tc>
        <w:tc>
          <w:tcPr>
            <w:tcW w:w="775" w:type="pct"/>
            <w:hideMark/>
          </w:tcPr>
          <w:p w14:paraId="54AECA87"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63</w:t>
            </w:r>
          </w:p>
        </w:tc>
        <w:tc>
          <w:tcPr>
            <w:tcW w:w="798" w:type="pct"/>
            <w:hideMark/>
          </w:tcPr>
          <w:p w14:paraId="509C6F17"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31.5%</w:t>
            </w:r>
          </w:p>
        </w:tc>
      </w:tr>
      <w:tr w:rsidR="00704F34" w:rsidRPr="00077581" w14:paraId="06AE3442" w14:textId="77777777" w:rsidTr="00704F34">
        <w:tc>
          <w:tcPr>
            <w:tcW w:w="2064" w:type="pct"/>
            <w:vMerge w:val="restart"/>
            <w:hideMark/>
          </w:tcPr>
          <w:p w14:paraId="7475B9B0" w14:textId="77777777" w:rsidR="00704F34" w:rsidRPr="005A6C70" w:rsidRDefault="00704F34" w:rsidP="00EF0802">
            <w:pPr>
              <w:spacing w:line="360" w:lineRule="auto"/>
              <w:rPr>
                <w:rFonts w:ascii="Times New Roman" w:hAnsi="Times New Roman" w:cs="Times New Roman"/>
                <w:b/>
                <w:bCs/>
              </w:rPr>
            </w:pPr>
            <w:r w:rsidRPr="005A6C70">
              <w:rPr>
                <w:rStyle w:val="Strong"/>
                <w:rFonts w:ascii="Times New Roman" w:hAnsi="Times New Roman" w:cs="Times New Roman"/>
                <w:b w:val="0"/>
                <w:bCs w:val="0"/>
              </w:rPr>
              <w:t>Education Level</w:t>
            </w:r>
          </w:p>
        </w:tc>
        <w:tc>
          <w:tcPr>
            <w:tcW w:w="1363" w:type="pct"/>
            <w:hideMark/>
          </w:tcPr>
          <w:p w14:paraId="636188ED"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No Formal Education</w:t>
            </w:r>
          </w:p>
        </w:tc>
        <w:tc>
          <w:tcPr>
            <w:tcW w:w="775" w:type="pct"/>
            <w:hideMark/>
          </w:tcPr>
          <w:p w14:paraId="2FCECCD5"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9</w:t>
            </w:r>
          </w:p>
        </w:tc>
        <w:tc>
          <w:tcPr>
            <w:tcW w:w="798" w:type="pct"/>
            <w:hideMark/>
          </w:tcPr>
          <w:p w14:paraId="2B94CDF7"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4.5%</w:t>
            </w:r>
          </w:p>
        </w:tc>
      </w:tr>
      <w:tr w:rsidR="00704F34" w:rsidRPr="00077581" w14:paraId="76A35ED5" w14:textId="77777777" w:rsidTr="00704F34">
        <w:tc>
          <w:tcPr>
            <w:tcW w:w="2064" w:type="pct"/>
            <w:vMerge/>
            <w:hideMark/>
          </w:tcPr>
          <w:p w14:paraId="64176BF1" w14:textId="77777777" w:rsidR="00704F34" w:rsidRPr="005A6C70" w:rsidRDefault="00704F34" w:rsidP="00EF0802">
            <w:pPr>
              <w:spacing w:line="360" w:lineRule="auto"/>
              <w:rPr>
                <w:rFonts w:ascii="Times New Roman" w:hAnsi="Times New Roman" w:cs="Times New Roman"/>
              </w:rPr>
            </w:pPr>
          </w:p>
        </w:tc>
        <w:tc>
          <w:tcPr>
            <w:tcW w:w="1363" w:type="pct"/>
            <w:hideMark/>
          </w:tcPr>
          <w:p w14:paraId="7194DD95"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Primary</w:t>
            </w:r>
          </w:p>
        </w:tc>
        <w:tc>
          <w:tcPr>
            <w:tcW w:w="775" w:type="pct"/>
            <w:hideMark/>
          </w:tcPr>
          <w:p w14:paraId="77057F95"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29</w:t>
            </w:r>
          </w:p>
        </w:tc>
        <w:tc>
          <w:tcPr>
            <w:tcW w:w="798" w:type="pct"/>
            <w:hideMark/>
          </w:tcPr>
          <w:p w14:paraId="28FC6B0B"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14.5%</w:t>
            </w:r>
          </w:p>
        </w:tc>
      </w:tr>
      <w:tr w:rsidR="00704F34" w:rsidRPr="00077581" w14:paraId="6C92F391" w14:textId="77777777" w:rsidTr="00704F34">
        <w:tc>
          <w:tcPr>
            <w:tcW w:w="2064" w:type="pct"/>
            <w:vMerge/>
            <w:hideMark/>
          </w:tcPr>
          <w:p w14:paraId="747A0969" w14:textId="77777777" w:rsidR="00704F34" w:rsidRPr="005A6C70" w:rsidRDefault="00704F34" w:rsidP="00EF0802">
            <w:pPr>
              <w:spacing w:line="360" w:lineRule="auto"/>
              <w:rPr>
                <w:rFonts w:ascii="Times New Roman" w:hAnsi="Times New Roman" w:cs="Times New Roman"/>
              </w:rPr>
            </w:pPr>
          </w:p>
        </w:tc>
        <w:tc>
          <w:tcPr>
            <w:tcW w:w="1363" w:type="pct"/>
            <w:hideMark/>
          </w:tcPr>
          <w:p w14:paraId="08C8010D"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Secondary</w:t>
            </w:r>
          </w:p>
        </w:tc>
        <w:tc>
          <w:tcPr>
            <w:tcW w:w="775" w:type="pct"/>
            <w:hideMark/>
          </w:tcPr>
          <w:p w14:paraId="7BDD0598"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60</w:t>
            </w:r>
          </w:p>
        </w:tc>
        <w:tc>
          <w:tcPr>
            <w:tcW w:w="798" w:type="pct"/>
            <w:hideMark/>
          </w:tcPr>
          <w:p w14:paraId="692C890F"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30.0%</w:t>
            </w:r>
          </w:p>
        </w:tc>
      </w:tr>
      <w:tr w:rsidR="00704F34" w:rsidRPr="00077581" w14:paraId="74E8F158" w14:textId="77777777" w:rsidTr="00704F34">
        <w:tc>
          <w:tcPr>
            <w:tcW w:w="2064" w:type="pct"/>
            <w:vMerge/>
            <w:hideMark/>
          </w:tcPr>
          <w:p w14:paraId="5C96E9D3" w14:textId="77777777" w:rsidR="00704F34" w:rsidRPr="005A6C70" w:rsidRDefault="00704F34" w:rsidP="00EF0802">
            <w:pPr>
              <w:spacing w:line="360" w:lineRule="auto"/>
              <w:rPr>
                <w:rFonts w:ascii="Times New Roman" w:hAnsi="Times New Roman" w:cs="Times New Roman"/>
              </w:rPr>
            </w:pPr>
          </w:p>
        </w:tc>
        <w:tc>
          <w:tcPr>
            <w:tcW w:w="1363" w:type="pct"/>
            <w:hideMark/>
          </w:tcPr>
          <w:p w14:paraId="24953013"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Graduate</w:t>
            </w:r>
          </w:p>
        </w:tc>
        <w:tc>
          <w:tcPr>
            <w:tcW w:w="775" w:type="pct"/>
            <w:hideMark/>
          </w:tcPr>
          <w:p w14:paraId="0A621C60"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71</w:t>
            </w:r>
          </w:p>
        </w:tc>
        <w:tc>
          <w:tcPr>
            <w:tcW w:w="798" w:type="pct"/>
            <w:hideMark/>
          </w:tcPr>
          <w:p w14:paraId="70E74FAF"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35.5%</w:t>
            </w:r>
          </w:p>
        </w:tc>
      </w:tr>
      <w:tr w:rsidR="00704F34" w:rsidRPr="00077581" w14:paraId="60CD8EBB" w14:textId="77777777" w:rsidTr="00704F34">
        <w:tc>
          <w:tcPr>
            <w:tcW w:w="2064" w:type="pct"/>
            <w:vMerge/>
            <w:hideMark/>
          </w:tcPr>
          <w:p w14:paraId="277FB814" w14:textId="77777777" w:rsidR="00704F34" w:rsidRPr="005A6C70" w:rsidRDefault="00704F34" w:rsidP="00EF0802">
            <w:pPr>
              <w:spacing w:line="360" w:lineRule="auto"/>
              <w:rPr>
                <w:rFonts w:ascii="Times New Roman" w:hAnsi="Times New Roman" w:cs="Times New Roman"/>
              </w:rPr>
            </w:pPr>
          </w:p>
        </w:tc>
        <w:tc>
          <w:tcPr>
            <w:tcW w:w="1363" w:type="pct"/>
            <w:hideMark/>
          </w:tcPr>
          <w:p w14:paraId="69C59B86"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Postgraduate</w:t>
            </w:r>
          </w:p>
        </w:tc>
        <w:tc>
          <w:tcPr>
            <w:tcW w:w="775" w:type="pct"/>
            <w:hideMark/>
          </w:tcPr>
          <w:p w14:paraId="5CEC4FBA"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31</w:t>
            </w:r>
          </w:p>
        </w:tc>
        <w:tc>
          <w:tcPr>
            <w:tcW w:w="798" w:type="pct"/>
            <w:hideMark/>
          </w:tcPr>
          <w:p w14:paraId="70BB698F"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15.5%</w:t>
            </w:r>
          </w:p>
        </w:tc>
      </w:tr>
      <w:tr w:rsidR="00704F34" w:rsidRPr="00077581" w14:paraId="2FAE68A2" w14:textId="77777777" w:rsidTr="00704F34">
        <w:tc>
          <w:tcPr>
            <w:tcW w:w="2064" w:type="pct"/>
            <w:vMerge w:val="restart"/>
            <w:hideMark/>
          </w:tcPr>
          <w:p w14:paraId="48E97878" w14:textId="77777777" w:rsidR="00704F34" w:rsidRPr="005A6C70" w:rsidRDefault="00704F34" w:rsidP="00EF0802">
            <w:pPr>
              <w:spacing w:line="360" w:lineRule="auto"/>
              <w:rPr>
                <w:rFonts w:ascii="Times New Roman" w:hAnsi="Times New Roman" w:cs="Times New Roman"/>
                <w:b/>
                <w:bCs/>
              </w:rPr>
            </w:pPr>
            <w:r w:rsidRPr="005A6C70">
              <w:rPr>
                <w:rStyle w:val="Strong"/>
                <w:rFonts w:ascii="Times New Roman" w:hAnsi="Times New Roman" w:cs="Times New Roman"/>
                <w:b w:val="0"/>
                <w:bCs w:val="0"/>
              </w:rPr>
              <w:t>Occupation</w:t>
            </w:r>
          </w:p>
        </w:tc>
        <w:tc>
          <w:tcPr>
            <w:tcW w:w="1363" w:type="pct"/>
            <w:hideMark/>
          </w:tcPr>
          <w:p w14:paraId="3FBF79F2"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Homemaker</w:t>
            </w:r>
          </w:p>
        </w:tc>
        <w:tc>
          <w:tcPr>
            <w:tcW w:w="775" w:type="pct"/>
            <w:hideMark/>
          </w:tcPr>
          <w:p w14:paraId="2FB61766"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78</w:t>
            </w:r>
          </w:p>
        </w:tc>
        <w:tc>
          <w:tcPr>
            <w:tcW w:w="798" w:type="pct"/>
            <w:hideMark/>
          </w:tcPr>
          <w:p w14:paraId="77AC7FC4"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39.0%</w:t>
            </w:r>
          </w:p>
        </w:tc>
      </w:tr>
      <w:tr w:rsidR="00704F34" w:rsidRPr="00077581" w14:paraId="7195FED6" w14:textId="77777777" w:rsidTr="00704F34">
        <w:tc>
          <w:tcPr>
            <w:tcW w:w="2064" w:type="pct"/>
            <w:vMerge/>
            <w:hideMark/>
          </w:tcPr>
          <w:p w14:paraId="50F0CE04" w14:textId="77777777" w:rsidR="00704F34" w:rsidRPr="005A6C70" w:rsidRDefault="00704F34" w:rsidP="00EF0802">
            <w:pPr>
              <w:spacing w:line="360" w:lineRule="auto"/>
              <w:rPr>
                <w:rFonts w:ascii="Times New Roman" w:hAnsi="Times New Roman" w:cs="Times New Roman"/>
              </w:rPr>
            </w:pPr>
          </w:p>
        </w:tc>
        <w:tc>
          <w:tcPr>
            <w:tcW w:w="1363" w:type="pct"/>
            <w:hideMark/>
          </w:tcPr>
          <w:p w14:paraId="411C4E03"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Working</w:t>
            </w:r>
          </w:p>
        </w:tc>
        <w:tc>
          <w:tcPr>
            <w:tcW w:w="775" w:type="pct"/>
            <w:hideMark/>
          </w:tcPr>
          <w:p w14:paraId="75E9ABC4"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61</w:t>
            </w:r>
          </w:p>
        </w:tc>
        <w:tc>
          <w:tcPr>
            <w:tcW w:w="798" w:type="pct"/>
            <w:hideMark/>
          </w:tcPr>
          <w:p w14:paraId="206F86E0"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30.5%</w:t>
            </w:r>
          </w:p>
        </w:tc>
      </w:tr>
      <w:tr w:rsidR="00704F34" w:rsidRPr="00077581" w14:paraId="54345243" w14:textId="77777777" w:rsidTr="00704F34">
        <w:tc>
          <w:tcPr>
            <w:tcW w:w="2064" w:type="pct"/>
            <w:vMerge/>
            <w:hideMark/>
          </w:tcPr>
          <w:p w14:paraId="225E522D" w14:textId="77777777" w:rsidR="00704F34" w:rsidRPr="005A6C70" w:rsidRDefault="00704F34" w:rsidP="00EF0802">
            <w:pPr>
              <w:spacing w:line="360" w:lineRule="auto"/>
              <w:rPr>
                <w:rFonts w:ascii="Times New Roman" w:hAnsi="Times New Roman" w:cs="Times New Roman"/>
              </w:rPr>
            </w:pPr>
          </w:p>
        </w:tc>
        <w:tc>
          <w:tcPr>
            <w:tcW w:w="1363" w:type="pct"/>
            <w:hideMark/>
          </w:tcPr>
          <w:p w14:paraId="17835AB2"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Student</w:t>
            </w:r>
          </w:p>
        </w:tc>
        <w:tc>
          <w:tcPr>
            <w:tcW w:w="775" w:type="pct"/>
            <w:hideMark/>
          </w:tcPr>
          <w:p w14:paraId="253B2A0B"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39</w:t>
            </w:r>
          </w:p>
        </w:tc>
        <w:tc>
          <w:tcPr>
            <w:tcW w:w="798" w:type="pct"/>
            <w:hideMark/>
          </w:tcPr>
          <w:p w14:paraId="69C8B77E"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19.5%</w:t>
            </w:r>
          </w:p>
        </w:tc>
      </w:tr>
      <w:tr w:rsidR="00704F34" w:rsidRPr="00077581" w14:paraId="5D77149C" w14:textId="77777777" w:rsidTr="00704F34">
        <w:tc>
          <w:tcPr>
            <w:tcW w:w="2064" w:type="pct"/>
            <w:vMerge/>
            <w:hideMark/>
          </w:tcPr>
          <w:p w14:paraId="7644A6FC" w14:textId="77777777" w:rsidR="00704F34" w:rsidRPr="005A6C70" w:rsidRDefault="00704F34" w:rsidP="00EF0802">
            <w:pPr>
              <w:spacing w:line="360" w:lineRule="auto"/>
              <w:rPr>
                <w:rFonts w:ascii="Times New Roman" w:hAnsi="Times New Roman" w:cs="Times New Roman"/>
              </w:rPr>
            </w:pPr>
          </w:p>
        </w:tc>
        <w:tc>
          <w:tcPr>
            <w:tcW w:w="1363" w:type="pct"/>
            <w:hideMark/>
          </w:tcPr>
          <w:p w14:paraId="42C6F8CC"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Unemployed</w:t>
            </w:r>
          </w:p>
        </w:tc>
        <w:tc>
          <w:tcPr>
            <w:tcW w:w="775" w:type="pct"/>
            <w:hideMark/>
          </w:tcPr>
          <w:p w14:paraId="66438FA3"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22</w:t>
            </w:r>
          </w:p>
        </w:tc>
        <w:tc>
          <w:tcPr>
            <w:tcW w:w="798" w:type="pct"/>
            <w:hideMark/>
          </w:tcPr>
          <w:p w14:paraId="48EA3EC6"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11.0%</w:t>
            </w:r>
          </w:p>
        </w:tc>
      </w:tr>
      <w:tr w:rsidR="00704F34" w:rsidRPr="00077581" w14:paraId="353F5D58" w14:textId="77777777" w:rsidTr="00704F34">
        <w:tc>
          <w:tcPr>
            <w:tcW w:w="2064" w:type="pct"/>
            <w:vMerge w:val="restart"/>
            <w:hideMark/>
          </w:tcPr>
          <w:p w14:paraId="3C5E86FA" w14:textId="77777777" w:rsidR="00704F34" w:rsidRPr="005A6C70" w:rsidRDefault="00704F34" w:rsidP="00EF0802">
            <w:pPr>
              <w:spacing w:line="360" w:lineRule="auto"/>
              <w:rPr>
                <w:rFonts w:ascii="Times New Roman" w:hAnsi="Times New Roman" w:cs="Times New Roman"/>
                <w:b/>
                <w:bCs/>
              </w:rPr>
            </w:pPr>
            <w:r w:rsidRPr="005A6C70">
              <w:rPr>
                <w:rStyle w:val="Strong"/>
                <w:rFonts w:ascii="Times New Roman" w:hAnsi="Times New Roman" w:cs="Times New Roman"/>
                <w:b w:val="0"/>
                <w:bCs w:val="0"/>
              </w:rPr>
              <w:t>Monthly Family Income</w:t>
            </w:r>
          </w:p>
        </w:tc>
        <w:tc>
          <w:tcPr>
            <w:tcW w:w="1363" w:type="pct"/>
            <w:hideMark/>
          </w:tcPr>
          <w:p w14:paraId="116D0AA7"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&lt; ₹10,000</w:t>
            </w:r>
          </w:p>
        </w:tc>
        <w:tc>
          <w:tcPr>
            <w:tcW w:w="775" w:type="pct"/>
            <w:hideMark/>
          </w:tcPr>
          <w:p w14:paraId="1F3E5660"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20</w:t>
            </w:r>
          </w:p>
        </w:tc>
        <w:tc>
          <w:tcPr>
            <w:tcW w:w="798" w:type="pct"/>
            <w:hideMark/>
          </w:tcPr>
          <w:p w14:paraId="35847313"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10.0%</w:t>
            </w:r>
          </w:p>
        </w:tc>
      </w:tr>
      <w:tr w:rsidR="00704F34" w:rsidRPr="00077581" w14:paraId="1446245D" w14:textId="77777777" w:rsidTr="00704F34">
        <w:tc>
          <w:tcPr>
            <w:tcW w:w="2064" w:type="pct"/>
            <w:vMerge/>
            <w:hideMark/>
          </w:tcPr>
          <w:p w14:paraId="5AECD0B5" w14:textId="77777777" w:rsidR="00704F34" w:rsidRPr="005A6C70" w:rsidRDefault="00704F34" w:rsidP="00EF0802">
            <w:pPr>
              <w:spacing w:line="360" w:lineRule="auto"/>
              <w:rPr>
                <w:rFonts w:ascii="Times New Roman" w:hAnsi="Times New Roman" w:cs="Times New Roman"/>
              </w:rPr>
            </w:pPr>
          </w:p>
        </w:tc>
        <w:tc>
          <w:tcPr>
            <w:tcW w:w="1363" w:type="pct"/>
            <w:hideMark/>
          </w:tcPr>
          <w:p w14:paraId="4A0FA47E"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₹10,000 – ₹20,000</w:t>
            </w:r>
          </w:p>
        </w:tc>
        <w:tc>
          <w:tcPr>
            <w:tcW w:w="775" w:type="pct"/>
            <w:hideMark/>
          </w:tcPr>
          <w:p w14:paraId="55264F76"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59</w:t>
            </w:r>
          </w:p>
        </w:tc>
        <w:tc>
          <w:tcPr>
            <w:tcW w:w="798" w:type="pct"/>
            <w:hideMark/>
          </w:tcPr>
          <w:p w14:paraId="39C34BF7"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29.5%</w:t>
            </w:r>
          </w:p>
        </w:tc>
      </w:tr>
      <w:tr w:rsidR="00704F34" w:rsidRPr="00077581" w14:paraId="0606CE71" w14:textId="77777777" w:rsidTr="00704F34">
        <w:tc>
          <w:tcPr>
            <w:tcW w:w="2064" w:type="pct"/>
            <w:vMerge/>
            <w:hideMark/>
          </w:tcPr>
          <w:p w14:paraId="61EDD142" w14:textId="77777777" w:rsidR="00704F34" w:rsidRPr="005A6C70" w:rsidRDefault="00704F34" w:rsidP="00EF0802">
            <w:pPr>
              <w:spacing w:line="360" w:lineRule="auto"/>
              <w:rPr>
                <w:rFonts w:ascii="Times New Roman" w:hAnsi="Times New Roman" w:cs="Times New Roman"/>
              </w:rPr>
            </w:pPr>
          </w:p>
        </w:tc>
        <w:tc>
          <w:tcPr>
            <w:tcW w:w="1363" w:type="pct"/>
            <w:hideMark/>
          </w:tcPr>
          <w:p w14:paraId="7B81CA22"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₹20,000 – ₹30,000</w:t>
            </w:r>
          </w:p>
        </w:tc>
        <w:tc>
          <w:tcPr>
            <w:tcW w:w="775" w:type="pct"/>
            <w:hideMark/>
          </w:tcPr>
          <w:p w14:paraId="3D346F8A"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62</w:t>
            </w:r>
          </w:p>
        </w:tc>
        <w:tc>
          <w:tcPr>
            <w:tcW w:w="798" w:type="pct"/>
            <w:hideMark/>
          </w:tcPr>
          <w:p w14:paraId="1FA7DE45"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31.0%</w:t>
            </w:r>
          </w:p>
        </w:tc>
      </w:tr>
      <w:tr w:rsidR="00704F34" w:rsidRPr="00077581" w14:paraId="7C0FC15B" w14:textId="77777777" w:rsidTr="00704F34">
        <w:tc>
          <w:tcPr>
            <w:tcW w:w="2064" w:type="pct"/>
            <w:vMerge/>
            <w:hideMark/>
          </w:tcPr>
          <w:p w14:paraId="4E2A8291" w14:textId="77777777" w:rsidR="00704F34" w:rsidRPr="005A6C70" w:rsidRDefault="00704F34" w:rsidP="00EF0802">
            <w:pPr>
              <w:spacing w:line="360" w:lineRule="auto"/>
              <w:rPr>
                <w:rFonts w:ascii="Times New Roman" w:hAnsi="Times New Roman" w:cs="Times New Roman"/>
              </w:rPr>
            </w:pPr>
          </w:p>
        </w:tc>
        <w:tc>
          <w:tcPr>
            <w:tcW w:w="1363" w:type="pct"/>
            <w:hideMark/>
          </w:tcPr>
          <w:p w14:paraId="4FDFD362"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₹30,000 – ₹50,000</w:t>
            </w:r>
          </w:p>
        </w:tc>
        <w:tc>
          <w:tcPr>
            <w:tcW w:w="775" w:type="pct"/>
            <w:hideMark/>
          </w:tcPr>
          <w:p w14:paraId="58BD4738"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40</w:t>
            </w:r>
          </w:p>
        </w:tc>
        <w:tc>
          <w:tcPr>
            <w:tcW w:w="798" w:type="pct"/>
            <w:hideMark/>
          </w:tcPr>
          <w:p w14:paraId="70620968"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20.0%</w:t>
            </w:r>
          </w:p>
        </w:tc>
      </w:tr>
      <w:tr w:rsidR="00704F34" w:rsidRPr="00077581" w14:paraId="017285F3" w14:textId="77777777" w:rsidTr="00704F34">
        <w:tc>
          <w:tcPr>
            <w:tcW w:w="2064" w:type="pct"/>
            <w:vMerge/>
            <w:hideMark/>
          </w:tcPr>
          <w:p w14:paraId="0379B387" w14:textId="77777777" w:rsidR="00704F34" w:rsidRPr="005A6C70" w:rsidRDefault="00704F34" w:rsidP="00EF0802">
            <w:pPr>
              <w:spacing w:line="360" w:lineRule="auto"/>
              <w:rPr>
                <w:rFonts w:ascii="Times New Roman" w:hAnsi="Times New Roman" w:cs="Times New Roman"/>
              </w:rPr>
            </w:pPr>
          </w:p>
        </w:tc>
        <w:tc>
          <w:tcPr>
            <w:tcW w:w="1363" w:type="pct"/>
            <w:hideMark/>
          </w:tcPr>
          <w:p w14:paraId="6EE8F212"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&gt; ₹50,000</w:t>
            </w:r>
          </w:p>
        </w:tc>
        <w:tc>
          <w:tcPr>
            <w:tcW w:w="775" w:type="pct"/>
            <w:hideMark/>
          </w:tcPr>
          <w:p w14:paraId="799B86EF"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19</w:t>
            </w:r>
          </w:p>
        </w:tc>
        <w:tc>
          <w:tcPr>
            <w:tcW w:w="798" w:type="pct"/>
            <w:hideMark/>
          </w:tcPr>
          <w:p w14:paraId="5E947C54"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9.5%</w:t>
            </w:r>
          </w:p>
        </w:tc>
      </w:tr>
      <w:tr w:rsidR="00704F34" w:rsidRPr="00077581" w14:paraId="3ADFDB88" w14:textId="77777777" w:rsidTr="00704F34">
        <w:tc>
          <w:tcPr>
            <w:tcW w:w="2064" w:type="pct"/>
            <w:vMerge w:val="restart"/>
            <w:hideMark/>
          </w:tcPr>
          <w:p w14:paraId="2189702E" w14:textId="77777777" w:rsidR="00704F34" w:rsidRPr="005A6C70" w:rsidRDefault="00704F34" w:rsidP="00EF0802">
            <w:pPr>
              <w:spacing w:line="360" w:lineRule="auto"/>
              <w:rPr>
                <w:rFonts w:ascii="Times New Roman" w:hAnsi="Times New Roman" w:cs="Times New Roman"/>
                <w:b/>
                <w:bCs/>
              </w:rPr>
            </w:pPr>
            <w:r w:rsidRPr="005A6C70">
              <w:rPr>
                <w:rStyle w:val="Strong"/>
                <w:rFonts w:ascii="Times New Roman" w:hAnsi="Times New Roman" w:cs="Times New Roman"/>
                <w:b w:val="0"/>
                <w:bCs w:val="0"/>
              </w:rPr>
              <w:t>Residence</w:t>
            </w:r>
          </w:p>
        </w:tc>
        <w:tc>
          <w:tcPr>
            <w:tcW w:w="1363" w:type="pct"/>
            <w:hideMark/>
          </w:tcPr>
          <w:p w14:paraId="30A15155"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Urban</w:t>
            </w:r>
          </w:p>
        </w:tc>
        <w:tc>
          <w:tcPr>
            <w:tcW w:w="775" w:type="pct"/>
            <w:hideMark/>
          </w:tcPr>
          <w:p w14:paraId="37B9E6D5"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80</w:t>
            </w:r>
          </w:p>
        </w:tc>
        <w:tc>
          <w:tcPr>
            <w:tcW w:w="798" w:type="pct"/>
            <w:hideMark/>
          </w:tcPr>
          <w:p w14:paraId="71D95D5E"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40.0%</w:t>
            </w:r>
          </w:p>
        </w:tc>
      </w:tr>
      <w:tr w:rsidR="00704F34" w:rsidRPr="00077581" w14:paraId="03707F1A" w14:textId="77777777" w:rsidTr="00704F34">
        <w:tc>
          <w:tcPr>
            <w:tcW w:w="2064" w:type="pct"/>
            <w:vMerge/>
            <w:hideMark/>
          </w:tcPr>
          <w:p w14:paraId="38F5B7F7" w14:textId="77777777" w:rsidR="00704F34" w:rsidRPr="005A6C70" w:rsidRDefault="00704F34" w:rsidP="00EF0802">
            <w:pPr>
              <w:spacing w:line="360" w:lineRule="auto"/>
              <w:rPr>
                <w:rFonts w:ascii="Times New Roman" w:hAnsi="Times New Roman" w:cs="Times New Roman"/>
              </w:rPr>
            </w:pPr>
          </w:p>
        </w:tc>
        <w:tc>
          <w:tcPr>
            <w:tcW w:w="1363" w:type="pct"/>
            <w:hideMark/>
          </w:tcPr>
          <w:p w14:paraId="459F441D"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Semi-urban</w:t>
            </w:r>
          </w:p>
        </w:tc>
        <w:tc>
          <w:tcPr>
            <w:tcW w:w="775" w:type="pct"/>
            <w:hideMark/>
          </w:tcPr>
          <w:p w14:paraId="0A04EE05"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58</w:t>
            </w:r>
          </w:p>
        </w:tc>
        <w:tc>
          <w:tcPr>
            <w:tcW w:w="798" w:type="pct"/>
            <w:hideMark/>
          </w:tcPr>
          <w:p w14:paraId="7A2BF55A"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29.0%</w:t>
            </w:r>
          </w:p>
        </w:tc>
      </w:tr>
      <w:tr w:rsidR="00704F34" w:rsidRPr="00077581" w14:paraId="2E4E70CF" w14:textId="77777777" w:rsidTr="00704F34">
        <w:tc>
          <w:tcPr>
            <w:tcW w:w="2064" w:type="pct"/>
            <w:vMerge/>
            <w:hideMark/>
          </w:tcPr>
          <w:p w14:paraId="0DC8B03C" w14:textId="77777777" w:rsidR="00704F34" w:rsidRPr="005A6C70" w:rsidRDefault="00704F34" w:rsidP="00EF0802">
            <w:pPr>
              <w:spacing w:line="360" w:lineRule="auto"/>
              <w:rPr>
                <w:rFonts w:ascii="Times New Roman" w:hAnsi="Times New Roman" w:cs="Times New Roman"/>
              </w:rPr>
            </w:pPr>
          </w:p>
        </w:tc>
        <w:tc>
          <w:tcPr>
            <w:tcW w:w="1363" w:type="pct"/>
            <w:hideMark/>
          </w:tcPr>
          <w:p w14:paraId="671DB294"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Rural</w:t>
            </w:r>
          </w:p>
        </w:tc>
        <w:tc>
          <w:tcPr>
            <w:tcW w:w="775" w:type="pct"/>
            <w:hideMark/>
          </w:tcPr>
          <w:p w14:paraId="7958CE39"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62</w:t>
            </w:r>
          </w:p>
        </w:tc>
        <w:tc>
          <w:tcPr>
            <w:tcW w:w="798" w:type="pct"/>
            <w:hideMark/>
          </w:tcPr>
          <w:p w14:paraId="5EEC6794"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31.0%</w:t>
            </w:r>
          </w:p>
        </w:tc>
      </w:tr>
      <w:tr w:rsidR="00704F34" w:rsidRPr="00077581" w14:paraId="4EE99CD2" w14:textId="77777777" w:rsidTr="00704F34">
        <w:tc>
          <w:tcPr>
            <w:tcW w:w="2064" w:type="pct"/>
            <w:vMerge w:val="restart"/>
            <w:hideMark/>
          </w:tcPr>
          <w:p w14:paraId="124A7916" w14:textId="77777777" w:rsidR="00704F34" w:rsidRPr="005A6C70" w:rsidRDefault="00704F34" w:rsidP="00EF0802">
            <w:pPr>
              <w:spacing w:line="360" w:lineRule="auto"/>
              <w:rPr>
                <w:rFonts w:ascii="Times New Roman" w:hAnsi="Times New Roman" w:cs="Times New Roman"/>
                <w:b/>
                <w:bCs/>
              </w:rPr>
            </w:pPr>
            <w:r w:rsidRPr="005A6C70">
              <w:rPr>
                <w:rStyle w:val="Strong"/>
                <w:rFonts w:ascii="Times New Roman" w:hAnsi="Times New Roman" w:cs="Times New Roman"/>
                <w:b w:val="0"/>
                <w:bCs w:val="0"/>
              </w:rPr>
              <w:t>Family Type</w:t>
            </w:r>
          </w:p>
        </w:tc>
        <w:tc>
          <w:tcPr>
            <w:tcW w:w="1363" w:type="pct"/>
            <w:hideMark/>
          </w:tcPr>
          <w:p w14:paraId="4E140A32"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Nuclear</w:t>
            </w:r>
          </w:p>
        </w:tc>
        <w:tc>
          <w:tcPr>
            <w:tcW w:w="775" w:type="pct"/>
            <w:hideMark/>
          </w:tcPr>
          <w:p w14:paraId="71D80BC2"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121</w:t>
            </w:r>
          </w:p>
        </w:tc>
        <w:tc>
          <w:tcPr>
            <w:tcW w:w="798" w:type="pct"/>
            <w:hideMark/>
          </w:tcPr>
          <w:p w14:paraId="08480B63"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60.5%</w:t>
            </w:r>
          </w:p>
        </w:tc>
      </w:tr>
      <w:tr w:rsidR="00704F34" w:rsidRPr="00077581" w14:paraId="347DC210" w14:textId="77777777" w:rsidTr="00704F34">
        <w:tc>
          <w:tcPr>
            <w:tcW w:w="2064" w:type="pct"/>
            <w:vMerge/>
            <w:hideMark/>
          </w:tcPr>
          <w:p w14:paraId="7332058B" w14:textId="77777777" w:rsidR="00704F34" w:rsidRPr="005A6C70" w:rsidRDefault="00704F34" w:rsidP="00EF0802">
            <w:pPr>
              <w:spacing w:line="360" w:lineRule="auto"/>
              <w:rPr>
                <w:rFonts w:ascii="Times New Roman" w:hAnsi="Times New Roman" w:cs="Times New Roman"/>
              </w:rPr>
            </w:pPr>
          </w:p>
        </w:tc>
        <w:tc>
          <w:tcPr>
            <w:tcW w:w="1363" w:type="pct"/>
            <w:hideMark/>
          </w:tcPr>
          <w:p w14:paraId="610B9CDB"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Joint</w:t>
            </w:r>
          </w:p>
        </w:tc>
        <w:tc>
          <w:tcPr>
            <w:tcW w:w="775" w:type="pct"/>
            <w:hideMark/>
          </w:tcPr>
          <w:p w14:paraId="158D650A"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79</w:t>
            </w:r>
          </w:p>
        </w:tc>
        <w:tc>
          <w:tcPr>
            <w:tcW w:w="798" w:type="pct"/>
            <w:hideMark/>
          </w:tcPr>
          <w:p w14:paraId="6C69DE30"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39.5%</w:t>
            </w:r>
          </w:p>
        </w:tc>
      </w:tr>
      <w:tr w:rsidR="00704F34" w:rsidRPr="00077581" w14:paraId="29497A05" w14:textId="77777777" w:rsidTr="00704F34">
        <w:tc>
          <w:tcPr>
            <w:tcW w:w="2064" w:type="pct"/>
            <w:vMerge w:val="restart"/>
            <w:hideMark/>
          </w:tcPr>
          <w:p w14:paraId="578AA592" w14:textId="77777777" w:rsidR="00704F34" w:rsidRPr="005A6C70" w:rsidRDefault="00704F34" w:rsidP="00EF0802">
            <w:pPr>
              <w:spacing w:line="360" w:lineRule="auto"/>
              <w:rPr>
                <w:rFonts w:ascii="Times New Roman" w:hAnsi="Times New Roman" w:cs="Times New Roman"/>
                <w:b/>
                <w:bCs/>
              </w:rPr>
            </w:pPr>
            <w:r w:rsidRPr="005A6C70">
              <w:rPr>
                <w:rStyle w:val="Strong"/>
                <w:rFonts w:ascii="Times New Roman" w:hAnsi="Times New Roman" w:cs="Times New Roman"/>
                <w:b w:val="0"/>
                <w:bCs w:val="0"/>
              </w:rPr>
              <w:t>Parity</w:t>
            </w:r>
          </w:p>
        </w:tc>
        <w:tc>
          <w:tcPr>
            <w:tcW w:w="1363" w:type="pct"/>
            <w:hideMark/>
          </w:tcPr>
          <w:p w14:paraId="7CFEAFFF"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Primigravida</w:t>
            </w:r>
          </w:p>
        </w:tc>
        <w:tc>
          <w:tcPr>
            <w:tcW w:w="775" w:type="pct"/>
            <w:hideMark/>
          </w:tcPr>
          <w:p w14:paraId="51B2C14C"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110</w:t>
            </w:r>
          </w:p>
        </w:tc>
        <w:tc>
          <w:tcPr>
            <w:tcW w:w="798" w:type="pct"/>
            <w:hideMark/>
          </w:tcPr>
          <w:p w14:paraId="51AE5D98"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55.0%</w:t>
            </w:r>
          </w:p>
        </w:tc>
      </w:tr>
      <w:tr w:rsidR="00704F34" w:rsidRPr="00077581" w14:paraId="25F04C43" w14:textId="77777777" w:rsidTr="00704F34">
        <w:tc>
          <w:tcPr>
            <w:tcW w:w="2064" w:type="pct"/>
            <w:vMerge/>
            <w:hideMark/>
          </w:tcPr>
          <w:p w14:paraId="02DAD794" w14:textId="77777777" w:rsidR="00704F34" w:rsidRPr="005A6C70" w:rsidRDefault="00704F34" w:rsidP="00EF0802">
            <w:pPr>
              <w:spacing w:line="360" w:lineRule="auto"/>
              <w:rPr>
                <w:rFonts w:ascii="Times New Roman" w:hAnsi="Times New Roman" w:cs="Times New Roman"/>
              </w:rPr>
            </w:pPr>
          </w:p>
        </w:tc>
        <w:tc>
          <w:tcPr>
            <w:tcW w:w="1363" w:type="pct"/>
            <w:hideMark/>
          </w:tcPr>
          <w:p w14:paraId="208D005D"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Multigravida</w:t>
            </w:r>
          </w:p>
        </w:tc>
        <w:tc>
          <w:tcPr>
            <w:tcW w:w="775" w:type="pct"/>
            <w:hideMark/>
          </w:tcPr>
          <w:p w14:paraId="5C53C115"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90</w:t>
            </w:r>
          </w:p>
        </w:tc>
        <w:tc>
          <w:tcPr>
            <w:tcW w:w="798" w:type="pct"/>
            <w:hideMark/>
          </w:tcPr>
          <w:p w14:paraId="1423368C"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45.0%</w:t>
            </w:r>
          </w:p>
        </w:tc>
      </w:tr>
      <w:tr w:rsidR="00704F34" w:rsidRPr="00077581" w14:paraId="64EF85B7" w14:textId="77777777" w:rsidTr="00704F34">
        <w:tc>
          <w:tcPr>
            <w:tcW w:w="2064" w:type="pct"/>
            <w:vMerge w:val="restart"/>
            <w:hideMark/>
          </w:tcPr>
          <w:p w14:paraId="0EAA710C" w14:textId="77777777" w:rsidR="00704F34" w:rsidRPr="005A6C70" w:rsidRDefault="00704F34" w:rsidP="00EF0802">
            <w:pPr>
              <w:spacing w:line="360" w:lineRule="auto"/>
              <w:rPr>
                <w:rFonts w:ascii="Times New Roman" w:hAnsi="Times New Roman" w:cs="Times New Roman"/>
                <w:b/>
                <w:bCs/>
              </w:rPr>
            </w:pPr>
            <w:r w:rsidRPr="005A6C70">
              <w:rPr>
                <w:rStyle w:val="Strong"/>
                <w:rFonts w:ascii="Times New Roman" w:hAnsi="Times New Roman" w:cs="Times New Roman"/>
                <w:b w:val="0"/>
                <w:bCs w:val="0"/>
              </w:rPr>
              <w:t>Family History of Thyroid</w:t>
            </w:r>
          </w:p>
        </w:tc>
        <w:tc>
          <w:tcPr>
            <w:tcW w:w="1363" w:type="pct"/>
            <w:hideMark/>
          </w:tcPr>
          <w:p w14:paraId="3BBF9082"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Yes</w:t>
            </w:r>
          </w:p>
        </w:tc>
        <w:tc>
          <w:tcPr>
            <w:tcW w:w="775" w:type="pct"/>
            <w:hideMark/>
          </w:tcPr>
          <w:p w14:paraId="3F179914"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62</w:t>
            </w:r>
          </w:p>
        </w:tc>
        <w:tc>
          <w:tcPr>
            <w:tcW w:w="798" w:type="pct"/>
            <w:hideMark/>
          </w:tcPr>
          <w:p w14:paraId="0758638B"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31.0%</w:t>
            </w:r>
          </w:p>
        </w:tc>
      </w:tr>
      <w:tr w:rsidR="00704F34" w:rsidRPr="00077581" w14:paraId="2A84E31B" w14:textId="77777777" w:rsidTr="00704F34">
        <w:tc>
          <w:tcPr>
            <w:tcW w:w="2064" w:type="pct"/>
            <w:vMerge/>
            <w:hideMark/>
          </w:tcPr>
          <w:p w14:paraId="53E99C7D" w14:textId="77777777" w:rsidR="00704F34" w:rsidRPr="005A6C70" w:rsidRDefault="00704F34" w:rsidP="00EF0802">
            <w:pPr>
              <w:spacing w:line="360" w:lineRule="auto"/>
              <w:rPr>
                <w:rFonts w:ascii="Times New Roman" w:hAnsi="Times New Roman" w:cs="Times New Roman"/>
              </w:rPr>
            </w:pPr>
          </w:p>
        </w:tc>
        <w:tc>
          <w:tcPr>
            <w:tcW w:w="1363" w:type="pct"/>
            <w:hideMark/>
          </w:tcPr>
          <w:p w14:paraId="44254D8A"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No</w:t>
            </w:r>
          </w:p>
        </w:tc>
        <w:tc>
          <w:tcPr>
            <w:tcW w:w="775" w:type="pct"/>
            <w:hideMark/>
          </w:tcPr>
          <w:p w14:paraId="661C70B6"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138</w:t>
            </w:r>
          </w:p>
        </w:tc>
        <w:tc>
          <w:tcPr>
            <w:tcW w:w="798" w:type="pct"/>
            <w:hideMark/>
          </w:tcPr>
          <w:p w14:paraId="6C1CDE31"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69.0%</w:t>
            </w:r>
          </w:p>
        </w:tc>
      </w:tr>
      <w:tr w:rsidR="00704F34" w:rsidRPr="00077581" w14:paraId="434A0485" w14:textId="77777777" w:rsidTr="00704F34">
        <w:tc>
          <w:tcPr>
            <w:tcW w:w="2064" w:type="pct"/>
            <w:vMerge w:val="restart"/>
            <w:hideMark/>
          </w:tcPr>
          <w:p w14:paraId="47094C77" w14:textId="77777777" w:rsidR="00704F34" w:rsidRPr="005A6C70" w:rsidRDefault="00704F34" w:rsidP="00EF0802">
            <w:pPr>
              <w:spacing w:line="360" w:lineRule="auto"/>
              <w:rPr>
                <w:rFonts w:ascii="Times New Roman" w:hAnsi="Times New Roman" w:cs="Times New Roman"/>
                <w:b/>
                <w:bCs/>
              </w:rPr>
            </w:pPr>
            <w:r w:rsidRPr="005A6C70">
              <w:rPr>
                <w:rStyle w:val="Strong"/>
                <w:rFonts w:ascii="Times New Roman" w:hAnsi="Times New Roman" w:cs="Times New Roman"/>
                <w:b w:val="0"/>
                <w:bCs w:val="0"/>
              </w:rPr>
              <w:t>Family History of Hypertension</w:t>
            </w:r>
          </w:p>
        </w:tc>
        <w:tc>
          <w:tcPr>
            <w:tcW w:w="1363" w:type="pct"/>
            <w:hideMark/>
          </w:tcPr>
          <w:p w14:paraId="4AC739E9"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Yes</w:t>
            </w:r>
          </w:p>
        </w:tc>
        <w:tc>
          <w:tcPr>
            <w:tcW w:w="775" w:type="pct"/>
            <w:hideMark/>
          </w:tcPr>
          <w:p w14:paraId="580580D3"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81</w:t>
            </w:r>
          </w:p>
        </w:tc>
        <w:tc>
          <w:tcPr>
            <w:tcW w:w="798" w:type="pct"/>
            <w:hideMark/>
          </w:tcPr>
          <w:p w14:paraId="662C0F0B"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40.5%</w:t>
            </w:r>
          </w:p>
        </w:tc>
      </w:tr>
      <w:tr w:rsidR="00704F34" w:rsidRPr="00077581" w14:paraId="18E09B0B" w14:textId="77777777" w:rsidTr="00704F34">
        <w:tc>
          <w:tcPr>
            <w:tcW w:w="2064" w:type="pct"/>
            <w:vMerge/>
            <w:hideMark/>
          </w:tcPr>
          <w:p w14:paraId="099C2EE6" w14:textId="77777777" w:rsidR="00704F34" w:rsidRPr="00077581" w:rsidRDefault="00704F34" w:rsidP="00EF0802">
            <w:pPr>
              <w:spacing w:line="360" w:lineRule="auto"/>
              <w:rPr>
                <w:rFonts w:ascii="Times New Roman" w:hAnsi="Times New Roman" w:cs="Times New Roman"/>
              </w:rPr>
            </w:pPr>
          </w:p>
        </w:tc>
        <w:tc>
          <w:tcPr>
            <w:tcW w:w="1363" w:type="pct"/>
            <w:hideMark/>
          </w:tcPr>
          <w:p w14:paraId="47BFD318"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No</w:t>
            </w:r>
          </w:p>
        </w:tc>
        <w:tc>
          <w:tcPr>
            <w:tcW w:w="775" w:type="pct"/>
            <w:hideMark/>
          </w:tcPr>
          <w:p w14:paraId="251219A2"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119</w:t>
            </w:r>
          </w:p>
        </w:tc>
        <w:tc>
          <w:tcPr>
            <w:tcW w:w="798" w:type="pct"/>
            <w:hideMark/>
          </w:tcPr>
          <w:p w14:paraId="426E347E" w14:textId="77777777" w:rsidR="00704F34" w:rsidRPr="00077581" w:rsidRDefault="00704F34" w:rsidP="00EF0802">
            <w:pPr>
              <w:spacing w:line="360" w:lineRule="auto"/>
              <w:rPr>
                <w:rFonts w:ascii="Times New Roman" w:hAnsi="Times New Roman" w:cs="Times New Roman"/>
              </w:rPr>
            </w:pPr>
            <w:r w:rsidRPr="00077581">
              <w:rPr>
                <w:rFonts w:ascii="Times New Roman" w:hAnsi="Times New Roman" w:cs="Times New Roman"/>
              </w:rPr>
              <w:t>59.5%</w:t>
            </w:r>
          </w:p>
        </w:tc>
      </w:tr>
    </w:tbl>
    <w:p w14:paraId="7BA8C398" w14:textId="77777777" w:rsidR="00D81433" w:rsidRDefault="00D81433" w:rsidP="00EF0802">
      <w:pPr>
        <w:spacing w:line="360" w:lineRule="auto"/>
        <w:rPr>
          <w:rFonts w:ascii="Times New Roman" w:hAnsi="Times New Roman" w:cs="Times New Roman"/>
        </w:rPr>
      </w:pPr>
    </w:p>
    <w:p w14:paraId="7413E12D" w14:textId="39B2836B" w:rsidR="002E653E" w:rsidRPr="00477547" w:rsidRDefault="002E653E" w:rsidP="00EF0802">
      <w:pPr>
        <w:spacing w:line="360" w:lineRule="auto"/>
        <w:jc w:val="center"/>
        <w:rPr>
          <w:rFonts w:ascii="Times New Roman" w:hAnsi="Times New Roman" w:cs="Times New Roman"/>
          <w:b/>
          <w:bCs/>
        </w:rPr>
      </w:pPr>
      <w:r w:rsidRPr="00477547">
        <w:rPr>
          <w:b/>
          <w:bCs/>
          <w:noProof/>
        </w:rPr>
        <w:drawing>
          <wp:inline distT="0" distB="0" distL="0" distR="0" wp14:anchorId="2E3F6FE2" wp14:editId="22561D1C">
            <wp:extent cx="4572000" cy="2743200"/>
            <wp:effectExtent l="0" t="0" r="0" b="0"/>
            <wp:docPr id="1491524645" name="Chart 1">
              <a:extLst xmlns:a="http://schemas.openxmlformats.org/drawingml/2006/main">
                <a:ext uri="{FF2B5EF4-FFF2-40B4-BE49-F238E27FC236}">
                  <a16:creationId xmlns:a16="http://schemas.microsoft.com/office/drawing/2014/main" id="{FE8E89EF-5D5C-254E-5461-2831E918B8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9C1092B" w14:textId="10C6528F" w:rsidR="00477547" w:rsidRPr="00477547" w:rsidRDefault="00477547" w:rsidP="00EF0802">
      <w:pPr>
        <w:spacing w:line="360" w:lineRule="auto"/>
        <w:jc w:val="center"/>
        <w:rPr>
          <w:rFonts w:ascii="Times New Roman" w:hAnsi="Times New Roman" w:cs="Times New Roman"/>
          <w:b/>
          <w:bCs/>
        </w:rPr>
      </w:pPr>
      <w:r w:rsidRPr="00477547">
        <w:rPr>
          <w:rFonts w:ascii="Times New Roman" w:hAnsi="Times New Roman" w:cs="Times New Roman"/>
          <w:b/>
          <w:bCs/>
        </w:rPr>
        <w:lastRenderedPageBreak/>
        <w:t>Figure 4.1 Age (in Years)</w:t>
      </w:r>
      <w:r>
        <w:rPr>
          <w:rFonts w:ascii="Times New Roman" w:hAnsi="Times New Roman" w:cs="Times New Roman"/>
          <w:b/>
          <w:bCs/>
        </w:rPr>
        <w:t xml:space="preserve"> Distribution of Respondents </w:t>
      </w:r>
    </w:p>
    <w:p w14:paraId="32D93D8F" w14:textId="18E4D9E9" w:rsidR="002E653E" w:rsidRDefault="002E653E" w:rsidP="00EF0802">
      <w:pPr>
        <w:spacing w:line="360" w:lineRule="auto"/>
        <w:jc w:val="center"/>
        <w:rPr>
          <w:rFonts w:ascii="Times New Roman" w:hAnsi="Times New Roman" w:cs="Times New Roman"/>
        </w:rPr>
      </w:pPr>
      <w:r>
        <w:rPr>
          <w:noProof/>
        </w:rPr>
        <w:drawing>
          <wp:inline distT="0" distB="0" distL="0" distR="0" wp14:anchorId="1E886EDA" wp14:editId="7311654D">
            <wp:extent cx="4572000" cy="2743200"/>
            <wp:effectExtent l="0" t="0" r="0" b="0"/>
            <wp:docPr id="2099921170" name="Chart 1">
              <a:extLst xmlns:a="http://schemas.openxmlformats.org/drawingml/2006/main">
                <a:ext uri="{FF2B5EF4-FFF2-40B4-BE49-F238E27FC236}">
                  <a16:creationId xmlns:a16="http://schemas.microsoft.com/office/drawing/2014/main" id="{7B9C2EBC-77BC-FEC4-AF04-0AC5064136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C06C4D0" w14:textId="1482A365" w:rsidR="00477547" w:rsidRPr="00477547" w:rsidRDefault="00477547" w:rsidP="00EF0802">
      <w:pPr>
        <w:spacing w:line="360" w:lineRule="auto"/>
        <w:jc w:val="center"/>
        <w:rPr>
          <w:rFonts w:ascii="Times New Roman" w:hAnsi="Times New Roman" w:cs="Times New Roman"/>
          <w:b/>
          <w:bCs/>
        </w:rPr>
      </w:pPr>
      <w:r w:rsidRPr="00477547">
        <w:rPr>
          <w:rFonts w:ascii="Times New Roman" w:hAnsi="Times New Roman" w:cs="Times New Roman"/>
          <w:b/>
          <w:bCs/>
        </w:rPr>
        <w:t>Figure 4.</w:t>
      </w:r>
      <w:r>
        <w:rPr>
          <w:rFonts w:ascii="Times New Roman" w:hAnsi="Times New Roman" w:cs="Times New Roman"/>
          <w:b/>
          <w:bCs/>
        </w:rPr>
        <w:t>2</w:t>
      </w:r>
      <w:r w:rsidRPr="00477547">
        <w:rPr>
          <w:rFonts w:ascii="Times New Roman" w:hAnsi="Times New Roman" w:cs="Times New Roman"/>
          <w:b/>
          <w:bCs/>
        </w:rPr>
        <w:t xml:space="preserve"> </w:t>
      </w:r>
      <w:r>
        <w:rPr>
          <w:rFonts w:ascii="Times New Roman" w:hAnsi="Times New Roman" w:cs="Times New Roman"/>
          <w:b/>
          <w:bCs/>
        </w:rPr>
        <w:t xml:space="preserve">Gestational </w:t>
      </w:r>
      <w:r w:rsidRPr="00477547">
        <w:rPr>
          <w:rFonts w:ascii="Times New Roman" w:hAnsi="Times New Roman" w:cs="Times New Roman"/>
          <w:b/>
          <w:bCs/>
        </w:rPr>
        <w:t>Age</w:t>
      </w:r>
      <w:r>
        <w:rPr>
          <w:rFonts w:ascii="Times New Roman" w:hAnsi="Times New Roman" w:cs="Times New Roman"/>
          <w:b/>
          <w:bCs/>
        </w:rPr>
        <w:t xml:space="preserve"> Distribution of Respondents </w:t>
      </w:r>
    </w:p>
    <w:p w14:paraId="7EE4D26D" w14:textId="26875C38" w:rsidR="002E653E" w:rsidRDefault="002E653E" w:rsidP="00EF0802">
      <w:pPr>
        <w:spacing w:line="360" w:lineRule="auto"/>
        <w:jc w:val="center"/>
        <w:rPr>
          <w:rFonts w:ascii="Times New Roman" w:hAnsi="Times New Roman" w:cs="Times New Roman"/>
        </w:rPr>
      </w:pPr>
      <w:r>
        <w:rPr>
          <w:noProof/>
        </w:rPr>
        <w:drawing>
          <wp:inline distT="0" distB="0" distL="0" distR="0" wp14:anchorId="31E9A59D" wp14:editId="6B8346A2">
            <wp:extent cx="4572000" cy="2743200"/>
            <wp:effectExtent l="0" t="0" r="0" b="0"/>
            <wp:docPr id="77292208" name="Chart 1">
              <a:extLst xmlns:a="http://schemas.openxmlformats.org/drawingml/2006/main">
                <a:ext uri="{FF2B5EF4-FFF2-40B4-BE49-F238E27FC236}">
                  <a16:creationId xmlns:a16="http://schemas.microsoft.com/office/drawing/2014/main" id="{AE6713FD-E0BB-0F82-E977-5F686C9BEF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B7C97C" w14:textId="6BD2A8A5" w:rsidR="00477547" w:rsidRPr="00477547" w:rsidRDefault="00477547" w:rsidP="00EF0802">
      <w:pPr>
        <w:spacing w:line="360" w:lineRule="auto"/>
        <w:jc w:val="center"/>
        <w:rPr>
          <w:rFonts w:ascii="Times New Roman" w:hAnsi="Times New Roman" w:cs="Times New Roman"/>
          <w:b/>
          <w:bCs/>
        </w:rPr>
      </w:pPr>
      <w:r w:rsidRPr="00477547">
        <w:rPr>
          <w:rFonts w:ascii="Times New Roman" w:hAnsi="Times New Roman" w:cs="Times New Roman"/>
          <w:b/>
          <w:bCs/>
        </w:rPr>
        <w:t>Figure 4.</w:t>
      </w:r>
      <w:r>
        <w:rPr>
          <w:rFonts w:ascii="Times New Roman" w:hAnsi="Times New Roman" w:cs="Times New Roman"/>
          <w:b/>
          <w:bCs/>
        </w:rPr>
        <w:t>3</w:t>
      </w:r>
      <w:r w:rsidRPr="00477547">
        <w:rPr>
          <w:rFonts w:ascii="Times New Roman" w:hAnsi="Times New Roman" w:cs="Times New Roman"/>
          <w:b/>
          <w:bCs/>
        </w:rPr>
        <w:t xml:space="preserve"> </w:t>
      </w:r>
      <w:r>
        <w:rPr>
          <w:rFonts w:ascii="Times New Roman" w:hAnsi="Times New Roman" w:cs="Times New Roman"/>
          <w:b/>
          <w:bCs/>
        </w:rPr>
        <w:t xml:space="preserve">Education Level Distribution of Respondents </w:t>
      </w:r>
    </w:p>
    <w:p w14:paraId="56DB2022" w14:textId="7A9972DD" w:rsidR="002E653E" w:rsidRDefault="002E653E" w:rsidP="00EF0802">
      <w:pPr>
        <w:spacing w:line="360" w:lineRule="auto"/>
        <w:jc w:val="center"/>
        <w:rPr>
          <w:rFonts w:ascii="Times New Roman" w:hAnsi="Times New Roman" w:cs="Times New Roman"/>
        </w:rPr>
      </w:pPr>
      <w:r>
        <w:rPr>
          <w:noProof/>
        </w:rPr>
        <w:lastRenderedPageBreak/>
        <w:drawing>
          <wp:inline distT="0" distB="0" distL="0" distR="0" wp14:anchorId="6BD87049" wp14:editId="69587EDA">
            <wp:extent cx="4572000" cy="2743200"/>
            <wp:effectExtent l="0" t="0" r="0" b="0"/>
            <wp:docPr id="1784414951" name="Chart 1">
              <a:extLst xmlns:a="http://schemas.openxmlformats.org/drawingml/2006/main">
                <a:ext uri="{FF2B5EF4-FFF2-40B4-BE49-F238E27FC236}">
                  <a16:creationId xmlns:a16="http://schemas.microsoft.com/office/drawing/2014/main" id="{BF78C096-F680-D8FD-0129-A5411AD32D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9CBC01" w14:textId="1D110E64" w:rsidR="00477547" w:rsidRPr="00477547" w:rsidRDefault="00477547" w:rsidP="00EF0802">
      <w:pPr>
        <w:spacing w:line="360" w:lineRule="auto"/>
        <w:jc w:val="center"/>
        <w:rPr>
          <w:rFonts w:ascii="Times New Roman" w:hAnsi="Times New Roman" w:cs="Times New Roman"/>
          <w:b/>
          <w:bCs/>
        </w:rPr>
      </w:pPr>
      <w:r w:rsidRPr="00477547">
        <w:rPr>
          <w:rFonts w:ascii="Times New Roman" w:hAnsi="Times New Roman" w:cs="Times New Roman"/>
          <w:b/>
          <w:bCs/>
        </w:rPr>
        <w:t>Figure 4.</w:t>
      </w:r>
      <w:r>
        <w:rPr>
          <w:rFonts w:ascii="Times New Roman" w:hAnsi="Times New Roman" w:cs="Times New Roman"/>
          <w:b/>
          <w:bCs/>
        </w:rPr>
        <w:t>4</w:t>
      </w:r>
      <w:r w:rsidRPr="00477547">
        <w:rPr>
          <w:rFonts w:ascii="Times New Roman" w:hAnsi="Times New Roman" w:cs="Times New Roman"/>
          <w:b/>
          <w:bCs/>
        </w:rPr>
        <w:t xml:space="preserve"> </w:t>
      </w:r>
      <w:r>
        <w:rPr>
          <w:rFonts w:ascii="Times New Roman" w:hAnsi="Times New Roman" w:cs="Times New Roman"/>
          <w:b/>
          <w:bCs/>
        </w:rPr>
        <w:t xml:space="preserve">Occupation Distribution of Respondents </w:t>
      </w:r>
    </w:p>
    <w:p w14:paraId="60162F2F" w14:textId="77777777" w:rsidR="002E653E" w:rsidRDefault="002E653E" w:rsidP="00EF0802">
      <w:pPr>
        <w:spacing w:line="360" w:lineRule="auto"/>
        <w:jc w:val="center"/>
        <w:rPr>
          <w:rFonts w:ascii="Times New Roman" w:hAnsi="Times New Roman" w:cs="Times New Roman"/>
        </w:rPr>
      </w:pPr>
    </w:p>
    <w:p w14:paraId="4D870252" w14:textId="27D8ADA2" w:rsidR="002E653E" w:rsidRDefault="002E653E" w:rsidP="00EF0802">
      <w:pPr>
        <w:spacing w:line="360" w:lineRule="auto"/>
        <w:jc w:val="center"/>
        <w:rPr>
          <w:rFonts w:ascii="Times New Roman" w:hAnsi="Times New Roman" w:cs="Times New Roman"/>
        </w:rPr>
      </w:pPr>
      <w:r>
        <w:rPr>
          <w:noProof/>
        </w:rPr>
        <w:drawing>
          <wp:inline distT="0" distB="0" distL="0" distR="0" wp14:anchorId="3E89F2CC" wp14:editId="4D34645F">
            <wp:extent cx="4572000" cy="2743200"/>
            <wp:effectExtent l="0" t="0" r="0" b="0"/>
            <wp:docPr id="12888220" name="Chart 1">
              <a:extLst xmlns:a="http://schemas.openxmlformats.org/drawingml/2006/main">
                <a:ext uri="{FF2B5EF4-FFF2-40B4-BE49-F238E27FC236}">
                  <a16:creationId xmlns:a16="http://schemas.microsoft.com/office/drawing/2014/main" id="{58495AA4-398A-C520-1ED2-2F8AAF1F94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BE6141" w14:textId="663AF376" w:rsidR="00477547" w:rsidRPr="00477547" w:rsidRDefault="00477547" w:rsidP="00EF0802">
      <w:pPr>
        <w:spacing w:line="360" w:lineRule="auto"/>
        <w:jc w:val="center"/>
        <w:rPr>
          <w:rFonts w:ascii="Times New Roman" w:hAnsi="Times New Roman" w:cs="Times New Roman"/>
          <w:b/>
          <w:bCs/>
        </w:rPr>
      </w:pPr>
      <w:r w:rsidRPr="00477547">
        <w:rPr>
          <w:rFonts w:ascii="Times New Roman" w:hAnsi="Times New Roman" w:cs="Times New Roman"/>
          <w:b/>
          <w:bCs/>
        </w:rPr>
        <w:t>Figure 4.</w:t>
      </w:r>
      <w:r>
        <w:rPr>
          <w:rFonts w:ascii="Times New Roman" w:hAnsi="Times New Roman" w:cs="Times New Roman"/>
          <w:b/>
          <w:bCs/>
        </w:rPr>
        <w:t xml:space="preserve">5 Monthly Family Income Distribution of Respondents </w:t>
      </w:r>
    </w:p>
    <w:p w14:paraId="135B45D9" w14:textId="4B07B053" w:rsidR="002E653E" w:rsidRDefault="002E653E" w:rsidP="00EF0802">
      <w:pPr>
        <w:spacing w:line="360" w:lineRule="auto"/>
        <w:jc w:val="center"/>
        <w:rPr>
          <w:rFonts w:ascii="Times New Roman" w:hAnsi="Times New Roman" w:cs="Times New Roman"/>
        </w:rPr>
      </w:pPr>
      <w:r>
        <w:rPr>
          <w:noProof/>
        </w:rPr>
        <w:lastRenderedPageBreak/>
        <w:drawing>
          <wp:inline distT="0" distB="0" distL="0" distR="0" wp14:anchorId="01044622" wp14:editId="1C0341FF">
            <wp:extent cx="4572000" cy="2743200"/>
            <wp:effectExtent l="0" t="0" r="0" b="0"/>
            <wp:docPr id="1505237974" name="Chart 1">
              <a:extLst xmlns:a="http://schemas.openxmlformats.org/drawingml/2006/main">
                <a:ext uri="{FF2B5EF4-FFF2-40B4-BE49-F238E27FC236}">
                  <a16:creationId xmlns:a16="http://schemas.microsoft.com/office/drawing/2014/main" id="{4209BC83-4C6B-BD0A-A929-3C51359A5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242A6E4" w14:textId="00F20CAF" w:rsidR="00477547" w:rsidRPr="00477547" w:rsidRDefault="00477547" w:rsidP="00EF0802">
      <w:pPr>
        <w:spacing w:line="360" w:lineRule="auto"/>
        <w:jc w:val="center"/>
        <w:rPr>
          <w:rFonts w:ascii="Times New Roman" w:hAnsi="Times New Roman" w:cs="Times New Roman"/>
          <w:b/>
          <w:bCs/>
        </w:rPr>
      </w:pPr>
      <w:r w:rsidRPr="00477547">
        <w:rPr>
          <w:rFonts w:ascii="Times New Roman" w:hAnsi="Times New Roman" w:cs="Times New Roman"/>
          <w:b/>
          <w:bCs/>
        </w:rPr>
        <w:t>Figure 4.</w:t>
      </w:r>
      <w:r>
        <w:rPr>
          <w:rFonts w:ascii="Times New Roman" w:hAnsi="Times New Roman" w:cs="Times New Roman"/>
          <w:b/>
          <w:bCs/>
        </w:rPr>
        <w:t xml:space="preserve">6 Residence Distribution of Respondents </w:t>
      </w:r>
    </w:p>
    <w:p w14:paraId="7A87F6D7" w14:textId="6C2CD3A4" w:rsidR="002E653E" w:rsidRDefault="002E653E" w:rsidP="00EF0802">
      <w:pPr>
        <w:spacing w:line="360" w:lineRule="auto"/>
        <w:jc w:val="center"/>
        <w:rPr>
          <w:rFonts w:ascii="Times New Roman" w:hAnsi="Times New Roman" w:cs="Times New Roman"/>
        </w:rPr>
      </w:pPr>
      <w:r>
        <w:rPr>
          <w:noProof/>
        </w:rPr>
        <w:drawing>
          <wp:inline distT="0" distB="0" distL="0" distR="0" wp14:anchorId="0EC037F0" wp14:editId="7F2EA150">
            <wp:extent cx="4572000" cy="2743200"/>
            <wp:effectExtent l="0" t="0" r="0" b="0"/>
            <wp:docPr id="1469157449" name="Chart 1">
              <a:extLst xmlns:a="http://schemas.openxmlformats.org/drawingml/2006/main">
                <a:ext uri="{FF2B5EF4-FFF2-40B4-BE49-F238E27FC236}">
                  <a16:creationId xmlns:a16="http://schemas.microsoft.com/office/drawing/2014/main" id="{9F292B4B-E90D-F5DE-86B3-2078B59F8B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BB19E3" w14:textId="25340A4A" w:rsidR="00477547" w:rsidRPr="00477547" w:rsidRDefault="00477547" w:rsidP="00EF0802">
      <w:pPr>
        <w:spacing w:line="360" w:lineRule="auto"/>
        <w:jc w:val="center"/>
        <w:rPr>
          <w:rFonts w:ascii="Times New Roman" w:hAnsi="Times New Roman" w:cs="Times New Roman"/>
          <w:b/>
          <w:bCs/>
        </w:rPr>
      </w:pPr>
      <w:r w:rsidRPr="00477547">
        <w:rPr>
          <w:rFonts w:ascii="Times New Roman" w:hAnsi="Times New Roman" w:cs="Times New Roman"/>
          <w:b/>
          <w:bCs/>
        </w:rPr>
        <w:t>Figure 4.</w:t>
      </w:r>
      <w:r>
        <w:rPr>
          <w:rFonts w:ascii="Times New Roman" w:hAnsi="Times New Roman" w:cs="Times New Roman"/>
          <w:b/>
          <w:bCs/>
        </w:rPr>
        <w:t xml:space="preserve">7 Family Type Distribution of Respondents </w:t>
      </w:r>
    </w:p>
    <w:p w14:paraId="138F7601" w14:textId="4DFA4E09" w:rsidR="002E653E" w:rsidRDefault="002E653E" w:rsidP="00EF0802">
      <w:pPr>
        <w:spacing w:line="360" w:lineRule="auto"/>
        <w:jc w:val="center"/>
        <w:rPr>
          <w:rFonts w:ascii="Times New Roman" w:hAnsi="Times New Roman" w:cs="Times New Roman"/>
        </w:rPr>
      </w:pPr>
      <w:r>
        <w:rPr>
          <w:noProof/>
        </w:rPr>
        <w:lastRenderedPageBreak/>
        <w:drawing>
          <wp:inline distT="0" distB="0" distL="0" distR="0" wp14:anchorId="1690819E" wp14:editId="40C955C7">
            <wp:extent cx="4572000" cy="2743200"/>
            <wp:effectExtent l="0" t="0" r="0" b="0"/>
            <wp:docPr id="1811964207" name="Chart 1">
              <a:extLst xmlns:a="http://schemas.openxmlformats.org/drawingml/2006/main">
                <a:ext uri="{FF2B5EF4-FFF2-40B4-BE49-F238E27FC236}">
                  <a16:creationId xmlns:a16="http://schemas.microsoft.com/office/drawing/2014/main" id="{B78A4EA0-08B5-E6C0-31B4-5AAF0F997C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59DD39A" w14:textId="1781F757" w:rsidR="00477547" w:rsidRPr="00477547" w:rsidRDefault="00477547" w:rsidP="00EF0802">
      <w:pPr>
        <w:spacing w:line="360" w:lineRule="auto"/>
        <w:jc w:val="center"/>
        <w:rPr>
          <w:rFonts w:ascii="Times New Roman" w:hAnsi="Times New Roman" w:cs="Times New Roman"/>
          <w:b/>
          <w:bCs/>
        </w:rPr>
      </w:pPr>
      <w:r w:rsidRPr="00477547">
        <w:rPr>
          <w:rFonts w:ascii="Times New Roman" w:hAnsi="Times New Roman" w:cs="Times New Roman"/>
          <w:b/>
          <w:bCs/>
        </w:rPr>
        <w:t>Figure 4.</w:t>
      </w:r>
      <w:r>
        <w:rPr>
          <w:rFonts w:ascii="Times New Roman" w:hAnsi="Times New Roman" w:cs="Times New Roman"/>
          <w:b/>
          <w:bCs/>
        </w:rPr>
        <w:t xml:space="preserve">8 Parity Distribution of Respondents </w:t>
      </w:r>
    </w:p>
    <w:p w14:paraId="16A08E60" w14:textId="77777777" w:rsidR="00477547" w:rsidRDefault="002E653E" w:rsidP="00EF0802">
      <w:pPr>
        <w:spacing w:line="360" w:lineRule="auto"/>
        <w:jc w:val="center"/>
        <w:rPr>
          <w:rFonts w:ascii="Times New Roman" w:hAnsi="Times New Roman" w:cs="Times New Roman"/>
        </w:rPr>
      </w:pPr>
      <w:r>
        <w:rPr>
          <w:noProof/>
        </w:rPr>
        <w:drawing>
          <wp:inline distT="0" distB="0" distL="0" distR="0" wp14:anchorId="5F83C3EA" wp14:editId="5CFFD8C6">
            <wp:extent cx="4572000" cy="2743200"/>
            <wp:effectExtent l="0" t="0" r="0" b="0"/>
            <wp:docPr id="1277328538" name="Chart 1">
              <a:extLst xmlns:a="http://schemas.openxmlformats.org/drawingml/2006/main">
                <a:ext uri="{FF2B5EF4-FFF2-40B4-BE49-F238E27FC236}">
                  <a16:creationId xmlns:a16="http://schemas.microsoft.com/office/drawing/2014/main" id="{AD3E679F-2531-8B78-1D95-55E110E5D9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4446681" w14:textId="7708AD5C" w:rsidR="00477547" w:rsidRPr="00477547" w:rsidRDefault="00477547" w:rsidP="00EF0802">
      <w:pPr>
        <w:spacing w:line="360" w:lineRule="auto"/>
        <w:jc w:val="center"/>
        <w:rPr>
          <w:rFonts w:ascii="Times New Roman" w:hAnsi="Times New Roman" w:cs="Times New Roman"/>
          <w:b/>
          <w:bCs/>
        </w:rPr>
      </w:pPr>
      <w:r w:rsidRPr="00477547">
        <w:rPr>
          <w:rFonts w:ascii="Times New Roman" w:hAnsi="Times New Roman" w:cs="Times New Roman"/>
          <w:b/>
          <w:bCs/>
        </w:rPr>
        <w:t>Figure 4.</w:t>
      </w:r>
      <w:r>
        <w:rPr>
          <w:rFonts w:ascii="Times New Roman" w:hAnsi="Times New Roman" w:cs="Times New Roman"/>
          <w:b/>
          <w:bCs/>
        </w:rPr>
        <w:t xml:space="preserve">9 Family History of Thyroid Distribution of Respondents </w:t>
      </w:r>
    </w:p>
    <w:p w14:paraId="103E8C9D" w14:textId="4029975D" w:rsidR="002E653E" w:rsidRPr="00477547" w:rsidRDefault="002E653E" w:rsidP="00EF0802">
      <w:pPr>
        <w:spacing w:line="360" w:lineRule="auto"/>
        <w:jc w:val="center"/>
        <w:rPr>
          <w:rFonts w:ascii="Times New Roman" w:hAnsi="Times New Roman" w:cs="Times New Roman"/>
          <w:b/>
          <w:bCs/>
        </w:rPr>
      </w:pPr>
      <w:r w:rsidRPr="00477547">
        <w:rPr>
          <w:b/>
          <w:bCs/>
          <w:noProof/>
        </w:rPr>
        <w:lastRenderedPageBreak/>
        <w:drawing>
          <wp:inline distT="0" distB="0" distL="0" distR="0" wp14:anchorId="29C0A4C6" wp14:editId="5E7E1A24">
            <wp:extent cx="4572000" cy="2743200"/>
            <wp:effectExtent l="0" t="0" r="0" b="0"/>
            <wp:docPr id="1609218445" name="Chart 1">
              <a:extLst xmlns:a="http://schemas.openxmlformats.org/drawingml/2006/main">
                <a:ext uri="{FF2B5EF4-FFF2-40B4-BE49-F238E27FC236}">
                  <a16:creationId xmlns:a16="http://schemas.microsoft.com/office/drawing/2014/main" id="{CFD21ED1-D1CD-3A45-CF63-AA1495E535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6C71313" w14:textId="28F6B324" w:rsidR="00477547" w:rsidRPr="00477547" w:rsidRDefault="00477547" w:rsidP="00EF0802">
      <w:pPr>
        <w:spacing w:line="360" w:lineRule="auto"/>
        <w:jc w:val="center"/>
        <w:rPr>
          <w:rFonts w:ascii="Times New Roman" w:hAnsi="Times New Roman" w:cs="Times New Roman"/>
          <w:b/>
          <w:bCs/>
        </w:rPr>
      </w:pPr>
      <w:r w:rsidRPr="00477547">
        <w:rPr>
          <w:rFonts w:ascii="Times New Roman" w:hAnsi="Times New Roman" w:cs="Times New Roman"/>
          <w:b/>
          <w:bCs/>
        </w:rPr>
        <w:t>Figure 4.</w:t>
      </w:r>
      <w:r>
        <w:rPr>
          <w:rFonts w:ascii="Times New Roman" w:hAnsi="Times New Roman" w:cs="Times New Roman"/>
          <w:b/>
          <w:bCs/>
        </w:rPr>
        <w:t>10</w:t>
      </w:r>
      <w:r w:rsidRPr="00477547">
        <w:rPr>
          <w:rFonts w:ascii="Times New Roman" w:hAnsi="Times New Roman" w:cs="Times New Roman"/>
          <w:b/>
          <w:bCs/>
        </w:rPr>
        <w:t xml:space="preserve"> Family History of Hypertension Distribution of Respondents</w:t>
      </w:r>
    </w:p>
    <w:p w14:paraId="43D946D4" w14:textId="77777777" w:rsidR="00477547" w:rsidRDefault="00477547" w:rsidP="00EF0802">
      <w:pPr>
        <w:spacing w:line="360" w:lineRule="auto"/>
        <w:jc w:val="both"/>
        <w:rPr>
          <w:rFonts w:ascii="Times New Roman" w:eastAsia="Times New Roman" w:hAnsi="Times New Roman" w:cs="Times New Roman"/>
          <w:b/>
          <w:bCs/>
          <w:kern w:val="0"/>
          <w:lang w:eastAsia="en-IN"/>
          <w14:ligatures w14:val="none"/>
        </w:rPr>
      </w:pPr>
    </w:p>
    <w:p w14:paraId="35BB775E" w14:textId="06E96BCD"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b/>
          <w:bCs/>
          <w:kern w:val="0"/>
          <w:lang w:eastAsia="en-IN"/>
          <w14:ligatures w14:val="none"/>
        </w:rPr>
        <w:t>4.3 Pre-Test and Post-Test Awareness of Thyroid and Hypertension</w:t>
      </w:r>
    </w:p>
    <w:p w14:paraId="73DF1435"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This section presents a comparative analysis of participants’ awareness levels regarding thyroid dysfunction and hypertension during pregnancy, assessed before and after the lifestyle intervention. The improvement in awareness following the intervention is both statistically and practically significant, indicating the effectiveness of the structured educational sessions.</w:t>
      </w:r>
    </w:p>
    <w:p w14:paraId="501724E5" w14:textId="07284C00" w:rsidR="00D81433" w:rsidRPr="00077581" w:rsidRDefault="00D81433" w:rsidP="00EF0802">
      <w:pPr>
        <w:spacing w:line="360" w:lineRule="auto"/>
        <w:jc w:val="both"/>
        <w:rPr>
          <w:rFonts w:ascii="Times New Roman" w:eastAsia="Times New Roman" w:hAnsi="Times New Roman" w:cs="Times New Roman"/>
          <w:i/>
          <w:iCs/>
          <w:kern w:val="0"/>
          <w:lang w:eastAsia="en-IN"/>
          <w14:ligatures w14:val="none"/>
        </w:rPr>
      </w:pPr>
      <w:r w:rsidRPr="00077581">
        <w:rPr>
          <w:rFonts w:ascii="Times New Roman" w:eastAsia="Times New Roman" w:hAnsi="Times New Roman" w:cs="Times New Roman"/>
          <w:b/>
          <w:bCs/>
          <w:i/>
          <w:iCs/>
          <w:kern w:val="0"/>
          <w:lang w:eastAsia="en-IN"/>
          <w14:ligatures w14:val="none"/>
        </w:rPr>
        <w:t>Pre-Test Findings:</w:t>
      </w:r>
    </w:p>
    <w:p w14:paraId="22EF57E9"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 xml:space="preserve">As shown in Table 4.2, prior to the intervention, only 50% of participants had heard of thyroid disorders in pregnancy (Q10), and just over half (55%) were aware of hypertension during pregnancy (Q12). A mere 40% recognized that untreated thyroid conditions could affect pregnancy outcomes (Q11), while 30% expressed uncertainty. Similarly, awareness about the complications of high blood pressure was limited—only 45% correctly identified the risks (Q13). Half of the respondents (50%) believed that lifestyle changes could help manage thyroid and blood pressure issues (Q14), while 30% were unsure. Furthermore, misconceptions about symptom visibility were evident, with only 40% correctly identifying that thyroid/BP symptoms are not always visible (Q15). Recognition of specific symptoms was moderate to low, and a significant </w:t>
      </w:r>
      <w:r w:rsidRPr="00077581">
        <w:rPr>
          <w:rFonts w:ascii="Times New Roman" w:eastAsia="Times New Roman" w:hAnsi="Times New Roman" w:cs="Times New Roman"/>
          <w:kern w:val="0"/>
          <w:lang w:eastAsia="en-IN"/>
          <w14:ligatures w14:val="none"/>
        </w:rPr>
        <w:lastRenderedPageBreak/>
        <w:t>proportion of respondents selected “don’t know” for both thyroid (37%) and hypertension (35.5%) symptoms.</w:t>
      </w:r>
    </w:p>
    <w:p w14:paraId="530C3CA4" w14:textId="77777777" w:rsidR="00D81433" w:rsidRPr="007E5737" w:rsidRDefault="00D81433" w:rsidP="00EF0802">
      <w:pPr>
        <w:spacing w:line="360" w:lineRule="auto"/>
        <w:jc w:val="both"/>
        <w:rPr>
          <w:rFonts w:ascii="Times New Roman" w:hAnsi="Times New Roman" w:cs="Times New Roman"/>
          <w:b/>
          <w:bCs/>
          <w:color w:val="156082" w:themeColor="accent1"/>
        </w:rPr>
      </w:pPr>
      <w:r w:rsidRPr="007E5737">
        <w:rPr>
          <w:rFonts w:ascii="Times New Roman" w:hAnsi="Times New Roman" w:cs="Times New Roman"/>
          <w:b/>
          <w:bCs/>
          <w:color w:val="156082" w:themeColor="accent1"/>
        </w:rPr>
        <w:t>Table 4.2 Distribution of Participants Based on Pre-Test Awareness</w:t>
      </w:r>
    </w:p>
    <w:tbl>
      <w:tblPr>
        <w:tblStyle w:val="TableGrid"/>
        <w:tblW w:w="0" w:type="auto"/>
        <w:tblLook w:val="04A0" w:firstRow="1" w:lastRow="0" w:firstColumn="1" w:lastColumn="0" w:noHBand="0" w:noVBand="1"/>
      </w:tblPr>
      <w:tblGrid>
        <w:gridCol w:w="3966"/>
        <w:gridCol w:w="1671"/>
        <w:gridCol w:w="1310"/>
        <w:gridCol w:w="1349"/>
      </w:tblGrid>
      <w:tr w:rsidR="00D81433" w:rsidRPr="00077581" w14:paraId="3677E34F" w14:textId="77777777" w:rsidTr="00E55E15">
        <w:tc>
          <w:tcPr>
            <w:tcW w:w="0" w:type="auto"/>
            <w:hideMark/>
          </w:tcPr>
          <w:p w14:paraId="177F45DC" w14:textId="77777777" w:rsidR="00D81433" w:rsidRPr="00077581" w:rsidRDefault="00D81433" w:rsidP="00EF0802">
            <w:pPr>
              <w:spacing w:line="360" w:lineRule="auto"/>
              <w:rPr>
                <w:rFonts w:ascii="Times New Roman" w:eastAsia="Times New Roman" w:hAnsi="Times New Roman" w:cs="Times New Roman"/>
                <w:b/>
                <w:bCs/>
                <w:kern w:val="0"/>
                <w:lang w:eastAsia="en-IN"/>
                <w14:ligatures w14:val="none"/>
              </w:rPr>
            </w:pPr>
            <w:r w:rsidRPr="00077581">
              <w:rPr>
                <w:rFonts w:ascii="Times New Roman" w:eastAsia="Times New Roman" w:hAnsi="Times New Roman" w:cs="Times New Roman"/>
                <w:b/>
                <w:bCs/>
                <w:kern w:val="0"/>
                <w:lang w:eastAsia="en-IN"/>
                <w14:ligatures w14:val="none"/>
              </w:rPr>
              <w:t>Question</w:t>
            </w:r>
          </w:p>
        </w:tc>
        <w:tc>
          <w:tcPr>
            <w:tcW w:w="0" w:type="auto"/>
            <w:hideMark/>
          </w:tcPr>
          <w:p w14:paraId="08A7BA14" w14:textId="77777777" w:rsidR="00D81433" w:rsidRPr="00077581" w:rsidRDefault="00D81433" w:rsidP="00EF0802">
            <w:pPr>
              <w:spacing w:line="360" w:lineRule="auto"/>
              <w:rPr>
                <w:rFonts w:ascii="Times New Roman" w:eastAsia="Times New Roman" w:hAnsi="Times New Roman" w:cs="Times New Roman"/>
                <w:b/>
                <w:bCs/>
                <w:kern w:val="0"/>
                <w:lang w:eastAsia="en-IN"/>
                <w14:ligatures w14:val="none"/>
              </w:rPr>
            </w:pPr>
            <w:r w:rsidRPr="00077581">
              <w:rPr>
                <w:rFonts w:ascii="Times New Roman" w:eastAsia="Times New Roman" w:hAnsi="Times New Roman" w:cs="Times New Roman"/>
                <w:b/>
                <w:bCs/>
                <w:kern w:val="0"/>
                <w:lang w:eastAsia="en-IN"/>
                <w14:ligatures w14:val="none"/>
              </w:rPr>
              <w:t>Response</w:t>
            </w:r>
          </w:p>
        </w:tc>
        <w:tc>
          <w:tcPr>
            <w:tcW w:w="0" w:type="auto"/>
            <w:hideMark/>
          </w:tcPr>
          <w:p w14:paraId="259A4ABD" w14:textId="77777777" w:rsidR="00D81433" w:rsidRPr="00077581" w:rsidRDefault="00D81433" w:rsidP="00EF0802">
            <w:pPr>
              <w:spacing w:line="360" w:lineRule="auto"/>
              <w:rPr>
                <w:rFonts w:ascii="Times New Roman" w:eastAsia="Times New Roman" w:hAnsi="Times New Roman" w:cs="Times New Roman"/>
                <w:b/>
                <w:bCs/>
                <w:kern w:val="0"/>
                <w:lang w:eastAsia="en-IN"/>
                <w14:ligatures w14:val="none"/>
              </w:rPr>
            </w:pPr>
            <w:r w:rsidRPr="00077581">
              <w:rPr>
                <w:rFonts w:ascii="Times New Roman" w:eastAsia="Times New Roman" w:hAnsi="Times New Roman" w:cs="Times New Roman"/>
                <w:b/>
                <w:bCs/>
                <w:kern w:val="0"/>
                <w:lang w:eastAsia="en-IN"/>
                <w14:ligatures w14:val="none"/>
              </w:rPr>
              <w:t>Frequency</w:t>
            </w:r>
          </w:p>
        </w:tc>
        <w:tc>
          <w:tcPr>
            <w:tcW w:w="0" w:type="auto"/>
            <w:hideMark/>
          </w:tcPr>
          <w:p w14:paraId="2B31F45A" w14:textId="77777777" w:rsidR="00D81433" w:rsidRPr="00077581" w:rsidRDefault="00D81433" w:rsidP="00EF0802">
            <w:pPr>
              <w:spacing w:line="360" w:lineRule="auto"/>
              <w:rPr>
                <w:rFonts w:ascii="Times New Roman" w:eastAsia="Times New Roman" w:hAnsi="Times New Roman" w:cs="Times New Roman"/>
                <w:b/>
                <w:bCs/>
                <w:kern w:val="0"/>
                <w:lang w:eastAsia="en-IN"/>
                <w14:ligatures w14:val="none"/>
              </w:rPr>
            </w:pPr>
            <w:r w:rsidRPr="00077581">
              <w:rPr>
                <w:rFonts w:ascii="Times New Roman" w:eastAsia="Times New Roman" w:hAnsi="Times New Roman" w:cs="Times New Roman"/>
                <w:b/>
                <w:bCs/>
                <w:kern w:val="0"/>
                <w:lang w:eastAsia="en-IN"/>
                <w14:ligatures w14:val="none"/>
              </w:rPr>
              <w:t>Percentage</w:t>
            </w:r>
          </w:p>
        </w:tc>
      </w:tr>
      <w:tr w:rsidR="00806BAD" w:rsidRPr="00077581" w14:paraId="4CB47CD7" w14:textId="77777777" w:rsidTr="00E55E15">
        <w:tc>
          <w:tcPr>
            <w:tcW w:w="0" w:type="auto"/>
            <w:vMerge w:val="restart"/>
            <w:hideMark/>
          </w:tcPr>
          <w:p w14:paraId="30581389" w14:textId="6803B5FF"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Heard of thyroid disorders in pregnancy</w:t>
            </w:r>
          </w:p>
        </w:tc>
        <w:tc>
          <w:tcPr>
            <w:tcW w:w="0" w:type="auto"/>
            <w:hideMark/>
          </w:tcPr>
          <w:p w14:paraId="3DF22D5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Yes</w:t>
            </w:r>
          </w:p>
        </w:tc>
        <w:tc>
          <w:tcPr>
            <w:tcW w:w="0" w:type="auto"/>
            <w:hideMark/>
          </w:tcPr>
          <w:p w14:paraId="0EC2096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100</w:t>
            </w:r>
          </w:p>
        </w:tc>
        <w:tc>
          <w:tcPr>
            <w:tcW w:w="0" w:type="auto"/>
            <w:hideMark/>
          </w:tcPr>
          <w:p w14:paraId="44F02B2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50.0%</w:t>
            </w:r>
          </w:p>
        </w:tc>
      </w:tr>
      <w:tr w:rsidR="00806BAD" w:rsidRPr="00077581" w14:paraId="4ED35020" w14:textId="77777777" w:rsidTr="00E55E15">
        <w:tc>
          <w:tcPr>
            <w:tcW w:w="0" w:type="auto"/>
            <w:vMerge/>
            <w:hideMark/>
          </w:tcPr>
          <w:p w14:paraId="43261FBE"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289C9B7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w:t>
            </w:r>
          </w:p>
        </w:tc>
        <w:tc>
          <w:tcPr>
            <w:tcW w:w="0" w:type="auto"/>
            <w:hideMark/>
          </w:tcPr>
          <w:p w14:paraId="1B05A74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100</w:t>
            </w:r>
          </w:p>
        </w:tc>
        <w:tc>
          <w:tcPr>
            <w:tcW w:w="0" w:type="auto"/>
            <w:hideMark/>
          </w:tcPr>
          <w:p w14:paraId="42EE6631"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50.0%</w:t>
            </w:r>
          </w:p>
        </w:tc>
      </w:tr>
      <w:tr w:rsidR="00806BAD" w:rsidRPr="00077581" w14:paraId="1703CF41" w14:textId="77777777" w:rsidTr="00E55E15">
        <w:tc>
          <w:tcPr>
            <w:tcW w:w="0" w:type="auto"/>
            <w:vMerge w:val="restart"/>
            <w:hideMark/>
          </w:tcPr>
          <w:p w14:paraId="1BB5ABCD" w14:textId="4C970276"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Untreated thyroid affects pregnancy outcomes?</w:t>
            </w:r>
          </w:p>
        </w:tc>
        <w:tc>
          <w:tcPr>
            <w:tcW w:w="0" w:type="auto"/>
            <w:hideMark/>
          </w:tcPr>
          <w:p w14:paraId="238C989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Yes</w:t>
            </w:r>
          </w:p>
        </w:tc>
        <w:tc>
          <w:tcPr>
            <w:tcW w:w="0" w:type="auto"/>
            <w:hideMark/>
          </w:tcPr>
          <w:p w14:paraId="63C6866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80</w:t>
            </w:r>
          </w:p>
        </w:tc>
        <w:tc>
          <w:tcPr>
            <w:tcW w:w="0" w:type="auto"/>
            <w:hideMark/>
          </w:tcPr>
          <w:p w14:paraId="521F54C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40.0%</w:t>
            </w:r>
          </w:p>
        </w:tc>
      </w:tr>
      <w:tr w:rsidR="00806BAD" w:rsidRPr="00077581" w14:paraId="6C318E73" w14:textId="77777777" w:rsidTr="00E55E15">
        <w:tc>
          <w:tcPr>
            <w:tcW w:w="0" w:type="auto"/>
            <w:vMerge/>
            <w:hideMark/>
          </w:tcPr>
          <w:p w14:paraId="0832A13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19609CF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w:t>
            </w:r>
          </w:p>
        </w:tc>
        <w:tc>
          <w:tcPr>
            <w:tcW w:w="0" w:type="auto"/>
            <w:hideMark/>
          </w:tcPr>
          <w:p w14:paraId="2A71A617"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60</w:t>
            </w:r>
          </w:p>
        </w:tc>
        <w:tc>
          <w:tcPr>
            <w:tcW w:w="0" w:type="auto"/>
            <w:hideMark/>
          </w:tcPr>
          <w:p w14:paraId="64FD805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30.0%</w:t>
            </w:r>
          </w:p>
        </w:tc>
      </w:tr>
      <w:tr w:rsidR="00806BAD" w:rsidRPr="00077581" w14:paraId="2AE88195" w14:textId="77777777" w:rsidTr="00E55E15">
        <w:tc>
          <w:tcPr>
            <w:tcW w:w="0" w:type="auto"/>
            <w:vMerge/>
            <w:hideMark/>
          </w:tcPr>
          <w:p w14:paraId="4432D3D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6CF6389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Not sure</w:t>
            </w:r>
          </w:p>
        </w:tc>
        <w:tc>
          <w:tcPr>
            <w:tcW w:w="0" w:type="auto"/>
            <w:hideMark/>
          </w:tcPr>
          <w:p w14:paraId="3CE71137"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60</w:t>
            </w:r>
          </w:p>
        </w:tc>
        <w:tc>
          <w:tcPr>
            <w:tcW w:w="0" w:type="auto"/>
            <w:hideMark/>
          </w:tcPr>
          <w:p w14:paraId="078C42B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30.0%</w:t>
            </w:r>
          </w:p>
        </w:tc>
      </w:tr>
      <w:tr w:rsidR="00806BAD" w:rsidRPr="00077581" w14:paraId="03455C6F" w14:textId="77777777" w:rsidTr="00E55E15">
        <w:tc>
          <w:tcPr>
            <w:tcW w:w="0" w:type="auto"/>
            <w:vMerge w:val="restart"/>
            <w:hideMark/>
          </w:tcPr>
          <w:p w14:paraId="34C00AD2" w14:textId="7304E17D"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Heard of hypertension during pregnancy</w:t>
            </w:r>
          </w:p>
        </w:tc>
        <w:tc>
          <w:tcPr>
            <w:tcW w:w="0" w:type="auto"/>
            <w:hideMark/>
          </w:tcPr>
          <w:p w14:paraId="466BDE0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Yes</w:t>
            </w:r>
          </w:p>
        </w:tc>
        <w:tc>
          <w:tcPr>
            <w:tcW w:w="0" w:type="auto"/>
            <w:hideMark/>
          </w:tcPr>
          <w:p w14:paraId="33316DD0"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110</w:t>
            </w:r>
          </w:p>
        </w:tc>
        <w:tc>
          <w:tcPr>
            <w:tcW w:w="0" w:type="auto"/>
            <w:hideMark/>
          </w:tcPr>
          <w:p w14:paraId="0A4E920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55.0%</w:t>
            </w:r>
          </w:p>
        </w:tc>
      </w:tr>
      <w:tr w:rsidR="00806BAD" w:rsidRPr="00077581" w14:paraId="57C85340" w14:textId="77777777" w:rsidTr="00E55E15">
        <w:tc>
          <w:tcPr>
            <w:tcW w:w="0" w:type="auto"/>
            <w:vMerge/>
            <w:hideMark/>
          </w:tcPr>
          <w:p w14:paraId="16F7B6C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382C1A2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w:t>
            </w:r>
          </w:p>
        </w:tc>
        <w:tc>
          <w:tcPr>
            <w:tcW w:w="0" w:type="auto"/>
            <w:hideMark/>
          </w:tcPr>
          <w:p w14:paraId="0EF458E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90</w:t>
            </w:r>
          </w:p>
        </w:tc>
        <w:tc>
          <w:tcPr>
            <w:tcW w:w="0" w:type="auto"/>
            <w:hideMark/>
          </w:tcPr>
          <w:p w14:paraId="4F03971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45.0%</w:t>
            </w:r>
          </w:p>
        </w:tc>
      </w:tr>
      <w:tr w:rsidR="00806BAD" w:rsidRPr="00077581" w14:paraId="3F4EA348" w14:textId="77777777" w:rsidTr="00E55E15">
        <w:tc>
          <w:tcPr>
            <w:tcW w:w="0" w:type="auto"/>
            <w:vMerge w:val="restart"/>
            <w:hideMark/>
          </w:tcPr>
          <w:p w14:paraId="3B2EAECB" w14:textId="02003236"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High BP causes complications during pregnancy?</w:t>
            </w:r>
          </w:p>
        </w:tc>
        <w:tc>
          <w:tcPr>
            <w:tcW w:w="0" w:type="auto"/>
            <w:hideMark/>
          </w:tcPr>
          <w:p w14:paraId="08F474D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Yes</w:t>
            </w:r>
          </w:p>
        </w:tc>
        <w:tc>
          <w:tcPr>
            <w:tcW w:w="0" w:type="auto"/>
            <w:hideMark/>
          </w:tcPr>
          <w:p w14:paraId="253346CE"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90</w:t>
            </w:r>
          </w:p>
        </w:tc>
        <w:tc>
          <w:tcPr>
            <w:tcW w:w="0" w:type="auto"/>
            <w:hideMark/>
          </w:tcPr>
          <w:p w14:paraId="3B30197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45.0%</w:t>
            </w:r>
          </w:p>
        </w:tc>
      </w:tr>
      <w:tr w:rsidR="00806BAD" w:rsidRPr="00077581" w14:paraId="689043F4" w14:textId="77777777" w:rsidTr="00E55E15">
        <w:tc>
          <w:tcPr>
            <w:tcW w:w="0" w:type="auto"/>
            <w:vMerge/>
            <w:hideMark/>
          </w:tcPr>
          <w:p w14:paraId="46DAD6F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5475014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w:t>
            </w:r>
          </w:p>
        </w:tc>
        <w:tc>
          <w:tcPr>
            <w:tcW w:w="0" w:type="auto"/>
            <w:hideMark/>
          </w:tcPr>
          <w:p w14:paraId="27BF6BF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60</w:t>
            </w:r>
          </w:p>
        </w:tc>
        <w:tc>
          <w:tcPr>
            <w:tcW w:w="0" w:type="auto"/>
            <w:hideMark/>
          </w:tcPr>
          <w:p w14:paraId="759ECFA1"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30.0%</w:t>
            </w:r>
          </w:p>
        </w:tc>
      </w:tr>
      <w:tr w:rsidR="00806BAD" w:rsidRPr="00077581" w14:paraId="2038ECD7" w14:textId="77777777" w:rsidTr="00E55E15">
        <w:tc>
          <w:tcPr>
            <w:tcW w:w="0" w:type="auto"/>
            <w:vMerge/>
            <w:hideMark/>
          </w:tcPr>
          <w:p w14:paraId="018BDA3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6D3EF2A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Not sure</w:t>
            </w:r>
          </w:p>
        </w:tc>
        <w:tc>
          <w:tcPr>
            <w:tcW w:w="0" w:type="auto"/>
            <w:hideMark/>
          </w:tcPr>
          <w:p w14:paraId="22F0C55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50</w:t>
            </w:r>
          </w:p>
        </w:tc>
        <w:tc>
          <w:tcPr>
            <w:tcW w:w="0" w:type="auto"/>
            <w:hideMark/>
          </w:tcPr>
          <w:p w14:paraId="09D0898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25.0%</w:t>
            </w:r>
          </w:p>
        </w:tc>
      </w:tr>
      <w:tr w:rsidR="00806BAD" w:rsidRPr="00077581" w14:paraId="78ABC28F" w14:textId="77777777" w:rsidTr="00E55E15">
        <w:tc>
          <w:tcPr>
            <w:tcW w:w="0" w:type="auto"/>
            <w:vMerge w:val="restart"/>
            <w:hideMark/>
          </w:tcPr>
          <w:p w14:paraId="42E2C40E" w14:textId="71DBEBCF"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Can lifestyle changes help manage thyroid/BP?</w:t>
            </w:r>
          </w:p>
        </w:tc>
        <w:tc>
          <w:tcPr>
            <w:tcW w:w="0" w:type="auto"/>
            <w:hideMark/>
          </w:tcPr>
          <w:p w14:paraId="10881FA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Yes</w:t>
            </w:r>
          </w:p>
        </w:tc>
        <w:tc>
          <w:tcPr>
            <w:tcW w:w="0" w:type="auto"/>
            <w:hideMark/>
          </w:tcPr>
          <w:p w14:paraId="51335050"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100</w:t>
            </w:r>
          </w:p>
        </w:tc>
        <w:tc>
          <w:tcPr>
            <w:tcW w:w="0" w:type="auto"/>
            <w:hideMark/>
          </w:tcPr>
          <w:p w14:paraId="389CF690"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50.0%</w:t>
            </w:r>
          </w:p>
        </w:tc>
      </w:tr>
      <w:tr w:rsidR="00806BAD" w:rsidRPr="00077581" w14:paraId="29942F62" w14:textId="77777777" w:rsidTr="00E55E15">
        <w:tc>
          <w:tcPr>
            <w:tcW w:w="0" w:type="auto"/>
            <w:vMerge/>
            <w:hideMark/>
          </w:tcPr>
          <w:p w14:paraId="7053D66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5B54B0A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w:t>
            </w:r>
          </w:p>
        </w:tc>
        <w:tc>
          <w:tcPr>
            <w:tcW w:w="0" w:type="auto"/>
            <w:hideMark/>
          </w:tcPr>
          <w:p w14:paraId="5B09563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40</w:t>
            </w:r>
          </w:p>
        </w:tc>
        <w:tc>
          <w:tcPr>
            <w:tcW w:w="0" w:type="auto"/>
            <w:hideMark/>
          </w:tcPr>
          <w:p w14:paraId="103DAFF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20.0%</w:t>
            </w:r>
          </w:p>
        </w:tc>
      </w:tr>
      <w:tr w:rsidR="00806BAD" w:rsidRPr="00077581" w14:paraId="68280390" w14:textId="77777777" w:rsidTr="00E55E15">
        <w:tc>
          <w:tcPr>
            <w:tcW w:w="0" w:type="auto"/>
            <w:vMerge/>
            <w:hideMark/>
          </w:tcPr>
          <w:p w14:paraId="34EA933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261EDCA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Not sure</w:t>
            </w:r>
          </w:p>
        </w:tc>
        <w:tc>
          <w:tcPr>
            <w:tcW w:w="0" w:type="auto"/>
            <w:hideMark/>
          </w:tcPr>
          <w:p w14:paraId="0902EE0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60</w:t>
            </w:r>
          </w:p>
        </w:tc>
        <w:tc>
          <w:tcPr>
            <w:tcW w:w="0" w:type="auto"/>
            <w:hideMark/>
          </w:tcPr>
          <w:p w14:paraId="507308DE"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30.0%</w:t>
            </w:r>
          </w:p>
        </w:tc>
      </w:tr>
      <w:tr w:rsidR="00806BAD" w:rsidRPr="00077581" w14:paraId="4D8F9160" w14:textId="77777777" w:rsidTr="00E55E15">
        <w:tc>
          <w:tcPr>
            <w:tcW w:w="0" w:type="auto"/>
            <w:vMerge w:val="restart"/>
            <w:hideMark/>
          </w:tcPr>
          <w:p w14:paraId="621DA020" w14:textId="27085941"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Are thyroid/BP symptoms always visible?</w:t>
            </w:r>
          </w:p>
        </w:tc>
        <w:tc>
          <w:tcPr>
            <w:tcW w:w="0" w:type="auto"/>
            <w:hideMark/>
          </w:tcPr>
          <w:p w14:paraId="2594CC4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Yes</w:t>
            </w:r>
          </w:p>
        </w:tc>
        <w:tc>
          <w:tcPr>
            <w:tcW w:w="0" w:type="auto"/>
            <w:hideMark/>
          </w:tcPr>
          <w:p w14:paraId="586DCC2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70</w:t>
            </w:r>
          </w:p>
        </w:tc>
        <w:tc>
          <w:tcPr>
            <w:tcW w:w="0" w:type="auto"/>
            <w:hideMark/>
          </w:tcPr>
          <w:p w14:paraId="073D165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35.0%</w:t>
            </w:r>
          </w:p>
        </w:tc>
      </w:tr>
      <w:tr w:rsidR="00806BAD" w:rsidRPr="00077581" w14:paraId="4F9C0BDE" w14:textId="77777777" w:rsidTr="00E55E15">
        <w:tc>
          <w:tcPr>
            <w:tcW w:w="0" w:type="auto"/>
            <w:vMerge/>
            <w:hideMark/>
          </w:tcPr>
          <w:p w14:paraId="17C8F46E"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1355F0A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w:t>
            </w:r>
          </w:p>
        </w:tc>
        <w:tc>
          <w:tcPr>
            <w:tcW w:w="0" w:type="auto"/>
            <w:hideMark/>
          </w:tcPr>
          <w:p w14:paraId="62FE4EE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80</w:t>
            </w:r>
          </w:p>
        </w:tc>
        <w:tc>
          <w:tcPr>
            <w:tcW w:w="0" w:type="auto"/>
            <w:hideMark/>
          </w:tcPr>
          <w:p w14:paraId="5126912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40.0%</w:t>
            </w:r>
          </w:p>
        </w:tc>
      </w:tr>
      <w:tr w:rsidR="00806BAD" w:rsidRPr="00077581" w14:paraId="30E15304" w14:textId="77777777" w:rsidTr="00E55E15">
        <w:tc>
          <w:tcPr>
            <w:tcW w:w="0" w:type="auto"/>
            <w:vMerge/>
            <w:hideMark/>
          </w:tcPr>
          <w:p w14:paraId="3080170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3D00E13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Not sure</w:t>
            </w:r>
          </w:p>
        </w:tc>
        <w:tc>
          <w:tcPr>
            <w:tcW w:w="0" w:type="auto"/>
            <w:hideMark/>
          </w:tcPr>
          <w:p w14:paraId="65CC6A6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50</w:t>
            </w:r>
          </w:p>
        </w:tc>
        <w:tc>
          <w:tcPr>
            <w:tcW w:w="0" w:type="auto"/>
            <w:hideMark/>
          </w:tcPr>
          <w:p w14:paraId="6E1B859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25.0%</w:t>
            </w:r>
          </w:p>
        </w:tc>
      </w:tr>
      <w:tr w:rsidR="00806BAD" w:rsidRPr="00077581" w14:paraId="20181932" w14:textId="77777777" w:rsidTr="00E55E15">
        <w:tc>
          <w:tcPr>
            <w:tcW w:w="0" w:type="auto"/>
            <w:vMerge w:val="restart"/>
            <w:hideMark/>
          </w:tcPr>
          <w:p w14:paraId="4F3A93D9" w14:textId="1968DB52"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Symptoms of thyroid (multi-response)</w:t>
            </w:r>
          </w:p>
        </w:tc>
        <w:tc>
          <w:tcPr>
            <w:tcW w:w="0" w:type="auto"/>
            <w:hideMark/>
          </w:tcPr>
          <w:p w14:paraId="1546CC0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Fatigue</w:t>
            </w:r>
          </w:p>
        </w:tc>
        <w:tc>
          <w:tcPr>
            <w:tcW w:w="0" w:type="auto"/>
            <w:hideMark/>
          </w:tcPr>
          <w:p w14:paraId="580E7E2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129</w:t>
            </w:r>
          </w:p>
        </w:tc>
        <w:tc>
          <w:tcPr>
            <w:tcW w:w="0" w:type="auto"/>
            <w:hideMark/>
          </w:tcPr>
          <w:p w14:paraId="3F0AE5A1"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64.5%</w:t>
            </w:r>
          </w:p>
        </w:tc>
      </w:tr>
      <w:tr w:rsidR="00806BAD" w:rsidRPr="00077581" w14:paraId="29FA826A" w14:textId="77777777" w:rsidTr="00E55E15">
        <w:tc>
          <w:tcPr>
            <w:tcW w:w="0" w:type="auto"/>
            <w:vMerge/>
            <w:hideMark/>
          </w:tcPr>
          <w:p w14:paraId="578B667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19E77C4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Weight gain</w:t>
            </w:r>
          </w:p>
        </w:tc>
        <w:tc>
          <w:tcPr>
            <w:tcW w:w="0" w:type="auto"/>
            <w:hideMark/>
          </w:tcPr>
          <w:p w14:paraId="6097E32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118</w:t>
            </w:r>
          </w:p>
        </w:tc>
        <w:tc>
          <w:tcPr>
            <w:tcW w:w="0" w:type="auto"/>
            <w:hideMark/>
          </w:tcPr>
          <w:p w14:paraId="3DF2E2F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59.0%</w:t>
            </w:r>
          </w:p>
        </w:tc>
      </w:tr>
      <w:tr w:rsidR="00806BAD" w:rsidRPr="00077581" w14:paraId="2F03A8CE" w14:textId="77777777" w:rsidTr="00E55E15">
        <w:tc>
          <w:tcPr>
            <w:tcW w:w="0" w:type="auto"/>
            <w:vMerge/>
            <w:hideMark/>
          </w:tcPr>
          <w:p w14:paraId="0A69DE1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1A792FE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Cold intolerance</w:t>
            </w:r>
          </w:p>
        </w:tc>
        <w:tc>
          <w:tcPr>
            <w:tcW w:w="0" w:type="auto"/>
            <w:hideMark/>
          </w:tcPr>
          <w:p w14:paraId="362FA92E"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104</w:t>
            </w:r>
          </w:p>
        </w:tc>
        <w:tc>
          <w:tcPr>
            <w:tcW w:w="0" w:type="auto"/>
            <w:hideMark/>
          </w:tcPr>
          <w:p w14:paraId="5D7A11A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52.0%</w:t>
            </w:r>
          </w:p>
        </w:tc>
      </w:tr>
      <w:tr w:rsidR="00806BAD" w:rsidRPr="00077581" w14:paraId="7584AC19" w14:textId="77777777" w:rsidTr="00E55E15">
        <w:tc>
          <w:tcPr>
            <w:tcW w:w="0" w:type="auto"/>
            <w:vMerge/>
            <w:hideMark/>
          </w:tcPr>
          <w:p w14:paraId="3A6FB3B7"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6A4E34E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Palpitations</w:t>
            </w:r>
          </w:p>
        </w:tc>
        <w:tc>
          <w:tcPr>
            <w:tcW w:w="0" w:type="auto"/>
            <w:hideMark/>
          </w:tcPr>
          <w:p w14:paraId="554FFE9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90</w:t>
            </w:r>
          </w:p>
        </w:tc>
        <w:tc>
          <w:tcPr>
            <w:tcW w:w="0" w:type="auto"/>
            <w:hideMark/>
          </w:tcPr>
          <w:p w14:paraId="78E7F3E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45.0%</w:t>
            </w:r>
          </w:p>
        </w:tc>
      </w:tr>
      <w:tr w:rsidR="00806BAD" w:rsidRPr="00077581" w14:paraId="22933B9B" w14:textId="77777777" w:rsidTr="00E55E15">
        <w:tc>
          <w:tcPr>
            <w:tcW w:w="0" w:type="auto"/>
            <w:vMerge/>
            <w:hideMark/>
          </w:tcPr>
          <w:p w14:paraId="7DCB2A7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762A4E3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Don’t know</w:t>
            </w:r>
          </w:p>
        </w:tc>
        <w:tc>
          <w:tcPr>
            <w:tcW w:w="0" w:type="auto"/>
            <w:hideMark/>
          </w:tcPr>
          <w:p w14:paraId="500836A0"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74</w:t>
            </w:r>
          </w:p>
        </w:tc>
        <w:tc>
          <w:tcPr>
            <w:tcW w:w="0" w:type="auto"/>
            <w:hideMark/>
          </w:tcPr>
          <w:p w14:paraId="66248871"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37.0%</w:t>
            </w:r>
          </w:p>
        </w:tc>
      </w:tr>
      <w:tr w:rsidR="00806BAD" w:rsidRPr="00077581" w14:paraId="079F07B5" w14:textId="77777777" w:rsidTr="00E55E15">
        <w:tc>
          <w:tcPr>
            <w:tcW w:w="0" w:type="auto"/>
            <w:vMerge w:val="restart"/>
            <w:hideMark/>
          </w:tcPr>
          <w:p w14:paraId="05627A03" w14:textId="79DFC7E9"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Signs of high BP (multi-response)</w:t>
            </w:r>
          </w:p>
        </w:tc>
        <w:tc>
          <w:tcPr>
            <w:tcW w:w="0" w:type="auto"/>
            <w:hideMark/>
          </w:tcPr>
          <w:p w14:paraId="2DEF6A41"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Headache</w:t>
            </w:r>
          </w:p>
        </w:tc>
        <w:tc>
          <w:tcPr>
            <w:tcW w:w="0" w:type="auto"/>
            <w:hideMark/>
          </w:tcPr>
          <w:p w14:paraId="54CC1D0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123</w:t>
            </w:r>
          </w:p>
        </w:tc>
        <w:tc>
          <w:tcPr>
            <w:tcW w:w="0" w:type="auto"/>
            <w:hideMark/>
          </w:tcPr>
          <w:p w14:paraId="3583429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61.5%</w:t>
            </w:r>
          </w:p>
        </w:tc>
      </w:tr>
      <w:tr w:rsidR="00806BAD" w:rsidRPr="00077581" w14:paraId="19C2C5FF" w14:textId="77777777" w:rsidTr="00E55E15">
        <w:tc>
          <w:tcPr>
            <w:tcW w:w="0" w:type="auto"/>
            <w:vMerge/>
            <w:hideMark/>
          </w:tcPr>
          <w:p w14:paraId="7AF7649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7FDB241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Swelling</w:t>
            </w:r>
          </w:p>
        </w:tc>
        <w:tc>
          <w:tcPr>
            <w:tcW w:w="0" w:type="auto"/>
            <w:hideMark/>
          </w:tcPr>
          <w:p w14:paraId="150540F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115</w:t>
            </w:r>
          </w:p>
        </w:tc>
        <w:tc>
          <w:tcPr>
            <w:tcW w:w="0" w:type="auto"/>
            <w:hideMark/>
          </w:tcPr>
          <w:p w14:paraId="059AABF0"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57.5%</w:t>
            </w:r>
          </w:p>
        </w:tc>
      </w:tr>
      <w:tr w:rsidR="00806BAD" w:rsidRPr="00077581" w14:paraId="22C2B0F9" w14:textId="77777777" w:rsidTr="00E55E15">
        <w:tc>
          <w:tcPr>
            <w:tcW w:w="0" w:type="auto"/>
            <w:vMerge/>
            <w:hideMark/>
          </w:tcPr>
          <w:p w14:paraId="603276C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0B0320B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Blurred vision</w:t>
            </w:r>
          </w:p>
        </w:tc>
        <w:tc>
          <w:tcPr>
            <w:tcW w:w="0" w:type="auto"/>
            <w:hideMark/>
          </w:tcPr>
          <w:p w14:paraId="120AA1F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100</w:t>
            </w:r>
          </w:p>
        </w:tc>
        <w:tc>
          <w:tcPr>
            <w:tcW w:w="0" w:type="auto"/>
            <w:hideMark/>
          </w:tcPr>
          <w:p w14:paraId="3CF51F6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50.0%</w:t>
            </w:r>
          </w:p>
        </w:tc>
      </w:tr>
      <w:tr w:rsidR="00806BAD" w:rsidRPr="00077581" w14:paraId="15105644" w14:textId="77777777" w:rsidTr="00E55E15">
        <w:tc>
          <w:tcPr>
            <w:tcW w:w="0" w:type="auto"/>
            <w:vMerge/>
            <w:hideMark/>
          </w:tcPr>
          <w:p w14:paraId="220C124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4426151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Chest pain</w:t>
            </w:r>
          </w:p>
        </w:tc>
        <w:tc>
          <w:tcPr>
            <w:tcW w:w="0" w:type="auto"/>
            <w:hideMark/>
          </w:tcPr>
          <w:p w14:paraId="04050C40"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86</w:t>
            </w:r>
          </w:p>
        </w:tc>
        <w:tc>
          <w:tcPr>
            <w:tcW w:w="0" w:type="auto"/>
            <w:hideMark/>
          </w:tcPr>
          <w:p w14:paraId="50B3996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43.0%</w:t>
            </w:r>
          </w:p>
        </w:tc>
      </w:tr>
      <w:tr w:rsidR="00806BAD" w:rsidRPr="00077581" w14:paraId="4709D4EB" w14:textId="77777777" w:rsidTr="00E55E15">
        <w:tc>
          <w:tcPr>
            <w:tcW w:w="0" w:type="auto"/>
            <w:vMerge/>
            <w:hideMark/>
          </w:tcPr>
          <w:p w14:paraId="2ECA2660"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1C2F0925"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Don’t know</w:t>
            </w:r>
          </w:p>
        </w:tc>
        <w:tc>
          <w:tcPr>
            <w:tcW w:w="0" w:type="auto"/>
            <w:hideMark/>
          </w:tcPr>
          <w:p w14:paraId="537E82DE"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71</w:t>
            </w:r>
          </w:p>
        </w:tc>
        <w:tc>
          <w:tcPr>
            <w:tcW w:w="0" w:type="auto"/>
            <w:hideMark/>
          </w:tcPr>
          <w:p w14:paraId="376F61D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35.5%</w:t>
            </w:r>
          </w:p>
        </w:tc>
      </w:tr>
    </w:tbl>
    <w:p w14:paraId="5F3A045A" w14:textId="77777777" w:rsidR="00D81433" w:rsidRPr="00077581" w:rsidRDefault="00D81433" w:rsidP="00EF0802">
      <w:pPr>
        <w:spacing w:line="360" w:lineRule="auto"/>
        <w:jc w:val="both"/>
        <w:rPr>
          <w:rFonts w:ascii="Times New Roman" w:hAnsi="Times New Roman" w:cs="Times New Roman"/>
        </w:rPr>
      </w:pPr>
    </w:p>
    <w:p w14:paraId="4FC5C763" w14:textId="77777777" w:rsidR="00D81433" w:rsidRPr="00077581" w:rsidRDefault="00D81433" w:rsidP="00EF0802">
      <w:pPr>
        <w:spacing w:line="360" w:lineRule="auto"/>
        <w:jc w:val="both"/>
        <w:rPr>
          <w:rFonts w:ascii="Times New Roman" w:eastAsia="Times New Roman" w:hAnsi="Times New Roman" w:cs="Times New Roman"/>
          <w:b/>
          <w:bCs/>
          <w:i/>
          <w:iCs/>
          <w:kern w:val="0"/>
          <w:lang w:eastAsia="en-IN"/>
          <w14:ligatures w14:val="none"/>
        </w:rPr>
      </w:pPr>
      <w:r w:rsidRPr="00077581">
        <w:rPr>
          <w:rFonts w:ascii="Times New Roman" w:eastAsia="Times New Roman" w:hAnsi="Times New Roman" w:cs="Times New Roman"/>
          <w:b/>
          <w:bCs/>
          <w:i/>
          <w:iCs/>
          <w:kern w:val="0"/>
          <w:lang w:eastAsia="en-IN"/>
          <w14:ligatures w14:val="none"/>
        </w:rPr>
        <w:lastRenderedPageBreak/>
        <w:t>Post-Test Findings:</w:t>
      </w:r>
    </w:p>
    <w:p w14:paraId="717F00DF"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Post-intervention results (Table 4.3) demonstrate considerable improvement in awareness. The proportion of participants aware of thyroid disorders rose to 85% (Q10), and those aware of hypertension increased to 90% (Q12). Notably, 75% acknowledged that untreated thyroid issues could adversely impact pregnancy (Q11), and 80% understood that high BP could lead to complications (Q13). Belief in the role of lifestyle modification increased to 82.5% (Q14), and a greater number (65%) now correctly disagreed that symptoms are always visible (Q15). Symptom recognition also improved substantially: fatigue (81%), weight gain (76.5%), cold intolerance (73.5%), and palpitations (69%) were correctly identified as thyroid symptoms. For hypertension, recognition of signs like headache (79%), swelling (73.5%), and blurred vision (69.5%) increased significantly. The number of participants uncertain about symptoms dropped by half.</w:t>
      </w:r>
    </w:p>
    <w:p w14:paraId="4D7CAD2D" w14:textId="3099060A" w:rsidR="00EF0802" w:rsidRPr="00CC5373"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The data clearly indicate that the lifestyle intervention substantially improved awareness and understanding of thyroid and hypertension-related issues during pregnancy</w:t>
      </w:r>
      <w:r w:rsidR="00CC5373">
        <w:rPr>
          <w:rFonts w:ascii="Times New Roman" w:eastAsia="Times New Roman" w:hAnsi="Times New Roman" w:cs="Times New Roman"/>
          <w:kern w:val="0"/>
          <w:lang w:eastAsia="en-IN"/>
          <w14:ligatures w14:val="none"/>
        </w:rPr>
        <w:t xml:space="preserve"> </w:t>
      </w:r>
      <w:r w:rsidR="00CC5373">
        <w:rPr>
          <w:rFonts w:ascii="Times New Roman" w:eastAsia="Times New Roman" w:hAnsi="Times New Roman" w:cs="Times New Roman"/>
          <w:kern w:val="0"/>
          <w:lang w:eastAsia="en-IN"/>
          <w14:ligatures w14:val="none"/>
        </w:rPr>
        <w:fldChar w:fldCharType="begin" w:fldLock="1"/>
      </w:r>
      <w:r w:rsidR="00CC5373">
        <w:rPr>
          <w:rFonts w:ascii="Times New Roman" w:eastAsia="Times New Roman" w:hAnsi="Times New Roman" w:cs="Times New Roman"/>
          <w:kern w:val="0"/>
          <w:lang w:eastAsia="en-IN"/>
          <w14:ligatures w14:val="none"/>
        </w:rPr>
        <w:instrText>ADDIN CSL_CITATION {"citationItems":[{"id":"ITEM-1","itemData":{"DOI":"10.1016/j.mayocp.2024.10.005","ISSN":"19425546","PMID":"39736047","abstract":"Current clinical practice guidelines were established by several organizations to guide the diagnosis and treatment of hypertension in men and women in a similar manner despite data demonstrating differences in underlying mechanisms. Few publications have provided a contemporary and comprehensive review focused on characteristics of hypertension that are unique to women across their life spectrum. We performed a computerized search using PubMed, OVID, EMBASE, and Cochrane library databases between 1995 and 2023 that highlighted relevant clinical studies, challenges to the management of hypertension in women, and multidisciplinary approaches to hypertension control in women, including issues unique to racial and ethnic minority groups. Despite our current understanding of underlying mechanisms and strategies to manage hypertension in women, numerous challenges remain. Here, we discuss potential factors contributing to hypertension in women, differences related to effects of lifestyle modifications and drug therapy between men and women, the impact of sleep, and the importance of recognizing disparities in socioeconomic conditions and access to care. This review outlines several opportunities for future studies to fill gaps in knowledge to achieve optimal control of hypertension in women using a multidisciplinary approach, particularly related to sex-specific treatment approaches while considering socioeconomic conditions and life stages from premenopause through the transition to menopause.","author":[{"dropping-particle":"","family":"Nobakht","given":"Niloofar","non-dropping-particle":"","parse-names":false,"suffix":""},{"dropping-particle":"","family":"Afshar","given":"Yalda","non-dropping-particle":"","parse-names":false,"suffix":""},{"dropping-particle":"","family":"Vaseghi","given":"Marmar","non-dropping-particle":"","parse-names":false,"suffix":""},{"dropping-particle":"","family":"Li","given":"Zhaoping","non-dropping-particle":"","parse-names":false,"suffix":""},{"dropping-particle":"","family":"Donangelo","given":"Ines","non-dropping-particle":"","parse-names":false,"suffix":""},{"dropping-particle":"","family":"Lavretsky","given":"Helen","non-dropping-particle":"","parse-names":false,"suffix":""},{"dropping-particle":"","family":"Mok","given":"Thalia","non-dropping-particle":"","parse-names":false,"suffix":""},{"dropping-particle":"","family":"Han","given":"Christina S.","non-dropping-particle":"","parse-names":false,"suffix":""},{"dropping-particle":"","family":"Nicholas","given":"Susanne B.","non-dropping-particle":"","parse-names":false,"suffix":""}],"container-title":"Mayo Clinic Proceedings","id":"ITEM-1","issue":"3","issued":{"date-parts":[["2025"]]},"page":"514-533","publisher":"The Authors","title":"Hypertension Management in Women With a Multidisciplinary Approach","type":"article-journal","volume":"100"},"uris":["http://www.mendeley.com/documents/?uuid=9fe7ca52-d255-4058-84a3-bc41b4bb2146"]}],"mendeley":{"formattedCitation":"(Nobakht et al., 2025)","plainTextFormattedCitation":"(Nobakht et al., 2025)","previouslyFormattedCitation":"(Nobakht et al., 2025)"},"properties":{"noteIndex":0},"schema":"https://github.com/citation-style-language/schema/raw/master/csl-citation.json"}</w:instrText>
      </w:r>
      <w:r w:rsidR="00CC5373">
        <w:rPr>
          <w:rFonts w:ascii="Times New Roman" w:eastAsia="Times New Roman" w:hAnsi="Times New Roman" w:cs="Times New Roman"/>
          <w:kern w:val="0"/>
          <w:lang w:eastAsia="en-IN"/>
          <w14:ligatures w14:val="none"/>
        </w:rPr>
        <w:fldChar w:fldCharType="separate"/>
      </w:r>
      <w:r w:rsidR="00CC5373" w:rsidRPr="00CC5373">
        <w:rPr>
          <w:rFonts w:ascii="Times New Roman" w:eastAsia="Times New Roman" w:hAnsi="Times New Roman" w:cs="Times New Roman"/>
          <w:noProof/>
          <w:kern w:val="0"/>
          <w:lang w:eastAsia="en-IN"/>
          <w14:ligatures w14:val="none"/>
        </w:rPr>
        <w:t>(Nobakht et al., 2025)</w:t>
      </w:r>
      <w:r w:rsidR="00CC5373">
        <w:rPr>
          <w:rFonts w:ascii="Times New Roman" w:eastAsia="Times New Roman" w:hAnsi="Times New Roman" w:cs="Times New Roman"/>
          <w:kern w:val="0"/>
          <w:lang w:eastAsia="en-IN"/>
          <w14:ligatures w14:val="none"/>
        </w:rPr>
        <w:fldChar w:fldCharType="end"/>
      </w:r>
      <w:r w:rsidRPr="00077581">
        <w:rPr>
          <w:rFonts w:ascii="Times New Roman" w:eastAsia="Times New Roman" w:hAnsi="Times New Roman" w:cs="Times New Roman"/>
          <w:kern w:val="0"/>
          <w:lang w:eastAsia="en-IN"/>
          <w14:ligatures w14:val="none"/>
        </w:rPr>
        <w:t>. Increased recognition of symptoms, understanding of consequences, and belief in the value of lifestyle management reflect enhanced health literacy</w:t>
      </w:r>
      <w:r w:rsidR="00CC5373">
        <w:rPr>
          <w:rFonts w:ascii="Times New Roman" w:eastAsia="Times New Roman" w:hAnsi="Times New Roman" w:cs="Times New Roman"/>
          <w:kern w:val="0"/>
          <w:lang w:eastAsia="en-IN"/>
          <w14:ligatures w14:val="none"/>
        </w:rPr>
        <w:t xml:space="preserve"> </w:t>
      </w:r>
      <w:r w:rsidR="00CC5373">
        <w:rPr>
          <w:rFonts w:ascii="Times New Roman" w:eastAsia="Times New Roman" w:hAnsi="Times New Roman" w:cs="Times New Roman"/>
          <w:kern w:val="0"/>
          <w:lang w:eastAsia="en-IN"/>
          <w14:ligatures w14:val="none"/>
        </w:rPr>
        <w:fldChar w:fldCharType="begin" w:fldLock="1"/>
      </w:r>
      <w:r w:rsidR="00CC5373">
        <w:rPr>
          <w:rFonts w:ascii="Times New Roman" w:eastAsia="Times New Roman" w:hAnsi="Times New Roman" w:cs="Times New Roman"/>
          <w:kern w:val="0"/>
          <w:lang w:eastAsia="en-IN"/>
          <w14:ligatures w14:val="none"/>
        </w:rPr>
        <w:instrText>ADDIN CSL_CITATION {"citationItems":[{"id":"ITEM-1","itemData":{"DOI":"10.1111/1471-0528.18088","ISSN":"14710528","PMID":"40240075","author":[{"dropping-particle":"","family":"Chan","given":"Shiao Yng","non-dropping-particle":"","parse-names":false,"suffix":""},{"dropping-particle":"","family":"Marsh","given":"Michael S.","non-dropping-particle":"","parse-names":false,"suffix":""},{"dropping-particle":"","family":"Gilbert","given":"Jackie","non-dropping-particle":"","parse-names":false,"suffix":""},{"dropping-particle":"","family":"Boelaert","given":"Kristien","non-dropping-particle":"","parse-names":false,"suffix":""},{"dropping-particle":"","family":"Evans","given":"Carol","non-dropping-particle":"","parse-names":false,"suffix":""},{"dropping-particle":"","family":"Dhillon-Smith","given":"Rima","non-dropping-particle":"","parse-names":false,"suffix":""}],"container-title":"BJOG: An International Journal of Obstetrics and Gynaecology","id":"ITEM-1","issue":"8","issued":{"date-parts":[["2025"]]},"page":"e130-e161","title":"Management of Thyroid Disorders in Pregnancy","type":"article-journal","volume":"132"},"uris":["http://www.mendeley.com/documents/?uuid=72e032fa-1276-40b2-b6d0-bb713b98abc5"]}],"mendeley":{"formattedCitation":"(Chan et al., 2025)","plainTextFormattedCitation":"(Chan et al., 2025)","previouslyFormattedCitation":"(Chan et al., 2025)"},"properties":{"noteIndex":0},"schema":"https://github.com/citation-style-language/schema/raw/master/csl-citation.json"}</w:instrText>
      </w:r>
      <w:r w:rsidR="00CC5373">
        <w:rPr>
          <w:rFonts w:ascii="Times New Roman" w:eastAsia="Times New Roman" w:hAnsi="Times New Roman" w:cs="Times New Roman"/>
          <w:kern w:val="0"/>
          <w:lang w:eastAsia="en-IN"/>
          <w14:ligatures w14:val="none"/>
        </w:rPr>
        <w:fldChar w:fldCharType="separate"/>
      </w:r>
      <w:r w:rsidR="00CC5373" w:rsidRPr="00CC5373">
        <w:rPr>
          <w:rFonts w:ascii="Times New Roman" w:eastAsia="Times New Roman" w:hAnsi="Times New Roman" w:cs="Times New Roman"/>
          <w:noProof/>
          <w:kern w:val="0"/>
          <w:lang w:eastAsia="en-IN"/>
          <w14:ligatures w14:val="none"/>
        </w:rPr>
        <w:t>(Chan et al., 2025)</w:t>
      </w:r>
      <w:r w:rsidR="00CC5373">
        <w:rPr>
          <w:rFonts w:ascii="Times New Roman" w:eastAsia="Times New Roman" w:hAnsi="Times New Roman" w:cs="Times New Roman"/>
          <w:kern w:val="0"/>
          <w:lang w:eastAsia="en-IN"/>
          <w14:ligatures w14:val="none"/>
        </w:rPr>
        <w:fldChar w:fldCharType="end"/>
      </w:r>
      <w:r w:rsidRPr="00077581">
        <w:rPr>
          <w:rFonts w:ascii="Times New Roman" w:eastAsia="Times New Roman" w:hAnsi="Times New Roman" w:cs="Times New Roman"/>
          <w:kern w:val="0"/>
          <w:lang w:eastAsia="en-IN"/>
          <w14:ligatures w14:val="none"/>
        </w:rPr>
        <w:t xml:space="preserve">. These gains are critical for encouraging preventive </w:t>
      </w:r>
      <w:proofErr w:type="spellStart"/>
      <w:r w:rsidRPr="00077581">
        <w:rPr>
          <w:rFonts w:ascii="Times New Roman" w:eastAsia="Times New Roman" w:hAnsi="Times New Roman" w:cs="Times New Roman"/>
          <w:kern w:val="0"/>
          <w:lang w:eastAsia="en-IN"/>
          <w14:ligatures w14:val="none"/>
        </w:rPr>
        <w:t>behaviors</w:t>
      </w:r>
      <w:proofErr w:type="spellEnd"/>
      <w:r w:rsidRPr="00077581">
        <w:rPr>
          <w:rFonts w:ascii="Times New Roman" w:eastAsia="Times New Roman" w:hAnsi="Times New Roman" w:cs="Times New Roman"/>
          <w:kern w:val="0"/>
          <w:lang w:eastAsia="en-IN"/>
          <w14:ligatures w14:val="none"/>
        </w:rPr>
        <w:t xml:space="preserve"> and timely healthcare-seeking practices among pregnant women.</w:t>
      </w:r>
    </w:p>
    <w:p w14:paraId="2C8B51EB" w14:textId="48B7C7E6" w:rsidR="00D81433" w:rsidRPr="007E5737" w:rsidRDefault="00D81433" w:rsidP="00EF0802">
      <w:pPr>
        <w:spacing w:line="360" w:lineRule="auto"/>
        <w:jc w:val="both"/>
        <w:rPr>
          <w:rFonts w:ascii="Times New Roman" w:hAnsi="Times New Roman" w:cs="Times New Roman"/>
          <w:b/>
          <w:bCs/>
          <w:color w:val="156082" w:themeColor="accent1"/>
        </w:rPr>
      </w:pPr>
      <w:r w:rsidRPr="007E5737">
        <w:rPr>
          <w:rFonts w:ascii="Times New Roman" w:hAnsi="Times New Roman" w:cs="Times New Roman"/>
          <w:b/>
          <w:bCs/>
          <w:color w:val="156082" w:themeColor="accent1"/>
        </w:rPr>
        <w:t>Table 4.3 Distribution of Participants Based on Post-Test Awareness</w:t>
      </w:r>
    </w:p>
    <w:tbl>
      <w:tblPr>
        <w:tblStyle w:val="TableGrid"/>
        <w:tblW w:w="0" w:type="auto"/>
        <w:tblLook w:val="04A0" w:firstRow="1" w:lastRow="0" w:firstColumn="1" w:lastColumn="0" w:noHBand="0" w:noVBand="1"/>
      </w:tblPr>
      <w:tblGrid>
        <w:gridCol w:w="3966"/>
        <w:gridCol w:w="1671"/>
        <w:gridCol w:w="1310"/>
        <w:gridCol w:w="1349"/>
      </w:tblGrid>
      <w:tr w:rsidR="00D81433" w:rsidRPr="00077581" w14:paraId="469BC5C2" w14:textId="77777777" w:rsidTr="00E55E15">
        <w:tc>
          <w:tcPr>
            <w:tcW w:w="0" w:type="auto"/>
            <w:hideMark/>
          </w:tcPr>
          <w:p w14:paraId="77D281A7" w14:textId="77777777" w:rsidR="00D81433" w:rsidRPr="00077581" w:rsidRDefault="00D81433" w:rsidP="00EF0802">
            <w:pPr>
              <w:spacing w:line="360" w:lineRule="auto"/>
              <w:rPr>
                <w:rFonts w:ascii="Times New Roman" w:eastAsia="Times New Roman" w:hAnsi="Times New Roman" w:cs="Times New Roman"/>
                <w:b/>
                <w:bCs/>
                <w:kern w:val="0"/>
                <w:lang w:eastAsia="en-IN"/>
                <w14:ligatures w14:val="none"/>
              </w:rPr>
            </w:pPr>
            <w:r w:rsidRPr="00077581">
              <w:rPr>
                <w:rFonts w:ascii="Times New Roman" w:eastAsia="Times New Roman" w:hAnsi="Times New Roman" w:cs="Times New Roman"/>
                <w:b/>
                <w:bCs/>
                <w:kern w:val="0"/>
                <w:lang w:eastAsia="en-IN"/>
                <w14:ligatures w14:val="none"/>
              </w:rPr>
              <w:t>Question</w:t>
            </w:r>
          </w:p>
        </w:tc>
        <w:tc>
          <w:tcPr>
            <w:tcW w:w="0" w:type="auto"/>
            <w:hideMark/>
          </w:tcPr>
          <w:p w14:paraId="61C4E957" w14:textId="77777777" w:rsidR="00D81433" w:rsidRPr="00077581" w:rsidRDefault="00D81433" w:rsidP="00EF0802">
            <w:pPr>
              <w:spacing w:line="360" w:lineRule="auto"/>
              <w:rPr>
                <w:rFonts w:ascii="Times New Roman" w:eastAsia="Times New Roman" w:hAnsi="Times New Roman" w:cs="Times New Roman"/>
                <w:b/>
                <w:bCs/>
                <w:kern w:val="0"/>
                <w:lang w:eastAsia="en-IN"/>
                <w14:ligatures w14:val="none"/>
              </w:rPr>
            </w:pPr>
            <w:r w:rsidRPr="00077581">
              <w:rPr>
                <w:rFonts w:ascii="Times New Roman" w:eastAsia="Times New Roman" w:hAnsi="Times New Roman" w:cs="Times New Roman"/>
                <w:b/>
                <w:bCs/>
                <w:kern w:val="0"/>
                <w:lang w:eastAsia="en-IN"/>
                <w14:ligatures w14:val="none"/>
              </w:rPr>
              <w:t>Response</w:t>
            </w:r>
          </w:p>
        </w:tc>
        <w:tc>
          <w:tcPr>
            <w:tcW w:w="0" w:type="auto"/>
            <w:hideMark/>
          </w:tcPr>
          <w:p w14:paraId="5A388A3E" w14:textId="77777777" w:rsidR="00D81433" w:rsidRPr="00077581" w:rsidRDefault="00D81433" w:rsidP="00EF0802">
            <w:pPr>
              <w:spacing w:line="360" w:lineRule="auto"/>
              <w:rPr>
                <w:rFonts w:ascii="Times New Roman" w:eastAsia="Times New Roman" w:hAnsi="Times New Roman" w:cs="Times New Roman"/>
                <w:b/>
                <w:bCs/>
                <w:kern w:val="0"/>
                <w:lang w:eastAsia="en-IN"/>
                <w14:ligatures w14:val="none"/>
              </w:rPr>
            </w:pPr>
            <w:r w:rsidRPr="00077581">
              <w:rPr>
                <w:rFonts w:ascii="Times New Roman" w:eastAsia="Times New Roman" w:hAnsi="Times New Roman" w:cs="Times New Roman"/>
                <w:b/>
                <w:bCs/>
                <w:kern w:val="0"/>
                <w:lang w:eastAsia="en-IN"/>
                <w14:ligatures w14:val="none"/>
              </w:rPr>
              <w:t>Frequency</w:t>
            </w:r>
          </w:p>
        </w:tc>
        <w:tc>
          <w:tcPr>
            <w:tcW w:w="0" w:type="auto"/>
            <w:hideMark/>
          </w:tcPr>
          <w:p w14:paraId="461C4BFB" w14:textId="77777777" w:rsidR="00D81433" w:rsidRPr="00077581" w:rsidRDefault="00D81433" w:rsidP="00EF0802">
            <w:pPr>
              <w:spacing w:line="360" w:lineRule="auto"/>
              <w:rPr>
                <w:rFonts w:ascii="Times New Roman" w:eastAsia="Times New Roman" w:hAnsi="Times New Roman" w:cs="Times New Roman"/>
                <w:b/>
                <w:bCs/>
                <w:kern w:val="0"/>
                <w:lang w:eastAsia="en-IN"/>
                <w14:ligatures w14:val="none"/>
              </w:rPr>
            </w:pPr>
            <w:r w:rsidRPr="00077581">
              <w:rPr>
                <w:rFonts w:ascii="Times New Roman" w:eastAsia="Times New Roman" w:hAnsi="Times New Roman" w:cs="Times New Roman"/>
                <w:b/>
                <w:bCs/>
                <w:kern w:val="0"/>
                <w:lang w:eastAsia="en-IN"/>
                <w14:ligatures w14:val="none"/>
              </w:rPr>
              <w:t>Percentage</w:t>
            </w:r>
          </w:p>
        </w:tc>
      </w:tr>
      <w:tr w:rsidR="00806BAD" w:rsidRPr="00077581" w14:paraId="3726C2EA" w14:textId="77777777" w:rsidTr="00E55E15">
        <w:tc>
          <w:tcPr>
            <w:tcW w:w="0" w:type="auto"/>
            <w:vMerge w:val="restart"/>
            <w:hideMark/>
          </w:tcPr>
          <w:p w14:paraId="60FE7AB1" w14:textId="0C797B23"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Heard of thyroid disorders in pregnancy</w:t>
            </w:r>
          </w:p>
        </w:tc>
        <w:tc>
          <w:tcPr>
            <w:tcW w:w="0" w:type="auto"/>
            <w:hideMark/>
          </w:tcPr>
          <w:p w14:paraId="1DB5C2A0"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Yes</w:t>
            </w:r>
          </w:p>
        </w:tc>
        <w:tc>
          <w:tcPr>
            <w:tcW w:w="0" w:type="auto"/>
            <w:hideMark/>
          </w:tcPr>
          <w:p w14:paraId="60F8444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170</w:t>
            </w:r>
          </w:p>
        </w:tc>
        <w:tc>
          <w:tcPr>
            <w:tcW w:w="0" w:type="auto"/>
            <w:hideMark/>
          </w:tcPr>
          <w:p w14:paraId="2F60FF1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85.0%</w:t>
            </w:r>
          </w:p>
        </w:tc>
      </w:tr>
      <w:tr w:rsidR="00806BAD" w:rsidRPr="00077581" w14:paraId="25F7A897" w14:textId="77777777" w:rsidTr="00E55E15">
        <w:tc>
          <w:tcPr>
            <w:tcW w:w="0" w:type="auto"/>
            <w:vMerge/>
            <w:hideMark/>
          </w:tcPr>
          <w:p w14:paraId="65104F4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3DBDCFC0"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w:t>
            </w:r>
          </w:p>
        </w:tc>
        <w:tc>
          <w:tcPr>
            <w:tcW w:w="0" w:type="auto"/>
            <w:hideMark/>
          </w:tcPr>
          <w:p w14:paraId="35D7CFBE"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30</w:t>
            </w:r>
          </w:p>
        </w:tc>
        <w:tc>
          <w:tcPr>
            <w:tcW w:w="0" w:type="auto"/>
            <w:hideMark/>
          </w:tcPr>
          <w:p w14:paraId="33498171"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15.0%</w:t>
            </w:r>
          </w:p>
        </w:tc>
      </w:tr>
      <w:tr w:rsidR="00806BAD" w:rsidRPr="00077581" w14:paraId="34CD61CA" w14:textId="77777777" w:rsidTr="00E55E15">
        <w:tc>
          <w:tcPr>
            <w:tcW w:w="0" w:type="auto"/>
            <w:vMerge w:val="restart"/>
            <w:hideMark/>
          </w:tcPr>
          <w:p w14:paraId="290B68D9" w14:textId="7C0C5C0B"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Untreated thyroid affects pregnancy outcomes?</w:t>
            </w:r>
          </w:p>
        </w:tc>
        <w:tc>
          <w:tcPr>
            <w:tcW w:w="0" w:type="auto"/>
            <w:hideMark/>
          </w:tcPr>
          <w:p w14:paraId="35C204F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Yes</w:t>
            </w:r>
          </w:p>
        </w:tc>
        <w:tc>
          <w:tcPr>
            <w:tcW w:w="0" w:type="auto"/>
            <w:hideMark/>
          </w:tcPr>
          <w:p w14:paraId="6F44E05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150</w:t>
            </w:r>
          </w:p>
        </w:tc>
        <w:tc>
          <w:tcPr>
            <w:tcW w:w="0" w:type="auto"/>
            <w:hideMark/>
          </w:tcPr>
          <w:p w14:paraId="405FC31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75.0%</w:t>
            </w:r>
          </w:p>
        </w:tc>
      </w:tr>
      <w:tr w:rsidR="00806BAD" w:rsidRPr="00077581" w14:paraId="48AC888E" w14:textId="77777777" w:rsidTr="00E55E15">
        <w:tc>
          <w:tcPr>
            <w:tcW w:w="0" w:type="auto"/>
            <w:vMerge/>
            <w:hideMark/>
          </w:tcPr>
          <w:p w14:paraId="462D60F1"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55ECE03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w:t>
            </w:r>
          </w:p>
        </w:tc>
        <w:tc>
          <w:tcPr>
            <w:tcW w:w="0" w:type="auto"/>
            <w:hideMark/>
          </w:tcPr>
          <w:p w14:paraId="7B6319B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30</w:t>
            </w:r>
          </w:p>
        </w:tc>
        <w:tc>
          <w:tcPr>
            <w:tcW w:w="0" w:type="auto"/>
            <w:hideMark/>
          </w:tcPr>
          <w:p w14:paraId="23DF4D7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15.0%</w:t>
            </w:r>
          </w:p>
        </w:tc>
      </w:tr>
      <w:tr w:rsidR="00806BAD" w:rsidRPr="00077581" w14:paraId="4EB6C95D" w14:textId="77777777" w:rsidTr="00E55E15">
        <w:tc>
          <w:tcPr>
            <w:tcW w:w="0" w:type="auto"/>
            <w:vMerge/>
            <w:hideMark/>
          </w:tcPr>
          <w:p w14:paraId="1DFF88C1"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6F2E0D6E"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Not sure</w:t>
            </w:r>
          </w:p>
        </w:tc>
        <w:tc>
          <w:tcPr>
            <w:tcW w:w="0" w:type="auto"/>
            <w:hideMark/>
          </w:tcPr>
          <w:p w14:paraId="54C63370"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20</w:t>
            </w:r>
          </w:p>
        </w:tc>
        <w:tc>
          <w:tcPr>
            <w:tcW w:w="0" w:type="auto"/>
            <w:hideMark/>
          </w:tcPr>
          <w:p w14:paraId="52B040E7"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10.0%</w:t>
            </w:r>
          </w:p>
        </w:tc>
      </w:tr>
      <w:tr w:rsidR="00806BAD" w:rsidRPr="00077581" w14:paraId="0931F6A0" w14:textId="77777777" w:rsidTr="00E55E15">
        <w:tc>
          <w:tcPr>
            <w:tcW w:w="0" w:type="auto"/>
            <w:vMerge w:val="restart"/>
            <w:hideMark/>
          </w:tcPr>
          <w:p w14:paraId="5557E0C1" w14:textId="3042A766"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Heard of hypertension during pregnancy</w:t>
            </w:r>
          </w:p>
        </w:tc>
        <w:tc>
          <w:tcPr>
            <w:tcW w:w="0" w:type="auto"/>
            <w:hideMark/>
          </w:tcPr>
          <w:p w14:paraId="27564280"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Yes</w:t>
            </w:r>
          </w:p>
        </w:tc>
        <w:tc>
          <w:tcPr>
            <w:tcW w:w="0" w:type="auto"/>
            <w:hideMark/>
          </w:tcPr>
          <w:p w14:paraId="3342020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180</w:t>
            </w:r>
          </w:p>
        </w:tc>
        <w:tc>
          <w:tcPr>
            <w:tcW w:w="0" w:type="auto"/>
            <w:hideMark/>
          </w:tcPr>
          <w:p w14:paraId="065515C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90.0%</w:t>
            </w:r>
          </w:p>
        </w:tc>
      </w:tr>
      <w:tr w:rsidR="00806BAD" w:rsidRPr="00077581" w14:paraId="5B5483D9" w14:textId="77777777" w:rsidTr="00E55E15">
        <w:tc>
          <w:tcPr>
            <w:tcW w:w="0" w:type="auto"/>
            <w:vMerge/>
            <w:hideMark/>
          </w:tcPr>
          <w:p w14:paraId="5CCEFE7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0C05DB41"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w:t>
            </w:r>
          </w:p>
        </w:tc>
        <w:tc>
          <w:tcPr>
            <w:tcW w:w="0" w:type="auto"/>
            <w:hideMark/>
          </w:tcPr>
          <w:p w14:paraId="57B8F7E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20</w:t>
            </w:r>
          </w:p>
        </w:tc>
        <w:tc>
          <w:tcPr>
            <w:tcW w:w="0" w:type="auto"/>
            <w:hideMark/>
          </w:tcPr>
          <w:p w14:paraId="6E0BF21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10.0%</w:t>
            </w:r>
          </w:p>
        </w:tc>
      </w:tr>
      <w:tr w:rsidR="00806BAD" w:rsidRPr="00077581" w14:paraId="67F7A7AD" w14:textId="77777777" w:rsidTr="00E55E15">
        <w:tc>
          <w:tcPr>
            <w:tcW w:w="0" w:type="auto"/>
            <w:vMerge w:val="restart"/>
            <w:hideMark/>
          </w:tcPr>
          <w:p w14:paraId="54530DF2" w14:textId="70A74701"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High BP causes complications during pregnancy?</w:t>
            </w:r>
          </w:p>
        </w:tc>
        <w:tc>
          <w:tcPr>
            <w:tcW w:w="0" w:type="auto"/>
            <w:hideMark/>
          </w:tcPr>
          <w:p w14:paraId="114AEF4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Yes</w:t>
            </w:r>
          </w:p>
        </w:tc>
        <w:tc>
          <w:tcPr>
            <w:tcW w:w="0" w:type="auto"/>
            <w:hideMark/>
          </w:tcPr>
          <w:p w14:paraId="02C97180"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160</w:t>
            </w:r>
          </w:p>
        </w:tc>
        <w:tc>
          <w:tcPr>
            <w:tcW w:w="0" w:type="auto"/>
            <w:hideMark/>
          </w:tcPr>
          <w:p w14:paraId="0513E9A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80.0%</w:t>
            </w:r>
          </w:p>
        </w:tc>
      </w:tr>
      <w:tr w:rsidR="00806BAD" w:rsidRPr="00077581" w14:paraId="3AE2C121" w14:textId="77777777" w:rsidTr="00E55E15">
        <w:tc>
          <w:tcPr>
            <w:tcW w:w="0" w:type="auto"/>
            <w:vMerge/>
            <w:hideMark/>
          </w:tcPr>
          <w:p w14:paraId="22E879E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4B9A145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w:t>
            </w:r>
          </w:p>
        </w:tc>
        <w:tc>
          <w:tcPr>
            <w:tcW w:w="0" w:type="auto"/>
            <w:hideMark/>
          </w:tcPr>
          <w:p w14:paraId="710C5ED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25</w:t>
            </w:r>
          </w:p>
        </w:tc>
        <w:tc>
          <w:tcPr>
            <w:tcW w:w="0" w:type="auto"/>
            <w:hideMark/>
          </w:tcPr>
          <w:p w14:paraId="029F789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12.5%</w:t>
            </w:r>
          </w:p>
        </w:tc>
      </w:tr>
      <w:tr w:rsidR="00806BAD" w:rsidRPr="00077581" w14:paraId="23D2983D" w14:textId="77777777" w:rsidTr="00E55E15">
        <w:tc>
          <w:tcPr>
            <w:tcW w:w="0" w:type="auto"/>
            <w:vMerge/>
            <w:hideMark/>
          </w:tcPr>
          <w:p w14:paraId="2817DB45"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3643AD1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Not sure</w:t>
            </w:r>
          </w:p>
        </w:tc>
        <w:tc>
          <w:tcPr>
            <w:tcW w:w="0" w:type="auto"/>
            <w:hideMark/>
          </w:tcPr>
          <w:p w14:paraId="5D54796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15</w:t>
            </w:r>
          </w:p>
        </w:tc>
        <w:tc>
          <w:tcPr>
            <w:tcW w:w="0" w:type="auto"/>
            <w:hideMark/>
          </w:tcPr>
          <w:p w14:paraId="0CC2AF7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7.5%</w:t>
            </w:r>
          </w:p>
        </w:tc>
      </w:tr>
      <w:tr w:rsidR="00806BAD" w:rsidRPr="00077581" w14:paraId="2524E614" w14:textId="77777777" w:rsidTr="00E55E15">
        <w:tc>
          <w:tcPr>
            <w:tcW w:w="0" w:type="auto"/>
            <w:vMerge w:val="restart"/>
            <w:hideMark/>
          </w:tcPr>
          <w:p w14:paraId="6127297C" w14:textId="5832209B"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lastRenderedPageBreak/>
              <w:t>Can lifestyle changes help manage thyroid/BP?</w:t>
            </w:r>
          </w:p>
        </w:tc>
        <w:tc>
          <w:tcPr>
            <w:tcW w:w="0" w:type="auto"/>
            <w:hideMark/>
          </w:tcPr>
          <w:p w14:paraId="366F6545"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Yes</w:t>
            </w:r>
          </w:p>
        </w:tc>
        <w:tc>
          <w:tcPr>
            <w:tcW w:w="0" w:type="auto"/>
            <w:hideMark/>
          </w:tcPr>
          <w:p w14:paraId="6A8CDF21"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165</w:t>
            </w:r>
          </w:p>
        </w:tc>
        <w:tc>
          <w:tcPr>
            <w:tcW w:w="0" w:type="auto"/>
            <w:hideMark/>
          </w:tcPr>
          <w:p w14:paraId="3958F7B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82.5%</w:t>
            </w:r>
          </w:p>
        </w:tc>
      </w:tr>
      <w:tr w:rsidR="00806BAD" w:rsidRPr="00077581" w14:paraId="53F14F48" w14:textId="77777777" w:rsidTr="00E55E15">
        <w:tc>
          <w:tcPr>
            <w:tcW w:w="0" w:type="auto"/>
            <w:vMerge/>
            <w:hideMark/>
          </w:tcPr>
          <w:p w14:paraId="139B4DA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47FDF47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w:t>
            </w:r>
          </w:p>
        </w:tc>
        <w:tc>
          <w:tcPr>
            <w:tcW w:w="0" w:type="auto"/>
            <w:hideMark/>
          </w:tcPr>
          <w:p w14:paraId="7497CD3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15</w:t>
            </w:r>
          </w:p>
        </w:tc>
        <w:tc>
          <w:tcPr>
            <w:tcW w:w="0" w:type="auto"/>
            <w:hideMark/>
          </w:tcPr>
          <w:p w14:paraId="7EA9D22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7.5%</w:t>
            </w:r>
          </w:p>
        </w:tc>
      </w:tr>
      <w:tr w:rsidR="00806BAD" w:rsidRPr="00077581" w14:paraId="0EE5AE3F" w14:textId="77777777" w:rsidTr="00E55E15">
        <w:tc>
          <w:tcPr>
            <w:tcW w:w="0" w:type="auto"/>
            <w:vMerge/>
            <w:hideMark/>
          </w:tcPr>
          <w:p w14:paraId="6B7B60E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7740B53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Not sure</w:t>
            </w:r>
          </w:p>
        </w:tc>
        <w:tc>
          <w:tcPr>
            <w:tcW w:w="0" w:type="auto"/>
            <w:hideMark/>
          </w:tcPr>
          <w:p w14:paraId="0875B7C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20</w:t>
            </w:r>
          </w:p>
        </w:tc>
        <w:tc>
          <w:tcPr>
            <w:tcW w:w="0" w:type="auto"/>
            <w:hideMark/>
          </w:tcPr>
          <w:p w14:paraId="2719412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10.0%</w:t>
            </w:r>
          </w:p>
        </w:tc>
      </w:tr>
      <w:tr w:rsidR="00806BAD" w:rsidRPr="00077581" w14:paraId="36BDBFF1" w14:textId="77777777" w:rsidTr="00E55E15">
        <w:tc>
          <w:tcPr>
            <w:tcW w:w="0" w:type="auto"/>
            <w:vMerge w:val="restart"/>
            <w:hideMark/>
          </w:tcPr>
          <w:p w14:paraId="1C5A4D07" w14:textId="6855682A"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Are thyroid/BP symptoms always visible?</w:t>
            </w:r>
          </w:p>
        </w:tc>
        <w:tc>
          <w:tcPr>
            <w:tcW w:w="0" w:type="auto"/>
            <w:hideMark/>
          </w:tcPr>
          <w:p w14:paraId="4F49CA7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Yes</w:t>
            </w:r>
          </w:p>
        </w:tc>
        <w:tc>
          <w:tcPr>
            <w:tcW w:w="0" w:type="auto"/>
            <w:hideMark/>
          </w:tcPr>
          <w:p w14:paraId="5CE9885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50</w:t>
            </w:r>
          </w:p>
        </w:tc>
        <w:tc>
          <w:tcPr>
            <w:tcW w:w="0" w:type="auto"/>
            <w:hideMark/>
          </w:tcPr>
          <w:p w14:paraId="0620E35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25.0%</w:t>
            </w:r>
          </w:p>
        </w:tc>
      </w:tr>
      <w:tr w:rsidR="00806BAD" w:rsidRPr="00077581" w14:paraId="19CE7F8A" w14:textId="77777777" w:rsidTr="00E55E15">
        <w:tc>
          <w:tcPr>
            <w:tcW w:w="0" w:type="auto"/>
            <w:vMerge/>
            <w:hideMark/>
          </w:tcPr>
          <w:p w14:paraId="287963C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53F4CFD5"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w:t>
            </w:r>
          </w:p>
        </w:tc>
        <w:tc>
          <w:tcPr>
            <w:tcW w:w="0" w:type="auto"/>
            <w:hideMark/>
          </w:tcPr>
          <w:p w14:paraId="71D60DB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130</w:t>
            </w:r>
          </w:p>
        </w:tc>
        <w:tc>
          <w:tcPr>
            <w:tcW w:w="0" w:type="auto"/>
            <w:hideMark/>
          </w:tcPr>
          <w:p w14:paraId="3BD948E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65.0%</w:t>
            </w:r>
          </w:p>
        </w:tc>
      </w:tr>
      <w:tr w:rsidR="00806BAD" w:rsidRPr="00077581" w14:paraId="3B0FF1EA" w14:textId="77777777" w:rsidTr="00E55E15">
        <w:tc>
          <w:tcPr>
            <w:tcW w:w="0" w:type="auto"/>
            <w:vMerge/>
            <w:hideMark/>
          </w:tcPr>
          <w:p w14:paraId="21FF9EC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667A5935"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Not sure</w:t>
            </w:r>
          </w:p>
        </w:tc>
        <w:tc>
          <w:tcPr>
            <w:tcW w:w="0" w:type="auto"/>
            <w:hideMark/>
          </w:tcPr>
          <w:p w14:paraId="7EBD333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20</w:t>
            </w:r>
          </w:p>
        </w:tc>
        <w:tc>
          <w:tcPr>
            <w:tcW w:w="0" w:type="auto"/>
            <w:hideMark/>
          </w:tcPr>
          <w:p w14:paraId="3B62096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10.0%</w:t>
            </w:r>
          </w:p>
        </w:tc>
      </w:tr>
      <w:tr w:rsidR="00806BAD" w:rsidRPr="00077581" w14:paraId="7BA5238F" w14:textId="77777777" w:rsidTr="00E55E15">
        <w:tc>
          <w:tcPr>
            <w:tcW w:w="0" w:type="auto"/>
            <w:vMerge w:val="restart"/>
            <w:hideMark/>
          </w:tcPr>
          <w:p w14:paraId="6DC05FA4" w14:textId="2A38CAC8"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Symptoms of thyroid (multi-response)</w:t>
            </w:r>
          </w:p>
        </w:tc>
        <w:tc>
          <w:tcPr>
            <w:tcW w:w="0" w:type="auto"/>
            <w:hideMark/>
          </w:tcPr>
          <w:p w14:paraId="08221B4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Fatigue</w:t>
            </w:r>
          </w:p>
        </w:tc>
        <w:tc>
          <w:tcPr>
            <w:tcW w:w="0" w:type="auto"/>
            <w:hideMark/>
          </w:tcPr>
          <w:p w14:paraId="1F7D40A5"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162</w:t>
            </w:r>
          </w:p>
        </w:tc>
        <w:tc>
          <w:tcPr>
            <w:tcW w:w="0" w:type="auto"/>
            <w:hideMark/>
          </w:tcPr>
          <w:p w14:paraId="2325C93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81.0%</w:t>
            </w:r>
          </w:p>
        </w:tc>
      </w:tr>
      <w:tr w:rsidR="00806BAD" w:rsidRPr="00077581" w14:paraId="731160FF" w14:textId="77777777" w:rsidTr="00E55E15">
        <w:tc>
          <w:tcPr>
            <w:tcW w:w="0" w:type="auto"/>
            <w:vMerge/>
            <w:hideMark/>
          </w:tcPr>
          <w:p w14:paraId="09522A5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302E71E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Weight gain</w:t>
            </w:r>
          </w:p>
        </w:tc>
        <w:tc>
          <w:tcPr>
            <w:tcW w:w="0" w:type="auto"/>
            <w:hideMark/>
          </w:tcPr>
          <w:p w14:paraId="00D50DF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153</w:t>
            </w:r>
          </w:p>
        </w:tc>
        <w:tc>
          <w:tcPr>
            <w:tcW w:w="0" w:type="auto"/>
            <w:hideMark/>
          </w:tcPr>
          <w:p w14:paraId="08850B5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76.5%</w:t>
            </w:r>
          </w:p>
        </w:tc>
      </w:tr>
      <w:tr w:rsidR="00806BAD" w:rsidRPr="00077581" w14:paraId="7D1EC2DB" w14:textId="77777777" w:rsidTr="00E55E15">
        <w:tc>
          <w:tcPr>
            <w:tcW w:w="0" w:type="auto"/>
            <w:vMerge/>
            <w:hideMark/>
          </w:tcPr>
          <w:p w14:paraId="7CC31227"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629C5FF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Cold intolerance</w:t>
            </w:r>
          </w:p>
        </w:tc>
        <w:tc>
          <w:tcPr>
            <w:tcW w:w="0" w:type="auto"/>
            <w:hideMark/>
          </w:tcPr>
          <w:p w14:paraId="241AAC6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147</w:t>
            </w:r>
          </w:p>
        </w:tc>
        <w:tc>
          <w:tcPr>
            <w:tcW w:w="0" w:type="auto"/>
            <w:hideMark/>
          </w:tcPr>
          <w:p w14:paraId="2E548FD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73.5%</w:t>
            </w:r>
          </w:p>
        </w:tc>
      </w:tr>
      <w:tr w:rsidR="00806BAD" w:rsidRPr="00077581" w14:paraId="58E47D4E" w14:textId="77777777" w:rsidTr="00E55E15">
        <w:tc>
          <w:tcPr>
            <w:tcW w:w="0" w:type="auto"/>
            <w:vMerge/>
            <w:hideMark/>
          </w:tcPr>
          <w:p w14:paraId="20263BA7"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75CB4550"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Palpitations</w:t>
            </w:r>
          </w:p>
        </w:tc>
        <w:tc>
          <w:tcPr>
            <w:tcW w:w="0" w:type="auto"/>
            <w:hideMark/>
          </w:tcPr>
          <w:p w14:paraId="122F117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138</w:t>
            </w:r>
          </w:p>
        </w:tc>
        <w:tc>
          <w:tcPr>
            <w:tcW w:w="0" w:type="auto"/>
            <w:hideMark/>
          </w:tcPr>
          <w:p w14:paraId="32BEB2F7"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69.0%</w:t>
            </w:r>
          </w:p>
        </w:tc>
      </w:tr>
      <w:tr w:rsidR="00806BAD" w:rsidRPr="00077581" w14:paraId="74FEE122" w14:textId="77777777" w:rsidTr="00E55E15">
        <w:tc>
          <w:tcPr>
            <w:tcW w:w="0" w:type="auto"/>
            <w:vMerge/>
            <w:hideMark/>
          </w:tcPr>
          <w:p w14:paraId="50A7EF6E"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55991D7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Don’t know</w:t>
            </w:r>
          </w:p>
        </w:tc>
        <w:tc>
          <w:tcPr>
            <w:tcW w:w="0" w:type="auto"/>
            <w:hideMark/>
          </w:tcPr>
          <w:p w14:paraId="6E0D05A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34</w:t>
            </w:r>
          </w:p>
        </w:tc>
        <w:tc>
          <w:tcPr>
            <w:tcW w:w="0" w:type="auto"/>
            <w:hideMark/>
          </w:tcPr>
          <w:p w14:paraId="049F795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17.0%</w:t>
            </w:r>
          </w:p>
        </w:tc>
      </w:tr>
      <w:tr w:rsidR="00806BAD" w:rsidRPr="00077581" w14:paraId="26EF6A24" w14:textId="77777777" w:rsidTr="00E55E15">
        <w:tc>
          <w:tcPr>
            <w:tcW w:w="0" w:type="auto"/>
            <w:vMerge w:val="restart"/>
            <w:hideMark/>
          </w:tcPr>
          <w:p w14:paraId="710FD015" w14:textId="175FDB2C"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Signs of high BP (multi-response)</w:t>
            </w:r>
          </w:p>
        </w:tc>
        <w:tc>
          <w:tcPr>
            <w:tcW w:w="0" w:type="auto"/>
            <w:hideMark/>
          </w:tcPr>
          <w:p w14:paraId="06AEA3D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Headache</w:t>
            </w:r>
          </w:p>
        </w:tc>
        <w:tc>
          <w:tcPr>
            <w:tcW w:w="0" w:type="auto"/>
            <w:hideMark/>
          </w:tcPr>
          <w:p w14:paraId="74D09D2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158</w:t>
            </w:r>
          </w:p>
        </w:tc>
        <w:tc>
          <w:tcPr>
            <w:tcW w:w="0" w:type="auto"/>
            <w:hideMark/>
          </w:tcPr>
          <w:p w14:paraId="022A2C3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79.0%</w:t>
            </w:r>
          </w:p>
        </w:tc>
      </w:tr>
      <w:tr w:rsidR="00806BAD" w:rsidRPr="00077581" w14:paraId="06ACC8E4" w14:textId="77777777" w:rsidTr="00E55E15">
        <w:tc>
          <w:tcPr>
            <w:tcW w:w="0" w:type="auto"/>
            <w:vMerge/>
            <w:hideMark/>
          </w:tcPr>
          <w:p w14:paraId="49C79BF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09B7BFC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Swelling</w:t>
            </w:r>
          </w:p>
        </w:tc>
        <w:tc>
          <w:tcPr>
            <w:tcW w:w="0" w:type="auto"/>
            <w:hideMark/>
          </w:tcPr>
          <w:p w14:paraId="69461095"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147</w:t>
            </w:r>
          </w:p>
        </w:tc>
        <w:tc>
          <w:tcPr>
            <w:tcW w:w="0" w:type="auto"/>
            <w:hideMark/>
          </w:tcPr>
          <w:p w14:paraId="3FF720A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73.5%</w:t>
            </w:r>
          </w:p>
        </w:tc>
      </w:tr>
      <w:tr w:rsidR="00806BAD" w:rsidRPr="00077581" w14:paraId="45B09CB8" w14:textId="77777777" w:rsidTr="00E55E15">
        <w:tc>
          <w:tcPr>
            <w:tcW w:w="0" w:type="auto"/>
            <w:vMerge/>
            <w:hideMark/>
          </w:tcPr>
          <w:p w14:paraId="2DA38FF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76D6FF5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Blurred vision</w:t>
            </w:r>
          </w:p>
        </w:tc>
        <w:tc>
          <w:tcPr>
            <w:tcW w:w="0" w:type="auto"/>
            <w:hideMark/>
          </w:tcPr>
          <w:p w14:paraId="310DF20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139</w:t>
            </w:r>
          </w:p>
        </w:tc>
        <w:tc>
          <w:tcPr>
            <w:tcW w:w="0" w:type="auto"/>
            <w:hideMark/>
          </w:tcPr>
          <w:p w14:paraId="7F0A356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69.5%</w:t>
            </w:r>
          </w:p>
        </w:tc>
      </w:tr>
      <w:tr w:rsidR="00806BAD" w:rsidRPr="00077581" w14:paraId="01BF5116" w14:textId="77777777" w:rsidTr="00E55E15">
        <w:tc>
          <w:tcPr>
            <w:tcW w:w="0" w:type="auto"/>
            <w:vMerge/>
            <w:hideMark/>
          </w:tcPr>
          <w:p w14:paraId="23791E1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7883B9EE"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Chest pain</w:t>
            </w:r>
          </w:p>
        </w:tc>
        <w:tc>
          <w:tcPr>
            <w:tcW w:w="0" w:type="auto"/>
            <w:hideMark/>
          </w:tcPr>
          <w:p w14:paraId="7080E967"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132</w:t>
            </w:r>
          </w:p>
        </w:tc>
        <w:tc>
          <w:tcPr>
            <w:tcW w:w="0" w:type="auto"/>
            <w:hideMark/>
          </w:tcPr>
          <w:p w14:paraId="1C86FDB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66.0%</w:t>
            </w:r>
          </w:p>
        </w:tc>
      </w:tr>
      <w:tr w:rsidR="00806BAD" w:rsidRPr="00077581" w14:paraId="0869CBDA" w14:textId="77777777" w:rsidTr="00E55E15">
        <w:tc>
          <w:tcPr>
            <w:tcW w:w="0" w:type="auto"/>
            <w:vMerge/>
            <w:hideMark/>
          </w:tcPr>
          <w:p w14:paraId="23966E0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5D08668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Don’t know</w:t>
            </w:r>
          </w:p>
        </w:tc>
        <w:tc>
          <w:tcPr>
            <w:tcW w:w="0" w:type="auto"/>
            <w:hideMark/>
          </w:tcPr>
          <w:p w14:paraId="265315C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36</w:t>
            </w:r>
          </w:p>
        </w:tc>
        <w:tc>
          <w:tcPr>
            <w:tcW w:w="0" w:type="auto"/>
            <w:hideMark/>
          </w:tcPr>
          <w:p w14:paraId="5C78267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18.0%</w:t>
            </w:r>
          </w:p>
        </w:tc>
      </w:tr>
    </w:tbl>
    <w:p w14:paraId="09D912D0" w14:textId="77777777" w:rsidR="00EF0802" w:rsidRDefault="00EF0802" w:rsidP="00EF0802">
      <w:pPr>
        <w:spacing w:line="360" w:lineRule="auto"/>
        <w:jc w:val="both"/>
        <w:rPr>
          <w:rFonts w:ascii="Times New Roman" w:eastAsia="Times New Roman" w:hAnsi="Times New Roman" w:cs="Times New Roman"/>
          <w:b/>
          <w:bCs/>
          <w:i/>
          <w:iCs/>
          <w:kern w:val="0"/>
          <w:lang w:eastAsia="en-IN"/>
          <w14:ligatures w14:val="none"/>
        </w:rPr>
      </w:pPr>
    </w:p>
    <w:p w14:paraId="6393297D" w14:textId="39D05EFE" w:rsidR="00D81433" w:rsidRPr="00077581" w:rsidRDefault="00D81433" w:rsidP="00EF0802">
      <w:pPr>
        <w:spacing w:line="360" w:lineRule="auto"/>
        <w:jc w:val="both"/>
        <w:rPr>
          <w:rFonts w:ascii="Times New Roman" w:eastAsia="Times New Roman" w:hAnsi="Times New Roman" w:cs="Times New Roman"/>
          <w:i/>
          <w:iCs/>
          <w:kern w:val="0"/>
          <w:lang w:eastAsia="en-IN"/>
          <w14:ligatures w14:val="none"/>
        </w:rPr>
      </w:pPr>
      <w:r w:rsidRPr="00077581">
        <w:rPr>
          <w:rFonts w:ascii="Times New Roman" w:eastAsia="Times New Roman" w:hAnsi="Times New Roman" w:cs="Times New Roman"/>
          <w:b/>
          <w:bCs/>
          <w:i/>
          <w:iCs/>
          <w:kern w:val="0"/>
          <w:lang w:eastAsia="en-IN"/>
          <w14:ligatures w14:val="none"/>
        </w:rPr>
        <w:t xml:space="preserve">Knowledge Score Categorization </w:t>
      </w:r>
    </w:p>
    <w:p w14:paraId="1FAB86EA"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To objectively measure the awareness levels of pregnant women regarding thyroid dysfunction and hypertension, a structured scoring system was applied to the knowledge section (Section B) of the questionnaire. Participants were awarded 1 point for each correct response. For questions with multiple correct options (e.g., Q16 and Q17 on symptoms), a point was awarded only if the respondent correctly identified at least two appropriate symptoms, ensuring partial guesses or uninformed responses did not artificially inflate scores. This scoring methodology maintained the integrity and reliability of the awareness measurement.</w:t>
      </w:r>
    </w:p>
    <w:p w14:paraId="12638512"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The total possible score ranged from 0 to 8, encompassing various aspects of thyroid and hypertension knowledge, including general awareness, symptom recognition, and understanding of consequences and lifestyle interventions. To facilitate analysis, the scores were categorized into three levels of knowledge:</w:t>
      </w:r>
    </w:p>
    <w:p w14:paraId="0EF4B0A6" w14:textId="77777777" w:rsidR="00D81433" w:rsidRPr="00077581" w:rsidRDefault="00D81433" w:rsidP="00EF0802">
      <w:pPr>
        <w:numPr>
          <w:ilvl w:val="0"/>
          <w:numId w:val="70"/>
        </w:num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0–3 points: Low knowledge</w:t>
      </w:r>
    </w:p>
    <w:p w14:paraId="5C29911E" w14:textId="77777777" w:rsidR="00D81433" w:rsidRPr="00077581" w:rsidRDefault="00D81433" w:rsidP="00EF0802">
      <w:pPr>
        <w:numPr>
          <w:ilvl w:val="0"/>
          <w:numId w:val="70"/>
        </w:num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lastRenderedPageBreak/>
        <w:t>4–6 points: Moderate knowledge</w:t>
      </w:r>
    </w:p>
    <w:p w14:paraId="41B10A4F" w14:textId="77777777" w:rsidR="00D81433" w:rsidRPr="00077581" w:rsidRDefault="00D81433" w:rsidP="00EF0802">
      <w:pPr>
        <w:numPr>
          <w:ilvl w:val="0"/>
          <w:numId w:val="70"/>
        </w:num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7–8 points: High knowledge</w:t>
      </w:r>
    </w:p>
    <w:p w14:paraId="3FE54D72" w14:textId="1C516A6B"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 xml:space="preserve">Table 4.4 </w:t>
      </w:r>
      <w:r w:rsidR="00477547">
        <w:rPr>
          <w:rFonts w:ascii="Times New Roman" w:eastAsia="Times New Roman" w:hAnsi="Times New Roman" w:cs="Times New Roman"/>
          <w:kern w:val="0"/>
          <w:lang w:eastAsia="en-IN"/>
          <w14:ligatures w14:val="none"/>
        </w:rPr>
        <w:t xml:space="preserve">and Figure 4.11 </w:t>
      </w:r>
      <w:r w:rsidRPr="00077581">
        <w:rPr>
          <w:rFonts w:ascii="Times New Roman" w:eastAsia="Times New Roman" w:hAnsi="Times New Roman" w:cs="Times New Roman"/>
          <w:kern w:val="0"/>
          <w:lang w:eastAsia="en-IN"/>
          <w14:ligatures w14:val="none"/>
        </w:rPr>
        <w:t>summarize the distribution of participants across these categories before and after the intervention:</w:t>
      </w:r>
    </w:p>
    <w:p w14:paraId="5AD8D299" w14:textId="77777777" w:rsidR="00D81433" w:rsidRPr="00077581" w:rsidRDefault="00D81433" w:rsidP="00EF0802">
      <w:pPr>
        <w:pStyle w:val="Heading3"/>
        <w:spacing w:before="0" w:after="160" w:line="360" w:lineRule="auto"/>
        <w:jc w:val="both"/>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Table 4.4 Knowledge Score Distribution (N = 200)</w:t>
      </w:r>
    </w:p>
    <w:tbl>
      <w:tblPr>
        <w:tblStyle w:val="TableGrid"/>
        <w:tblW w:w="0" w:type="auto"/>
        <w:tblLook w:val="04A0" w:firstRow="1" w:lastRow="0" w:firstColumn="1" w:lastColumn="0" w:noHBand="0" w:noVBand="1"/>
      </w:tblPr>
      <w:tblGrid>
        <w:gridCol w:w="1297"/>
        <w:gridCol w:w="1965"/>
        <w:gridCol w:w="1139"/>
        <w:gridCol w:w="1307"/>
        <w:gridCol w:w="1224"/>
        <w:gridCol w:w="1364"/>
      </w:tblGrid>
      <w:tr w:rsidR="00D81433" w:rsidRPr="00077581" w14:paraId="0A3512F7" w14:textId="77777777" w:rsidTr="00E55E15">
        <w:tc>
          <w:tcPr>
            <w:tcW w:w="0" w:type="auto"/>
            <w:hideMark/>
          </w:tcPr>
          <w:p w14:paraId="4B141CA9"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Score Range</w:t>
            </w:r>
          </w:p>
        </w:tc>
        <w:tc>
          <w:tcPr>
            <w:tcW w:w="0" w:type="auto"/>
            <w:hideMark/>
          </w:tcPr>
          <w:p w14:paraId="5D9C5A81"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Level of Knowledge</w:t>
            </w:r>
          </w:p>
        </w:tc>
        <w:tc>
          <w:tcPr>
            <w:tcW w:w="0" w:type="auto"/>
            <w:hideMark/>
          </w:tcPr>
          <w:p w14:paraId="52490245"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Pre-Test (f)</w:t>
            </w:r>
          </w:p>
        </w:tc>
        <w:tc>
          <w:tcPr>
            <w:tcW w:w="0" w:type="auto"/>
            <w:hideMark/>
          </w:tcPr>
          <w:p w14:paraId="55E8F120"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Pre-Test (%)</w:t>
            </w:r>
          </w:p>
        </w:tc>
        <w:tc>
          <w:tcPr>
            <w:tcW w:w="0" w:type="auto"/>
            <w:hideMark/>
          </w:tcPr>
          <w:p w14:paraId="64772D38"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Post-Test (f)</w:t>
            </w:r>
          </w:p>
        </w:tc>
        <w:tc>
          <w:tcPr>
            <w:tcW w:w="0" w:type="auto"/>
            <w:hideMark/>
          </w:tcPr>
          <w:p w14:paraId="4B0E99F4"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Post-Test (%)</w:t>
            </w:r>
          </w:p>
        </w:tc>
      </w:tr>
      <w:tr w:rsidR="00D81433" w:rsidRPr="00077581" w14:paraId="378BB781" w14:textId="77777777" w:rsidTr="00E55E15">
        <w:tc>
          <w:tcPr>
            <w:tcW w:w="0" w:type="auto"/>
            <w:hideMark/>
          </w:tcPr>
          <w:p w14:paraId="312541BB"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0–3</w:t>
            </w:r>
          </w:p>
        </w:tc>
        <w:tc>
          <w:tcPr>
            <w:tcW w:w="0" w:type="auto"/>
            <w:hideMark/>
          </w:tcPr>
          <w:p w14:paraId="7D577F0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Low knowledge</w:t>
            </w:r>
          </w:p>
        </w:tc>
        <w:tc>
          <w:tcPr>
            <w:tcW w:w="0" w:type="auto"/>
            <w:hideMark/>
          </w:tcPr>
          <w:p w14:paraId="20B0C5B9"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90</w:t>
            </w:r>
          </w:p>
        </w:tc>
        <w:tc>
          <w:tcPr>
            <w:tcW w:w="0" w:type="auto"/>
            <w:hideMark/>
          </w:tcPr>
          <w:p w14:paraId="389E1B0E"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45.0%</w:t>
            </w:r>
          </w:p>
        </w:tc>
        <w:tc>
          <w:tcPr>
            <w:tcW w:w="0" w:type="auto"/>
            <w:hideMark/>
          </w:tcPr>
          <w:p w14:paraId="2480C18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20</w:t>
            </w:r>
          </w:p>
        </w:tc>
        <w:tc>
          <w:tcPr>
            <w:tcW w:w="0" w:type="auto"/>
            <w:hideMark/>
          </w:tcPr>
          <w:p w14:paraId="7A8E136A"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10.0%</w:t>
            </w:r>
          </w:p>
        </w:tc>
      </w:tr>
      <w:tr w:rsidR="00D81433" w:rsidRPr="00077581" w14:paraId="4CC5BF05" w14:textId="77777777" w:rsidTr="00E55E15">
        <w:tc>
          <w:tcPr>
            <w:tcW w:w="0" w:type="auto"/>
            <w:hideMark/>
          </w:tcPr>
          <w:p w14:paraId="060B9C3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4–6</w:t>
            </w:r>
          </w:p>
        </w:tc>
        <w:tc>
          <w:tcPr>
            <w:tcW w:w="0" w:type="auto"/>
            <w:hideMark/>
          </w:tcPr>
          <w:p w14:paraId="0674C75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Moderate knowledge</w:t>
            </w:r>
          </w:p>
        </w:tc>
        <w:tc>
          <w:tcPr>
            <w:tcW w:w="0" w:type="auto"/>
            <w:hideMark/>
          </w:tcPr>
          <w:p w14:paraId="49103AE2"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80</w:t>
            </w:r>
          </w:p>
        </w:tc>
        <w:tc>
          <w:tcPr>
            <w:tcW w:w="0" w:type="auto"/>
            <w:hideMark/>
          </w:tcPr>
          <w:p w14:paraId="0EAFC79F"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40.0%</w:t>
            </w:r>
          </w:p>
        </w:tc>
        <w:tc>
          <w:tcPr>
            <w:tcW w:w="0" w:type="auto"/>
            <w:hideMark/>
          </w:tcPr>
          <w:p w14:paraId="0889D83C"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95</w:t>
            </w:r>
          </w:p>
        </w:tc>
        <w:tc>
          <w:tcPr>
            <w:tcW w:w="0" w:type="auto"/>
            <w:hideMark/>
          </w:tcPr>
          <w:p w14:paraId="2B39357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47.5%</w:t>
            </w:r>
          </w:p>
        </w:tc>
      </w:tr>
      <w:tr w:rsidR="00D81433" w:rsidRPr="00077581" w14:paraId="1C938463" w14:textId="77777777" w:rsidTr="00E55E15">
        <w:tc>
          <w:tcPr>
            <w:tcW w:w="0" w:type="auto"/>
            <w:hideMark/>
          </w:tcPr>
          <w:p w14:paraId="593E0F03"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7–8</w:t>
            </w:r>
          </w:p>
        </w:tc>
        <w:tc>
          <w:tcPr>
            <w:tcW w:w="0" w:type="auto"/>
            <w:hideMark/>
          </w:tcPr>
          <w:p w14:paraId="3CD2CB05"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High knowledge</w:t>
            </w:r>
          </w:p>
        </w:tc>
        <w:tc>
          <w:tcPr>
            <w:tcW w:w="0" w:type="auto"/>
            <w:hideMark/>
          </w:tcPr>
          <w:p w14:paraId="7DC34BF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30</w:t>
            </w:r>
          </w:p>
        </w:tc>
        <w:tc>
          <w:tcPr>
            <w:tcW w:w="0" w:type="auto"/>
            <w:hideMark/>
          </w:tcPr>
          <w:p w14:paraId="48472C8F"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15.0%</w:t>
            </w:r>
          </w:p>
        </w:tc>
        <w:tc>
          <w:tcPr>
            <w:tcW w:w="0" w:type="auto"/>
            <w:hideMark/>
          </w:tcPr>
          <w:p w14:paraId="6D854955"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85</w:t>
            </w:r>
          </w:p>
        </w:tc>
        <w:tc>
          <w:tcPr>
            <w:tcW w:w="0" w:type="auto"/>
            <w:hideMark/>
          </w:tcPr>
          <w:p w14:paraId="2D5B247C"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42.5%</w:t>
            </w:r>
          </w:p>
        </w:tc>
      </w:tr>
    </w:tbl>
    <w:p w14:paraId="624A8D8C" w14:textId="77777777" w:rsidR="00D81433" w:rsidRDefault="00D81433" w:rsidP="00EF0802">
      <w:pPr>
        <w:spacing w:line="360" w:lineRule="auto"/>
        <w:jc w:val="both"/>
        <w:rPr>
          <w:rFonts w:ascii="Times New Roman" w:hAnsi="Times New Roman" w:cs="Times New Roman"/>
        </w:rPr>
      </w:pPr>
    </w:p>
    <w:p w14:paraId="3A9EDA55" w14:textId="6A34310B" w:rsidR="00477547" w:rsidRPr="00477547" w:rsidRDefault="00477547" w:rsidP="00EF0802">
      <w:pPr>
        <w:spacing w:line="360" w:lineRule="auto"/>
        <w:jc w:val="center"/>
        <w:rPr>
          <w:rFonts w:ascii="Times New Roman" w:hAnsi="Times New Roman" w:cs="Times New Roman"/>
          <w:b/>
          <w:bCs/>
        </w:rPr>
      </w:pPr>
      <w:r w:rsidRPr="00477547">
        <w:rPr>
          <w:rFonts w:ascii="Times New Roman" w:hAnsi="Times New Roman" w:cs="Times New Roman"/>
          <w:b/>
          <w:bCs/>
          <w:noProof/>
        </w:rPr>
        <w:drawing>
          <wp:inline distT="0" distB="0" distL="0" distR="0" wp14:anchorId="2FC52EBD" wp14:editId="5B608ECD">
            <wp:extent cx="3785296" cy="2827020"/>
            <wp:effectExtent l="0" t="0" r="5715" b="0"/>
            <wp:docPr id="1902467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8778" cy="2829621"/>
                    </a:xfrm>
                    <a:prstGeom prst="rect">
                      <a:avLst/>
                    </a:prstGeom>
                    <a:noFill/>
                    <a:ln>
                      <a:noFill/>
                    </a:ln>
                  </pic:spPr>
                </pic:pic>
              </a:graphicData>
            </a:graphic>
          </wp:inline>
        </w:drawing>
      </w:r>
    </w:p>
    <w:p w14:paraId="4AC258C9" w14:textId="5E1C4BCB" w:rsidR="00477547" w:rsidRPr="00477547" w:rsidRDefault="00477547" w:rsidP="00EF0802">
      <w:pPr>
        <w:spacing w:line="360" w:lineRule="auto"/>
        <w:jc w:val="center"/>
        <w:rPr>
          <w:rFonts w:ascii="Times New Roman" w:hAnsi="Times New Roman" w:cs="Times New Roman"/>
          <w:b/>
          <w:bCs/>
        </w:rPr>
      </w:pPr>
      <w:r w:rsidRPr="00477547">
        <w:rPr>
          <w:rFonts w:ascii="Times New Roman" w:hAnsi="Times New Roman" w:cs="Times New Roman"/>
          <w:b/>
          <w:bCs/>
        </w:rPr>
        <w:t xml:space="preserve">Figure 4.11 Knowledge Score Distribution </w:t>
      </w:r>
    </w:p>
    <w:p w14:paraId="61252DEA" w14:textId="77777777" w:rsidR="00D81433" w:rsidRPr="00077581" w:rsidRDefault="00D81433" w:rsidP="00EF0802">
      <w:pPr>
        <w:pStyle w:val="Heading3"/>
        <w:spacing w:before="0" w:after="160" w:line="360" w:lineRule="auto"/>
        <w:jc w:val="both"/>
        <w:rPr>
          <w:rStyle w:val="Strong"/>
          <w:rFonts w:ascii="Times New Roman" w:hAnsi="Times New Roman" w:cs="Times New Roman"/>
          <w:i/>
          <w:iCs/>
          <w:color w:val="auto"/>
          <w:sz w:val="24"/>
          <w:szCs w:val="24"/>
        </w:rPr>
      </w:pPr>
      <w:bookmarkStart w:id="0" w:name="_Hlk201922711"/>
      <w:r w:rsidRPr="00077581">
        <w:rPr>
          <w:rStyle w:val="Strong"/>
          <w:rFonts w:ascii="Times New Roman" w:hAnsi="Times New Roman" w:cs="Times New Roman"/>
          <w:i/>
          <w:iCs/>
          <w:color w:val="auto"/>
          <w:sz w:val="24"/>
          <w:szCs w:val="24"/>
        </w:rPr>
        <w:t>Testing of Hypothesis 1 (H1): Paired Sample t-Test Results on Awareness Scores</w:t>
      </w:r>
    </w:p>
    <w:p w14:paraId="5782A574" w14:textId="6510815A" w:rsidR="00B56651" w:rsidRPr="003D240C" w:rsidRDefault="00D81433" w:rsidP="00EF0802">
      <w:pPr>
        <w:spacing w:line="360" w:lineRule="auto"/>
        <w:jc w:val="both"/>
        <w:rPr>
          <w:rFonts w:ascii="Times New Roman" w:hAnsi="Times New Roman" w:cs="Times New Roman"/>
        </w:rPr>
      </w:pPr>
      <w:r w:rsidRPr="00077581">
        <w:rPr>
          <w:rFonts w:ascii="Times New Roman" w:eastAsia="Times New Roman" w:hAnsi="Times New Roman" w:cs="Times New Roman"/>
          <w:kern w:val="0"/>
          <w:lang w:eastAsia="en-IN"/>
          <w14:ligatures w14:val="none"/>
        </w:rPr>
        <w:t xml:space="preserve">To assess whether the structured lifestyle modification intervention led to a significant improvement </w:t>
      </w:r>
      <w:r w:rsidRPr="00CC5373">
        <w:rPr>
          <w:rFonts w:ascii="Times New Roman" w:eastAsia="Times New Roman" w:hAnsi="Times New Roman" w:cs="Times New Roman"/>
          <w:kern w:val="0"/>
          <w:lang w:eastAsia="en-IN"/>
          <w14:ligatures w14:val="none"/>
        </w:rPr>
        <w:t>in awareness regarding thyroid dysfunction and hypertension among pregnant women, a Paired Sample t-Test was performed. This statistical technique is used to compare two related means—in this case, the pre-test and post-test awareness scores of the same participants</w:t>
      </w:r>
      <w:r w:rsidRPr="00CC5373">
        <w:rPr>
          <w:rFonts w:ascii="Times New Roman" w:hAnsi="Times New Roman" w:cs="Times New Roman"/>
        </w:rPr>
        <w:t>.</w:t>
      </w:r>
    </w:p>
    <w:p w14:paraId="68DC5266" w14:textId="77777777" w:rsidR="00D81433" w:rsidRPr="00077581" w:rsidRDefault="00D81433" w:rsidP="00EF0802">
      <w:pPr>
        <w:spacing w:line="360" w:lineRule="auto"/>
        <w:jc w:val="both"/>
        <w:rPr>
          <w:rFonts w:ascii="Times New Roman" w:hAnsi="Times New Roman" w:cs="Times New Roman"/>
          <w:b/>
          <w:bCs/>
          <w:i/>
          <w:iCs/>
        </w:rPr>
      </w:pPr>
      <w:r w:rsidRPr="00077581">
        <w:rPr>
          <w:rFonts w:ascii="Times New Roman" w:hAnsi="Times New Roman" w:cs="Times New Roman"/>
          <w:b/>
          <w:bCs/>
          <w:i/>
          <w:iCs/>
        </w:rPr>
        <w:lastRenderedPageBreak/>
        <w:t>Hypotheses</w:t>
      </w:r>
    </w:p>
    <w:p w14:paraId="67520F49" w14:textId="77777777" w:rsidR="00D81433" w:rsidRPr="00077581" w:rsidRDefault="00D81433" w:rsidP="00EF0802">
      <w:pPr>
        <w:pStyle w:val="NormalWeb"/>
        <w:spacing w:before="0" w:beforeAutospacing="0" w:after="160" w:afterAutospacing="0" w:line="360" w:lineRule="auto"/>
        <w:jc w:val="both"/>
      </w:pPr>
      <w:r w:rsidRPr="00077581">
        <w:rPr>
          <w:rStyle w:val="Strong"/>
        </w:rPr>
        <w:t xml:space="preserve">Null Hypothesis (H01): </w:t>
      </w:r>
      <w:r w:rsidRPr="00EE7C43">
        <w:rPr>
          <w:rStyle w:val="Strong"/>
          <w:b w:val="0"/>
          <w:bCs w:val="0"/>
        </w:rPr>
        <w:t>There is no significant difference in the awareness scores of pregnant women regarding the prevention and management of thyroid and hypertension before and after the intervention.</w:t>
      </w:r>
    </w:p>
    <w:p w14:paraId="52214380" w14:textId="77777777" w:rsidR="00D81433" w:rsidRPr="00077581" w:rsidRDefault="00D81433" w:rsidP="00EF0802">
      <w:pPr>
        <w:pStyle w:val="NormalWeb"/>
        <w:spacing w:before="0" w:beforeAutospacing="0" w:after="160" w:afterAutospacing="0" w:line="360" w:lineRule="auto"/>
        <w:jc w:val="both"/>
        <w:rPr>
          <w:rStyle w:val="Strong"/>
          <w:b w:val="0"/>
          <w:bCs w:val="0"/>
        </w:rPr>
      </w:pPr>
      <w:r w:rsidRPr="00077581">
        <w:rPr>
          <w:rStyle w:val="Strong"/>
        </w:rPr>
        <w:t xml:space="preserve">Alternate Hypothesis (H01): </w:t>
      </w:r>
      <w:r w:rsidRPr="00EE7C43">
        <w:rPr>
          <w:rStyle w:val="Strong"/>
          <w:b w:val="0"/>
          <w:bCs w:val="0"/>
        </w:rPr>
        <w:t>There is significant difference in the awareness scores of pregnant women regarding the prevention and management of thyroid and hypertension before and after the intervention</w:t>
      </w:r>
      <w:r w:rsidRPr="00077581">
        <w:rPr>
          <w:rStyle w:val="Strong"/>
        </w:rPr>
        <w:t>.</w:t>
      </w:r>
    </w:p>
    <w:p w14:paraId="6127797D" w14:textId="77777777" w:rsidR="00D81433" w:rsidRPr="00077581" w:rsidRDefault="00D81433" w:rsidP="00EF0802">
      <w:pPr>
        <w:pStyle w:val="NormalWeb"/>
        <w:spacing w:before="0" w:beforeAutospacing="0" w:after="160" w:afterAutospacing="0" w:line="360" w:lineRule="auto"/>
        <w:jc w:val="both"/>
      </w:pPr>
      <w:r w:rsidRPr="00077581">
        <w:t xml:space="preserve">As presented in </w:t>
      </w:r>
      <w:r w:rsidRPr="00F44607">
        <w:rPr>
          <w:rStyle w:val="Strong"/>
          <w:b w:val="0"/>
          <w:bCs w:val="0"/>
        </w:rPr>
        <w:t>Table 4.5</w:t>
      </w:r>
      <w:r w:rsidRPr="00F44607">
        <w:t>,</w:t>
      </w:r>
      <w:r w:rsidRPr="00077581">
        <w:t xml:space="preserve"> the mean awareness score in the pre-test was </w:t>
      </w:r>
      <w:r w:rsidRPr="00E05A6F">
        <w:rPr>
          <w:rStyle w:val="Strong"/>
          <w:b w:val="0"/>
          <w:bCs w:val="0"/>
        </w:rPr>
        <w:t>3.44</w:t>
      </w:r>
      <w:r w:rsidRPr="00077581">
        <w:t xml:space="preserve"> with a standard deviation of </w:t>
      </w:r>
      <w:r w:rsidRPr="00E05A6F">
        <w:rPr>
          <w:rStyle w:val="Strong"/>
          <w:b w:val="0"/>
          <w:bCs w:val="0"/>
        </w:rPr>
        <w:t>1.14</w:t>
      </w:r>
      <w:r w:rsidRPr="00E05A6F">
        <w:rPr>
          <w:b/>
          <w:bCs/>
        </w:rPr>
        <w:t>,</w:t>
      </w:r>
      <w:r w:rsidRPr="00077581">
        <w:t xml:space="preserve"> while the post-test mean score increased to </w:t>
      </w:r>
      <w:r w:rsidRPr="00E05A6F">
        <w:rPr>
          <w:rStyle w:val="Strong"/>
          <w:b w:val="0"/>
          <w:bCs w:val="0"/>
        </w:rPr>
        <w:t>6.25</w:t>
      </w:r>
      <w:r w:rsidRPr="00077581">
        <w:t xml:space="preserve">, with a standard deviation of </w:t>
      </w:r>
      <w:r w:rsidRPr="00E05A6F">
        <w:rPr>
          <w:rStyle w:val="Strong"/>
          <w:b w:val="0"/>
          <w:bCs w:val="0"/>
        </w:rPr>
        <w:t>1.04</w:t>
      </w:r>
      <w:r w:rsidRPr="00E05A6F">
        <w:rPr>
          <w:b/>
          <w:bCs/>
        </w:rPr>
        <w:t>.</w:t>
      </w:r>
      <w:r w:rsidRPr="00077581">
        <w:t xml:space="preserve"> This reflects a marked improvement in the level of awareness following the educational sessions. The consistency of scores across participants is further demonstrated by the relatively small standard error means, which were </w:t>
      </w:r>
      <w:r w:rsidRPr="00956DE2">
        <w:rPr>
          <w:rStyle w:val="Strong"/>
          <w:b w:val="0"/>
          <w:bCs w:val="0"/>
        </w:rPr>
        <w:t>0.081</w:t>
      </w:r>
      <w:r w:rsidRPr="00077581">
        <w:t xml:space="preserve"> for the pre-test and </w:t>
      </w:r>
      <w:r w:rsidRPr="00956DE2">
        <w:rPr>
          <w:rStyle w:val="Strong"/>
          <w:b w:val="0"/>
          <w:bCs w:val="0"/>
        </w:rPr>
        <w:t>0.074</w:t>
      </w:r>
      <w:r w:rsidRPr="00077581">
        <w:t xml:space="preserve"> for the post-test, indicating a reliable sample distribution.</w:t>
      </w:r>
    </w:p>
    <w:bookmarkEnd w:id="0"/>
    <w:p w14:paraId="426C9125" w14:textId="17E24153" w:rsidR="00D81433" w:rsidRPr="00077581" w:rsidRDefault="00D81433" w:rsidP="00EF0802">
      <w:pPr>
        <w:pStyle w:val="Heading3"/>
        <w:spacing w:before="0" w:after="160" w:line="360" w:lineRule="auto"/>
        <w:jc w:val="both"/>
        <w:rPr>
          <w:rFonts w:ascii="Times New Roman" w:hAnsi="Times New Roman" w:cs="Times New Roman"/>
          <w:b/>
          <w:bCs/>
          <w:color w:val="auto"/>
          <w:sz w:val="24"/>
          <w:szCs w:val="24"/>
        </w:rPr>
      </w:pPr>
      <w:r w:rsidRPr="00077581">
        <w:rPr>
          <w:rStyle w:val="Strong"/>
          <w:rFonts w:ascii="Times New Roman" w:hAnsi="Times New Roman" w:cs="Times New Roman"/>
          <w:color w:val="auto"/>
          <w:sz w:val="24"/>
          <w:szCs w:val="24"/>
        </w:rPr>
        <w:t xml:space="preserve">Table 4.5 </w:t>
      </w:r>
      <w:r w:rsidR="00B2356D" w:rsidRPr="00B2356D">
        <w:rPr>
          <w:rFonts w:ascii="Times New Roman" w:hAnsi="Times New Roman" w:cs="Times New Roman"/>
          <w:b/>
          <w:bCs/>
          <w:color w:val="auto"/>
          <w:sz w:val="24"/>
          <w:szCs w:val="24"/>
        </w:rPr>
        <w:t>Descriptive Statistics for Pre-Test and Post-Test Awareness Scores</w:t>
      </w:r>
    </w:p>
    <w:tbl>
      <w:tblPr>
        <w:tblStyle w:val="TableGrid"/>
        <w:tblW w:w="5000" w:type="pct"/>
        <w:tblLook w:val="04A0" w:firstRow="1" w:lastRow="0" w:firstColumn="1" w:lastColumn="0" w:noHBand="0" w:noVBand="1"/>
      </w:tblPr>
      <w:tblGrid>
        <w:gridCol w:w="2599"/>
        <w:gridCol w:w="954"/>
        <w:gridCol w:w="705"/>
        <w:gridCol w:w="1918"/>
        <w:gridCol w:w="2120"/>
      </w:tblGrid>
      <w:tr w:rsidR="00D81433" w:rsidRPr="00077581" w14:paraId="677596B4" w14:textId="77777777" w:rsidTr="00E55E15">
        <w:tc>
          <w:tcPr>
            <w:tcW w:w="1566" w:type="pct"/>
            <w:hideMark/>
          </w:tcPr>
          <w:p w14:paraId="5A08FF06"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Variable</w:t>
            </w:r>
          </w:p>
        </w:tc>
        <w:tc>
          <w:tcPr>
            <w:tcW w:w="575" w:type="pct"/>
            <w:hideMark/>
          </w:tcPr>
          <w:p w14:paraId="262C6711"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Mean</w:t>
            </w:r>
          </w:p>
        </w:tc>
        <w:tc>
          <w:tcPr>
            <w:tcW w:w="425" w:type="pct"/>
            <w:hideMark/>
          </w:tcPr>
          <w:p w14:paraId="107AC182"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N</w:t>
            </w:r>
          </w:p>
        </w:tc>
        <w:tc>
          <w:tcPr>
            <w:tcW w:w="1156" w:type="pct"/>
            <w:hideMark/>
          </w:tcPr>
          <w:p w14:paraId="505E52E5"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Std. Deviation</w:t>
            </w:r>
          </w:p>
        </w:tc>
        <w:tc>
          <w:tcPr>
            <w:tcW w:w="1278" w:type="pct"/>
            <w:hideMark/>
          </w:tcPr>
          <w:p w14:paraId="4D9EFDA6"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Std. Error Mean</w:t>
            </w:r>
          </w:p>
        </w:tc>
      </w:tr>
      <w:tr w:rsidR="00D81433" w:rsidRPr="00077581" w14:paraId="49A26D38" w14:textId="77777777" w:rsidTr="00E55E15">
        <w:tc>
          <w:tcPr>
            <w:tcW w:w="1566" w:type="pct"/>
            <w:hideMark/>
          </w:tcPr>
          <w:p w14:paraId="25236995"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Pre-Test Awareness</w:t>
            </w:r>
          </w:p>
        </w:tc>
        <w:tc>
          <w:tcPr>
            <w:tcW w:w="575" w:type="pct"/>
            <w:hideMark/>
          </w:tcPr>
          <w:p w14:paraId="5A964C13"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3.44</w:t>
            </w:r>
          </w:p>
        </w:tc>
        <w:tc>
          <w:tcPr>
            <w:tcW w:w="425" w:type="pct"/>
            <w:hideMark/>
          </w:tcPr>
          <w:p w14:paraId="52F151AA"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200</w:t>
            </w:r>
          </w:p>
        </w:tc>
        <w:tc>
          <w:tcPr>
            <w:tcW w:w="1156" w:type="pct"/>
            <w:hideMark/>
          </w:tcPr>
          <w:p w14:paraId="0ED6BBA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1.14</w:t>
            </w:r>
          </w:p>
        </w:tc>
        <w:tc>
          <w:tcPr>
            <w:tcW w:w="1278" w:type="pct"/>
            <w:hideMark/>
          </w:tcPr>
          <w:p w14:paraId="5EE9C7CA"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0.081</w:t>
            </w:r>
          </w:p>
        </w:tc>
      </w:tr>
      <w:tr w:rsidR="00D81433" w:rsidRPr="00077581" w14:paraId="2D250E32" w14:textId="77777777" w:rsidTr="00E55E15">
        <w:tc>
          <w:tcPr>
            <w:tcW w:w="1566" w:type="pct"/>
            <w:hideMark/>
          </w:tcPr>
          <w:p w14:paraId="7744D93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Post-Test Awareness</w:t>
            </w:r>
          </w:p>
        </w:tc>
        <w:tc>
          <w:tcPr>
            <w:tcW w:w="575" w:type="pct"/>
            <w:hideMark/>
          </w:tcPr>
          <w:p w14:paraId="274D9442"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6.25</w:t>
            </w:r>
          </w:p>
        </w:tc>
        <w:tc>
          <w:tcPr>
            <w:tcW w:w="425" w:type="pct"/>
            <w:hideMark/>
          </w:tcPr>
          <w:p w14:paraId="663D5EE6"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200</w:t>
            </w:r>
          </w:p>
        </w:tc>
        <w:tc>
          <w:tcPr>
            <w:tcW w:w="1156" w:type="pct"/>
            <w:hideMark/>
          </w:tcPr>
          <w:p w14:paraId="5B6E7CD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1.04</w:t>
            </w:r>
          </w:p>
        </w:tc>
        <w:tc>
          <w:tcPr>
            <w:tcW w:w="1278" w:type="pct"/>
            <w:hideMark/>
          </w:tcPr>
          <w:p w14:paraId="38B905EC"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0.074</w:t>
            </w:r>
          </w:p>
        </w:tc>
      </w:tr>
    </w:tbl>
    <w:p w14:paraId="019E5761" w14:textId="77777777" w:rsidR="00D81433" w:rsidRPr="00077581" w:rsidRDefault="00D81433" w:rsidP="00EF0802">
      <w:pPr>
        <w:spacing w:line="360" w:lineRule="auto"/>
        <w:rPr>
          <w:rFonts w:ascii="Times New Roman" w:hAnsi="Times New Roman" w:cs="Times New Roman"/>
        </w:rPr>
      </w:pPr>
    </w:p>
    <w:p w14:paraId="328AD518" w14:textId="77777777" w:rsidR="00D81433" w:rsidRPr="00077581" w:rsidRDefault="00D81433" w:rsidP="00EF0802">
      <w:pPr>
        <w:spacing w:line="360" w:lineRule="auto"/>
        <w:jc w:val="both"/>
        <w:rPr>
          <w:rFonts w:ascii="Times New Roman" w:hAnsi="Times New Roman" w:cs="Times New Roman"/>
        </w:rPr>
      </w:pPr>
      <w:r w:rsidRPr="00077581">
        <w:rPr>
          <w:rFonts w:ascii="Times New Roman" w:hAnsi="Times New Roman" w:cs="Times New Roman"/>
        </w:rPr>
        <w:t xml:space="preserve">To examine the relationship between the pre-test and post-test scores, a </w:t>
      </w:r>
      <w:r w:rsidRPr="007D0707">
        <w:rPr>
          <w:rStyle w:val="Strong"/>
          <w:rFonts w:ascii="Times New Roman" w:hAnsi="Times New Roman" w:cs="Times New Roman"/>
          <w:b w:val="0"/>
          <w:bCs w:val="0"/>
        </w:rPr>
        <w:t>paired samples correlation</w:t>
      </w:r>
      <w:r w:rsidRPr="00077581">
        <w:rPr>
          <w:rFonts w:ascii="Times New Roman" w:hAnsi="Times New Roman" w:cs="Times New Roman"/>
        </w:rPr>
        <w:t xml:space="preserve"> was calculated and is reported in </w:t>
      </w:r>
      <w:r w:rsidRPr="007D0707">
        <w:rPr>
          <w:rStyle w:val="Strong"/>
          <w:rFonts w:ascii="Times New Roman" w:hAnsi="Times New Roman" w:cs="Times New Roman"/>
          <w:b w:val="0"/>
          <w:bCs w:val="0"/>
        </w:rPr>
        <w:t>Table 4.6</w:t>
      </w:r>
      <w:r w:rsidRPr="00077581">
        <w:rPr>
          <w:rFonts w:ascii="Times New Roman" w:hAnsi="Times New Roman" w:cs="Times New Roman"/>
        </w:rPr>
        <w:t xml:space="preserve">. The correlation coefficient was found to be </w:t>
      </w:r>
      <w:r w:rsidRPr="007D0707">
        <w:rPr>
          <w:rStyle w:val="Strong"/>
          <w:rFonts w:ascii="Times New Roman" w:hAnsi="Times New Roman" w:cs="Times New Roman"/>
          <w:b w:val="0"/>
          <w:bCs w:val="0"/>
        </w:rPr>
        <w:t>0.72</w:t>
      </w:r>
      <w:r w:rsidRPr="007D0707">
        <w:rPr>
          <w:rFonts w:ascii="Times New Roman" w:hAnsi="Times New Roman" w:cs="Times New Roman"/>
        </w:rPr>
        <w:t>,</w:t>
      </w:r>
      <w:r w:rsidRPr="00077581">
        <w:rPr>
          <w:rFonts w:ascii="Times New Roman" w:hAnsi="Times New Roman" w:cs="Times New Roman"/>
        </w:rPr>
        <w:t xml:space="preserve"> with a significance value (p-value) of </w:t>
      </w:r>
      <w:r w:rsidRPr="007D0707">
        <w:rPr>
          <w:rStyle w:val="Strong"/>
          <w:rFonts w:ascii="Times New Roman" w:hAnsi="Times New Roman" w:cs="Times New Roman"/>
          <w:b w:val="0"/>
          <w:bCs w:val="0"/>
        </w:rPr>
        <w:t>0.000</w:t>
      </w:r>
      <w:r w:rsidRPr="00077581">
        <w:rPr>
          <w:rFonts w:ascii="Times New Roman" w:hAnsi="Times New Roman" w:cs="Times New Roman"/>
        </w:rPr>
        <w:t>. This strong positive correlation suggests that participants' awareness levels were consistently related across both measurements, and the statistical significance confirms that this association is unlikely due to chance.</w:t>
      </w:r>
    </w:p>
    <w:p w14:paraId="131DBDAF" w14:textId="6D188026" w:rsidR="00D81433" w:rsidRPr="00077581" w:rsidRDefault="00D81433" w:rsidP="00EF0802">
      <w:pPr>
        <w:pStyle w:val="Heading4"/>
        <w:spacing w:before="0" w:after="160" w:line="360" w:lineRule="auto"/>
        <w:jc w:val="both"/>
        <w:rPr>
          <w:rFonts w:ascii="Times New Roman" w:hAnsi="Times New Roman" w:cs="Times New Roman"/>
          <w:b/>
          <w:bCs/>
          <w:i w:val="0"/>
          <w:iCs w:val="0"/>
          <w:color w:val="auto"/>
        </w:rPr>
      </w:pPr>
      <w:r w:rsidRPr="00077581">
        <w:rPr>
          <w:rFonts w:ascii="Times New Roman" w:hAnsi="Times New Roman" w:cs="Times New Roman"/>
          <w:b/>
          <w:bCs/>
          <w:i w:val="0"/>
          <w:iCs w:val="0"/>
          <w:color w:val="auto"/>
        </w:rPr>
        <w:t xml:space="preserve">Table 4.6 </w:t>
      </w:r>
      <w:r w:rsidR="00B2356D" w:rsidRPr="00B2356D">
        <w:rPr>
          <w:rFonts w:ascii="Times New Roman" w:hAnsi="Times New Roman" w:cs="Times New Roman"/>
          <w:b/>
          <w:bCs/>
          <w:i w:val="0"/>
          <w:iCs w:val="0"/>
          <w:color w:val="auto"/>
        </w:rPr>
        <w:t>Correlation Between Pre-Test and Post-Test Awareness Scores</w:t>
      </w:r>
    </w:p>
    <w:tbl>
      <w:tblPr>
        <w:tblStyle w:val="TableGrid"/>
        <w:tblW w:w="5000" w:type="pct"/>
        <w:tblLook w:val="04A0" w:firstRow="1" w:lastRow="0" w:firstColumn="1" w:lastColumn="0" w:noHBand="0" w:noVBand="1"/>
      </w:tblPr>
      <w:tblGrid>
        <w:gridCol w:w="1300"/>
        <w:gridCol w:w="3641"/>
        <w:gridCol w:w="3355"/>
      </w:tblGrid>
      <w:tr w:rsidR="00D81433" w:rsidRPr="00077581" w14:paraId="07FD4EA2" w14:textId="77777777" w:rsidTr="00E55E15">
        <w:tc>
          <w:tcPr>
            <w:tcW w:w="783" w:type="pct"/>
            <w:hideMark/>
          </w:tcPr>
          <w:p w14:paraId="770297E2"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N</w:t>
            </w:r>
          </w:p>
        </w:tc>
        <w:tc>
          <w:tcPr>
            <w:tcW w:w="2194" w:type="pct"/>
            <w:hideMark/>
          </w:tcPr>
          <w:p w14:paraId="3989AF3A"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Correlation</w:t>
            </w:r>
          </w:p>
        </w:tc>
        <w:tc>
          <w:tcPr>
            <w:tcW w:w="2022" w:type="pct"/>
            <w:hideMark/>
          </w:tcPr>
          <w:p w14:paraId="72141883"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Sig. (2-tailed)</w:t>
            </w:r>
          </w:p>
        </w:tc>
      </w:tr>
      <w:tr w:rsidR="00D81433" w:rsidRPr="00077581" w14:paraId="672690ED" w14:textId="77777777" w:rsidTr="00E55E15">
        <w:tc>
          <w:tcPr>
            <w:tcW w:w="783" w:type="pct"/>
            <w:hideMark/>
          </w:tcPr>
          <w:p w14:paraId="1BBE45D7"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200</w:t>
            </w:r>
          </w:p>
        </w:tc>
        <w:tc>
          <w:tcPr>
            <w:tcW w:w="2194" w:type="pct"/>
            <w:hideMark/>
          </w:tcPr>
          <w:p w14:paraId="6D8A0A4A" w14:textId="3F15380A"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0.72</w:t>
            </w:r>
          </w:p>
        </w:tc>
        <w:tc>
          <w:tcPr>
            <w:tcW w:w="2022" w:type="pct"/>
            <w:hideMark/>
          </w:tcPr>
          <w:p w14:paraId="63B9BA22"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0.000</w:t>
            </w:r>
          </w:p>
        </w:tc>
      </w:tr>
    </w:tbl>
    <w:p w14:paraId="4D92C77D" w14:textId="77777777" w:rsidR="00D81433" w:rsidRPr="00077581" w:rsidRDefault="00D81433" w:rsidP="00EF0802">
      <w:pPr>
        <w:spacing w:line="360" w:lineRule="auto"/>
        <w:rPr>
          <w:rFonts w:ascii="Times New Roman" w:hAnsi="Times New Roman" w:cs="Times New Roman"/>
        </w:rPr>
      </w:pPr>
    </w:p>
    <w:p w14:paraId="12FBD5C3" w14:textId="77777777" w:rsidR="00D81433" w:rsidRPr="00F47ADF" w:rsidRDefault="00D81433" w:rsidP="00EF0802">
      <w:pPr>
        <w:spacing w:line="360" w:lineRule="auto"/>
        <w:jc w:val="both"/>
        <w:rPr>
          <w:rFonts w:ascii="Times New Roman" w:hAnsi="Times New Roman" w:cs="Times New Roman"/>
          <w:b/>
          <w:bCs/>
        </w:rPr>
      </w:pPr>
      <w:r w:rsidRPr="00F47ADF">
        <w:rPr>
          <w:rFonts w:ascii="Times New Roman" w:hAnsi="Times New Roman" w:cs="Times New Roman"/>
        </w:rPr>
        <w:lastRenderedPageBreak/>
        <w:t>The main results of the paired sample t-test are summarized in</w:t>
      </w:r>
      <w:r w:rsidRPr="00F47ADF">
        <w:rPr>
          <w:rFonts w:ascii="Times New Roman" w:hAnsi="Times New Roman" w:cs="Times New Roman"/>
          <w:b/>
          <w:bCs/>
        </w:rPr>
        <w:t xml:space="preserve"> </w:t>
      </w:r>
      <w:r w:rsidRPr="00F47ADF">
        <w:rPr>
          <w:rStyle w:val="Strong"/>
          <w:rFonts w:ascii="Times New Roman" w:hAnsi="Times New Roman" w:cs="Times New Roman"/>
          <w:b w:val="0"/>
          <w:bCs w:val="0"/>
        </w:rPr>
        <w:t>Table 4.7</w:t>
      </w:r>
      <w:r w:rsidRPr="001E6A49">
        <w:rPr>
          <w:rFonts w:ascii="Times New Roman" w:hAnsi="Times New Roman" w:cs="Times New Roman"/>
        </w:rPr>
        <w:t>.</w:t>
      </w:r>
      <w:r w:rsidRPr="00F47ADF">
        <w:rPr>
          <w:rFonts w:ascii="Times New Roman" w:hAnsi="Times New Roman" w:cs="Times New Roman"/>
          <w:b/>
          <w:bCs/>
        </w:rPr>
        <w:t xml:space="preserve"> </w:t>
      </w:r>
      <w:r w:rsidRPr="00F47ADF">
        <w:rPr>
          <w:rFonts w:ascii="Times New Roman" w:hAnsi="Times New Roman" w:cs="Times New Roman"/>
        </w:rPr>
        <w:t>The analysis revealed a</w:t>
      </w:r>
      <w:r w:rsidRPr="00F47ADF">
        <w:rPr>
          <w:rFonts w:ascii="Times New Roman" w:hAnsi="Times New Roman" w:cs="Times New Roman"/>
          <w:b/>
          <w:bCs/>
        </w:rPr>
        <w:t xml:space="preserve"> </w:t>
      </w:r>
      <w:r w:rsidRPr="00F47ADF">
        <w:rPr>
          <w:rStyle w:val="Strong"/>
          <w:rFonts w:ascii="Times New Roman" w:hAnsi="Times New Roman" w:cs="Times New Roman"/>
          <w:b w:val="0"/>
          <w:bCs w:val="0"/>
        </w:rPr>
        <w:t>mean difference of 2.81 points</w:t>
      </w:r>
      <w:r w:rsidRPr="00F47ADF">
        <w:rPr>
          <w:rFonts w:ascii="Times New Roman" w:hAnsi="Times New Roman" w:cs="Times New Roman"/>
          <w:b/>
          <w:bCs/>
        </w:rPr>
        <w:t xml:space="preserve"> </w:t>
      </w:r>
      <w:r w:rsidRPr="00F47ADF">
        <w:rPr>
          <w:rFonts w:ascii="Times New Roman" w:hAnsi="Times New Roman" w:cs="Times New Roman"/>
        </w:rPr>
        <w:t>between post-test and pre-test scores, with a standard deviation of</w:t>
      </w:r>
      <w:r w:rsidRPr="00F47ADF">
        <w:rPr>
          <w:rFonts w:ascii="Times New Roman" w:hAnsi="Times New Roman" w:cs="Times New Roman"/>
          <w:b/>
          <w:bCs/>
        </w:rPr>
        <w:t xml:space="preserve"> </w:t>
      </w:r>
      <w:r w:rsidRPr="00F47ADF">
        <w:rPr>
          <w:rStyle w:val="Strong"/>
          <w:rFonts w:ascii="Times New Roman" w:hAnsi="Times New Roman" w:cs="Times New Roman"/>
          <w:b w:val="0"/>
          <w:bCs w:val="0"/>
        </w:rPr>
        <w:t>1.05</w:t>
      </w:r>
      <w:r w:rsidRPr="00F47ADF">
        <w:rPr>
          <w:rFonts w:ascii="Times New Roman" w:hAnsi="Times New Roman" w:cs="Times New Roman"/>
          <w:b/>
          <w:bCs/>
        </w:rPr>
        <w:t xml:space="preserve"> </w:t>
      </w:r>
      <w:r w:rsidRPr="00F47ADF">
        <w:rPr>
          <w:rFonts w:ascii="Times New Roman" w:hAnsi="Times New Roman" w:cs="Times New Roman"/>
        </w:rPr>
        <w:t>and a standard error of</w:t>
      </w:r>
      <w:r w:rsidRPr="00F47ADF">
        <w:rPr>
          <w:rFonts w:ascii="Times New Roman" w:hAnsi="Times New Roman" w:cs="Times New Roman"/>
          <w:b/>
          <w:bCs/>
        </w:rPr>
        <w:t xml:space="preserve"> </w:t>
      </w:r>
      <w:r w:rsidRPr="00F47ADF">
        <w:rPr>
          <w:rStyle w:val="Strong"/>
          <w:rFonts w:ascii="Times New Roman" w:hAnsi="Times New Roman" w:cs="Times New Roman"/>
          <w:b w:val="0"/>
          <w:bCs w:val="0"/>
        </w:rPr>
        <w:t>0.10</w:t>
      </w:r>
      <w:r w:rsidRPr="00F47ADF">
        <w:rPr>
          <w:rFonts w:ascii="Times New Roman" w:hAnsi="Times New Roman" w:cs="Times New Roman"/>
        </w:rPr>
        <w:t>.</w:t>
      </w:r>
      <w:r w:rsidRPr="00F47ADF">
        <w:rPr>
          <w:rFonts w:ascii="Times New Roman" w:hAnsi="Times New Roman" w:cs="Times New Roman"/>
          <w:b/>
          <w:bCs/>
        </w:rPr>
        <w:t xml:space="preserve"> </w:t>
      </w:r>
      <w:r w:rsidRPr="00F47ADF">
        <w:rPr>
          <w:rFonts w:ascii="Times New Roman" w:hAnsi="Times New Roman" w:cs="Times New Roman"/>
        </w:rPr>
        <w:t>The</w:t>
      </w:r>
      <w:r w:rsidRPr="00F47ADF">
        <w:rPr>
          <w:rFonts w:ascii="Times New Roman" w:hAnsi="Times New Roman" w:cs="Times New Roman"/>
          <w:b/>
          <w:bCs/>
        </w:rPr>
        <w:t xml:space="preserve"> </w:t>
      </w:r>
      <w:r w:rsidRPr="00F47ADF">
        <w:rPr>
          <w:rStyle w:val="Strong"/>
          <w:rFonts w:ascii="Times New Roman" w:hAnsi="Times New Roman" w:cs="Times New Roman"/>
          <w:b w:val="0"/>
          <w:bCs w:val="0"/>
        </w:rPr>
        <w:t>t-value was 26.77</w:t>
      </w:r>
      <w:r w:rsidRPr="00F47ADF">
        <w:rPr>
          <w:rFonts w:ascii="Times New Roman" w:hAnsi="Times New Roman" w:cs="Times New Roman"/>
          <w:b/>
          <w:bCs/>
        </w:rPr>
        <w:t xml:space="preserve"> </w:t>
      </w:r>
      <w:r w:rsidRPr="00F47ADF">
        <w:rPr>
          <w:rFonts w:ascii="Times New Roman" w:hAnsi="Times New Roman" w:cs="Times New Roman"/>
        </w:rPr>
        <w:t>with</w:t>
      </w:r>
      <w:r w:rsidRPr="00F47ADF">
        <w:rPr>
          <w:rFonts w:ascii="Times New Roman" w:hAnsi="Times New Roman" w:cs="Times New Roman"/>
          <w:b/>
          <w:bCs/>
        </w:rPr>
        <w:t xml:space="preserve"> </w:t>
      </w:r>
      <w:r w:rsidRPr="00F47ADF">
        <w:rPr>
          <w:rStyle w:val="Strong"/>
          <w:rFonts w:ascii="Times New Roman" w:hAnsi="Times New Roman" w:cs="Times New Roman"/>
          <w:b w:val="0"/>
          <w:bCs w:val="0"/>
        </w:rPr>
        <w:t>199 degrees of freedom</w:t>
      </w:r>
      <w:r w:rsidRPr="00F47ADF">
        <w:rPr>
          <w:rFonts w:ascii="Times New Roman" w:hAnsi="Times New Roman" w:cs="Times New Roman"/>
        </w:rPr>
        <w:t>, and the</w:t>
      </w:r>
      <w:r w:rsidRPr="00F47ADF">
        <w:rPr>
          <w:rFonts w:ascii="Times New Roman" w:hAnsi="Times New Roman" w:cs="Times New Roman"/>
          <w:b/>
          <w:bCs/>
        </w:rPr>
        <w:t xml:space="preserve"> </w:t>
      </w:r>
      <w:r w:rsidRPr="00F47ADF">
        <w:rPr>
          <w:rStyle w:val="Strong"/>
          <w:rFonts w:ascii="Times New Roman" w:hAnsi="Times New Roman" w:cs="Times New Roman"/>
          <w:b w:val="0"/>
          <w:bCs w:val="0"/>
        </w:rPr>
        <w:t>p-value was less than 0.001</w:t>
      </w:r>
      <w:r w:rsidRPr="00F47ADF">
        <w:rPr>
          <w:rFonts w:ascii="Times New Roman" w:hAnsi="Times New Roman" w:cs="Times New Roman"/>
        </w:rPr>
        <w:t>. Additionally, the</w:t>
      </w:r>
      <w:r w:rsidRPr="00F47ADF">
        <w:rPr>
          <w:rFonts w:ascii="Times New Roman" w:hAnsi="Times New Roman" w:cs="Times New Roman"/>
          <w:b/>
          <w:bCs/>
        </w:rPr>
        <w:t xml:space="preserve"> </w:t>
      </w:r>
      <w:r w:rsidRPr="00F47ADF">
        <w:rPr>
          <w:rStyle w:val="Strong"/>
          <w:rFonts w:ascii="Times New Roman" w:hAnsi="Times New Roman" w:cs="Times New Roman"/>
          <w:b w:val="0"/>
          <w:bCs w:val="0"/>
        </w:rPr>
        <w:t>95% confidence interval</w:t>
      </w:r>
      <w:r w:rsidRPr="00F47ADF">
        <w:rPr>
          <w:rFonts w:ascii="Times New Roman" w:hAnsi="Times New Roman" w:cs="Times New Roman"/>
          <w:b/>
          <w:bCs/>
        </w:rPr>
        <w:t xml:space="preserve"> </w:t>
      </w:r>
      <w:r w:rsidRPr="00F47ADF">
        <w:rPr>
          <w:rFonts w:ascii="Times New Roman" w:hAnsi="Times New Roman" w:cs="Times New Roman"/>
        </w:rPr>
        <w:t>for the mean difference ranged from</w:t>
      </w:r>
      <w:r w:rsidRPr="00F47ADF">
        <w:rPr>
          <w:rFonts w:ascii="Times New Roman" w:hAnsi="Times New Roman" w:cs="Times New Roman"/>
          <w:b/>
          <w:bCs/>
        </w:rPr>
        <w:t xml:space="preserve"> </w:t>
      </w:r>
      <w:r w:rsidRPr="00F47ADF">
        <w:rPr>
          <w:rStyle w:val="Strong"/>
          <w:rFonts w:ascii="Times New Roman" w:hAnsi="Times New Roman" w:cs="Times New Roman"/>
          <w:b w:val="0"/>
          <w:bCs w:val="0"/>
        </w:rPr>
        <w:t>2.61 to 3.01</w:t>
      </w:r>
      <w:r w:rsidRPr="00F47ADF">
        <w:rPr>
          <w:rFonts w:ascii="Times New Roman" w:hAnsi="Times New Roman" w:cs="Times New Roman"/>
        </w:rPr>
        <w:t>, providing further evidence that the intervention had a statistically significant and meaningful impact on the participants’ knowledge levels.</w:t>
      </w:r>
    </w:p>
    <w:p w14:paraId="62445B07" w14:textId="6F3BC8FD" w:rsidR="00D81433" w:rsidRPr="00077581" w:rsidRDefault="00D81433" w:rsidP="00EF0802">
      <w:pPr>
        <w:pStyle w:val="Heading4"/>
        <w:spacing w:before="0" w:after="160" w:line="360" w:lineRule="auto"/>
        <w:jc w:val="both"/>
        <w:rPr>
          <w:rFonts w:ascii="Times New Roman" w:hAnsi="Times New Roman" w:cs="Times New Roman"/>
          <w:b/>
          <w:bCs/>
          <w:i w:val="0"/>
          <w:iCs w:val="0"/>
          <w:color w:val="auto"/>
        </w:rPr>
      </w:pPr>
      <w:r w:rsidRPr="00077581">
        <w:rPr>
          <w:rFonts w:ascii="Times New Roman" w:hAnsi="Times New Roman" w:cs="Times New Roman"/>
          <w:b/>
          <w:bCs/>
          <w:i w:val="0"/>
          <w:iCs w:val="0"/>
          <w:color w:val="auto"/>
        </w:rPr>
        <w:t xml:space="preserve">Table 4.7 </w:t>
      </w:r>
      <w:r w:rsidR="007A184E" w:rsidRPr="007A184E">
        <w:rPr>
          <w:rFonts w:ascii="Times New Roman" w:hAnsi="Times New Roman" w:cs="Times New Roman"/>
          <w:b/>
          <w:bCs/>
          <w:i w:val="0"/>
          <w:iCs w:val="0"/>
          <w:color w:val="auto"/>
        </w:rPr>
        <w:t>Paired Samples T-Test Results for Pre-Test and Post-Test Awareness Scores</w:t>
      </w:r>
    </w:p>
    <w:tbl>
      <w:tblPr>
        <w:tblStyle w:val="TableGrid"/>
        <w:tblW w:w="5000" w:type="pct"/>
        <w:tblLook w:val="04A0" w:firstRow="1" w:lastRow="0" w:firstColumn="1" w:lastColumn="0" w:noHBand="0" w:noVBand="1"/>
      </w:tblPr>
      <w:tblGrid>
        <w:gridCol w:w="1371"/>
        <w:gridCol w:w="803"/>
        <w:gridCol w:w="1203"/>
        <w:gridCol w:w="807"/>
        <w:gridCol w:w="883"/>
        <w:gridCol w:w="870"/>
        <w:gridCol w:w="756"/>
        <w:gridCol w:w="576"/>
        <w:gridCol w:w="1027"/>
      </w:tblGrid>
      <w:tr w:rsidR="00D81433" w:rsidRPr="00077581" w14:paraId="7683BA9B" w14:textId="77777777" w:rsidTr="007A184E">
        <w:tc>
          <w:tcPr>
            <w:tcW w:w="735" w:type="pct"/>
            <w:hideMark/>
          </w:tcPr>
          <w:p w14:paraId="7364F66E"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Paired Differences</w:t>
            </w:r>
          </w:p>
        </w:tc>
        <w:tc>
          <w:tcPr>
            <w:tcW w:w="411" w:type="pct"/>
            <w:hideMark/>
          </w:tcPr>
          <w:p w14:paraId="034EC078"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Mean</w:t>
            </w:r>
          </w:p>
        </w:tc>
        <w:tc>
          <w:tcPr>
            <w:tcW w:w="615" w:type="pct"/>
            <w:hideMark/>
          </w:tcPr>
          <w:p w14:paraId="7F3A5B49"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Std. Deviation</w:t>
            </w:r>
          </w:p>
        </w:tc>
        <w:tc>
          <w:tcPr>
            <w:tcW w:w="521" w:type="pct"/>
            <w:hideMark/>
          </w:tcPr>
          <w:p w14:paraId="7CCCF95A"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Std. Error Mean</w:t>
            </w:r>
          </w:p>
        </w:tc>
        <w:tc>
          <w:tcPr>
            <w:tcW w:w="504" w:type="pct"/>
            <w:hideMark/>
          </w:tcPr>
          <w:p w14:paraId="5E86EFF3"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95% CI Lower</w:t>
            </w:r>
          </w:p>
        </w:tc>
        <w:tc>
          <w:tcPr>
            <w:tcW w:w="655" w:type="pct"/>
            <w:hideMark/>
          </w:tcPr>
          <w:p w14:paraId="79B019A9"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95% CI Upper</w:t>
            </w:r>
          </w:p>
        </w:tc>
        <w:tc>
          <w:tcPr>
            <w:tcW w:w="387" w:type="pct"/>
            <w:hideMark/>
          </w:tcPr>
          <w:p w14:paraId="73D5672C"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t</w:t>
            </w:r>
          </w:p>
        </w:tc>
        <w:tc>
          <w:tcPr>
            <w:tcW w:w="322" w:type="pct"/>
            <w:hideMark/>
          </w:tcPr>
          <w:p w14:paraId="5CE3E9B6" w14:textId="77777777" w:rsidR="00D81433" w:rsidRPr="00077581" w:rsidRDefault="00D81433" w:rsidP="00EF0802">
            <w:pPr>
              <w:spacing w:line="360" w:lineRule="auto"/>
              <w:rPr>
                <w:rFonts w:ascii="Times New Roman" w:hAnsi="Times New Roman" w:cs="Times New Roman"/>
                <w:b/>
                <w:bCs/>
              </w:rPr>
            </w:pPr>
            <w:proofErr w:type="spellStart"/>
            <w:r w:rsidRPr="00077581">
              <w:rPr>
                <w:rStyle w:val="Strong"/>
                <w:rFonts w:ascii="Times New Roman" w:hAnsi="Times New Roman" w:cs="Times New Roman"/>
              </w:rPr>
              <w:t>df</w:t>
            </w:r>
            <w:proofErr w:type="spellEnd"/>
          </w:p>
        </w:tc>
        <w:tc>
          <w:tcPr>
            <w:tcW w:w="851" w:type="pct"/>
            <w:hideMark/>
          </w:tcPr>
          <w:p w14:paraId="2E89C628"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Sig. (2-tailed)</w:t>
            </w:r>
          </w:p>
        </w:tc>
      </w:tr>
      <w:tr w:rsidR="00D81433" w:rsidRPr="00077581" w14:paraId="508F74D6" w14:textId="77777777" w:rsidTr="007A184E">
        <w:tc>
          <w:tcPr>
            <w:tcW w:w="735" w:type="pct"/>
            <w:hideMark/>
          </w:tcPr>
          <w:p w14:paraId="369AB07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Post – Pre</w:t>
            </w:r>
          </w:p>
        </w:tc>
        <w:tc>
          <w:tcPr>
            <w:tcW w:w="411" w:type="pct"/>
            <w:hideMark/>
          </w:tcPr>
          <w:p w14:paraId="67717FB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2.81</w:t>
            </w:r>
          </w:p>
        </w:tc>
        <w:tc>
          <w:tcPr>
            <w:tcW w:w="615" w:type="pct"/>
            <w:hideMark/>
          </w:tcPr>
          <w:p w14:paraId="083D037F"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1.05</w:t>
            </w:r>
          </w:p>
        </w:tc>
        <w:tc>
          <w:tcPr>
            <w:tcW w:w="521" w:type="pct"/>
            <w:hideMark/>
          </w:tcPr>
          <w:p w14:paraId="27BBD037"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0.10</w:t>
            </w:r>
          </w:p>
        </w:tc>
        <w:tc>
          <w:tcPr>
            <w:tcW w:w="504" w:type="pct"/>
            <w:hideMark/>
          </w:tcPr>
          <w:p w14:paraId="6B2FA6D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2.61</w:t>
            </w:r>
          </w:p>
        </w:tc>
        <w:tc>
          <w:tcPr>
            <w:tcW w:w="655" w:type="pct"/>
            <w:hideMark/>
          </w:tcPr>
          <w:p w14:paraId="1E2096A5"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3.01</w:t>
            </w:r>
          </w:p>
        </w:tc>
        <w:tc>
          <w:tcPr>
            <w:tcW w:w="387" w:type="pct"/>
            <w:hideMark/>
          </w:tcPr>
          <w:p w14:paraId="633FFA4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26.77</w:t>
            </w:r>
          </w:p>
        </w:tc>
        <w:tc>
          <w:tcPr>
            <w:tcW w:w="322" w:type="pct"/>
            <w:hideMark/>
          </w:tcPr>
          <w:p w14:paraId="28705FF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199</w:t>
            </w:r>
          </w:p>
        </w:tc>
        <w:tc>
          <w:tcPr>
            <w:tcW w:w="851" w:type="pct"/>
            <w:hideMark/>
          </w:tcPr>
          <w:p w14:paraId="7A1D493C"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0.000</w:t>
            </w:r>
          </w:p>
        </w:tc>
      </w:tr>
    </w:tbl>
    <w:p w14:paraId="4B8EF4BC" w14:textId="77777777" w:rsidR="00CC5373" w:rsidRDefault="00CC5373" w:rsidP="00EF0802">
      <w:pPr>
        <w:spacing w:line="360" w:lineRule="auto"/>
        <w:jc w:val="both"/>
        <w:rPr>
          <w:rFonts w:ascii="Times New Roman" w:hAnsi="Times New Roman" w:cs="Times New Roman"/>
        </w:rPr>
      </w:pPr>
    </w:p>
    <w:p w14:paraId="5D42FA47" w14:textId="7C5D5DF2" w:rsidR="00D81433" w:rsidRPr="00077581" w:rsidRDefault="00D81433" w:rsidP="00EF0802">
      <w:pPr>
        <w:spacing w:line="360" w:lineRule="auto"/>
        <w:jc w:val="both"/>
        <w:rPr>
          <w:rFonts w:ascii="Times New Roman" w:hAnsi="Times New Roman" w:cs="Times New Roman"/>
        </w:rPr>
      </w:pPr>
      <w:r w:rsidRPr="00077581">
        <w:rPr>
          <w:rFonts w:ascii="Times New Roman" w:hAnsi="Times New Roman" w:cs="Times New Roman"/>
        </w:rPr>
        <w:t>In conclusion, the data clearly demonstrate that the lifestyle modification intervention significantly improved awareness among pregnant women about thyroid dysfunction and hypertension</w:t>
      </w:r>
      <w:r w:rsidR="00CC5373">
        <w:rPr>
          <w:rFonts w:ascii="Times New Roman" w:hAnsi="Times New Roman" w:cs="Times New Roman"/>
        </w:rPr>
        <w:t xml:space="preserve"> </w:t>
      </w:r>
      <w:r w:rsidR="00CC5373">
        <w:rPr>
          <w:rFonts w:ascii="Times New Roman" w:hAnsi="Times New Roman" w:cs="Times New Roman"/>
        </w:rPr>
        <w:fldChar w:fldCharType="begin" w:fldLock="1"/>
      </w:r>
      <w:r w:rsidR="00CC5373">
        <w:rPr>
          <w:rFonts w:ascii="Times New Roman" w:hAnsi="Times New Roman" w:cs="Times New Roman"/>
        </w:rPr>
        <w:instrText>ADDIN CSL_CITATION {"citationItems":[{"id":"ITEM-1","itemData":{"DOI":"10.3746/pnf.2025.30.1.1","ISSN":"22878602","abstract":"Eclampsia is a prevailing hypertensive disorder that poses more significant risks to mothers and neonates globally. This review aimed to investigate eclampsia [preeclampsia and postpartum eclampsia (posteclampsia)] and the supportive role of dietary and lifestyle management. The review was compiled by searching various engines such as Google Scholar, Research Gate, BASE, PubMed Central, National Center for Biotechnology Information, and other related search engines. Eclampsia is believed to involve genetic and nongenetic factors, although the precise underlying mechanism remains unclear. Nevertheless, the traditional diagnosis of the disorder typically involves the coexistence of various factors such as an unhealthy lifestyle, diabetes mellitus, hypertension, low micronutrient levels, obesity, and proteinuria. Consuming at least 330 g fresh or 4 g dried fruits daily minimizes preeclampsia. Diets high in sugar, fat, and salt are associated with higher vulnerability to the disease. Calcium supplementation is beneficial for women as it helps to reduce the occurrence of preeclampsia. Evidence for vitamin D supplementation is inconclusive and requires further research. Selenium supplementation has shown a negative correlation with the chance of preeclampsia. Dietary patterns with higher intakes of a plant-based diet, including micronutrients, and a healthy lifestyle significantly reduce the risk of preeclampsia and posteclampsia. Furthermore, clinical trials could explore the potential benefits of dietary supplements in preventing or treating eclampsia. There is a need for further exploration into the benefits of personalized medical nutrition therapy for preeclampsia and posteclampsia. Lastly, modern prognostic tools can diagnose disorders promptly and help with effective medicinal and nutritional management.","author":[{"dropping-particle":"","family":"Nadeem","given":"Muhammad","non-dropping-particle":"","parse-names":false,"suffix":""},{"dropping-particle":"","family":"Javed","given":"Komal","non-dropping-particle":"","parse-names":false,"suffix":""},{"dropping-particle":"","family":"Abid","given":"Hafiz Muhammad Rizwan","non-dropping-particle":"","parse-names":false,"suffix":""},{"dropping-particle":"","family":"Hussain","given":"Athar","non-dropping-particle":"","parse-names":false,"suffix":""},{"dropping-particle":"","family":"Khalid","given":"Nauman","non-dropping-particle":"","parse-names":false,"suffix":""}],"container-title":"Preventive Nutrition and Food Science","id":"ITEM-1","issue":"1","issued":{"date-parts":[["2025"]]},"page":"1-20","title":"A Review of Dietary and Lifestyle Management of Pre-Eclampsia and Postpartum Eclampsia","type":"article-journal","volume":"30"},"uris":["http://www.mendeley.com/documents/?uuid=a752b85c-2f96-47a7-bbda-3b40ebe82212"]},{"id":"ITEM-2","itemData":{"DOI":"10.1016/j.amepre.2023.10.016","ISSN":"18732607","PMID":"37884175","abstract":"Introduction: Hypertension is a risk factor for cardiovascular disease, a leading cause of death among women of reproductive age (women aged 18–44 years). This study estimated hypertension prevalence and control among women of reproductive age at the national and state levels using electronic health record data. Methods: Nonpregnant women of reproductive age were included in this cross-sectional study using 2019 IQVIA Ambulatory Electronic Medical Records – U.S. national data (analyzed in 2023). Suspected hypertension was identified using any of these criteria: ≥1 hypertension diagnosis code, ≥2 blood pressure readings ≥140/90 mmHg on separate days, or ≥1 antihypertensive medication. Among women of reproductive age with hypertension, the latest blood pressure in 2019 was used to identify hypertension control (blood pressure &lt;140/90 mmHg). Estimates were age standardized and stratified by race or Hispanic ethnicity, region, and states with sufficient data. Tukey tests compared estimates by race or Hispanic ethnicity, region, and comorbidities. Results: Among 2,125,084 women of reproductive age (62.1% White, 8.8% Black, and 29.1% other [including Hispanic, Asian, other, or unknown]) with a mean age of 31.7 years, hypertension prevalence was 14.5%. Of those with hypertension, 71.9% had controlled blood pressure. Black women of reproductive age had a higher hypertension prevalence (22.3% vs 14.4%, p&lt;0.05) but lower control (60.6% vs 74.0%, p&lt;0.05) than White women of reproductive age. State-level hypertension prevalence ranged from 13.7% (Massachusetts) to 36% (Alabama), and control ranged from 82.9% (Kansas) to 59.2% (the District of Columbia). Conclusions: This study provides the first state-level estimates of hypertension control among women of reproductive age. Electronic health record data complements traditional hypertension surveillance data and provides further information for efforts to prevent and manage hypertension among women of reproductive age.","author":[{"dropping-particle":"","family":"Weng","given":"Xingran","non-dropping-particle":"","parse-names":false,"suffix":""},{"dropping-particle":"","family":"Woodruff","given":"Rebecca C.","non-dropping-particle":"","parse-names":false,"suffix":""},{"dropping-particle":"","family":"Park","given":"Soyoun","non-dropping-particle":"","parse-names":false,"suffix":""},{"dropping-particle":"","family":"Thompson-Paul","given":"Angela M.","non-dropping-particle":"","parse-names":false,"suffix":""},{"dropping-particle":"","family":"He","given":"Siran","non-dropping-particle":"","parse-names":false,"suffix":""},{"dropping-particle":"","family":"Hayes","given":"Donald","non-dropping-particle":"","parse-names":false,"suffix":""},{"dropping-particle":"V.","family":"Kuklina","given":"Elena","non-dropping-particle":"","parse-names":false,"suffix":""},{"dropping-particle":"","family":"Therrien","given":"Nicole L.","non-dropping-particle":"","parse-names":false,"suffix":""},{"dropping-particle":"","family":"Jackson","given":"Sandra L.","non-dropping-particle":"","parse-names":false,"suffix":""}],"container-title":"American Journal of Preventive Medicine","id":"ITEM-2","issue":"3","issued":{"date-parts":[["2024"]]},"page":"492-502","title":"Hypertension Prevalence and Control Among U.S. Women of Reproductive Age","type":"article-journal","volume":"66"},"uris":["http://www.mendeley.com/documents/?uuid=04f64e44-0eec-4043-883a-3e7d45859d0f"]}],"mendeley":{"formattedCitation":"(Nadeem et al., 2025; Weng et al., 2024)","plainTextFormattedCitation":"(Nadeem et al., 2025; Weng et al., 2024)","previouslyFormattedCitation":"(Nadeem et al., 2025; Weng et al., 2024)"},"properties":{"noteIndex":0},"schema":"https://github.com/citation-style-language/schema/raw/master/csl-citation.json"}</w:instrText>
      </w:r>
      <w:r w:rsidR="00CC5373">
        <w:rPr>
          <w:rFonts w:ascii="Times New Roman" w:hAnsi="Times New Roman" w:cs="Times New Roman"/>
        </w:rPr>
        <w:fldChar w:fldCharType="separate"/>
      </w:r>
      <w:r w:rsidR="00CC5373" w:rsidRPr="00CC5373">
        <w:rPr>
          <w:rFonts w:ascii="Times New Roman" w:hAnsi="Times New Roman" w:cs="Times New Roman"/>
          <w:noProof/>
        </w:rPr>
        <w:t>(Nadeem et al., 2025; Weng et al., 2024)</w:t>
      </w:r>
      <w:r w:rsidR="00CC5373">
        <w:rPr>
          <w:rFonts w:ascii="Times New Roman" w:hAnsi="Times New Roman" w:cs="Times New Roman"/>
        </w:rPr>
        <w:fldChar w:fldCharType="end"/>
      </w:r>
      <w:r w:rsidRPr="00077581">
        <w:rPr>
          <w:rFonts w:ascii="Times New Roman" w:hAnsi="Times New Roman" w:cs="Times New Roman"/>
        </w:rPr>
        <w:t xml:space="preserve">. Since the </w:t>
      </w:r>
      <w:r w:rsidRPr="00057B4B">
        <w:rPr>
          <w:rStyle w:val="Strong"/>
          <w:rFonts w:ascii="Times New Roman" w:hAnsi="Times New Roman" w:cs="Times New Roman"/>
          <w:b w:val="0"/>
          <w:bCs w:val="0"/>
        </w:rPr>
        <w:t>p-value is less than 0.05</w:t>
      </w:r>
      <w:r w:rsidRPr="00077581">
        <w:rPr>
          <w:rFonts w:ascii="Times New Roman" w:hAnsi="Times New Roman" w:cs="Times New Roman"/>
        </w:rPr>
        <w:t xml:space="preserve">, the </w:t>
      </w:r>
      <w:r w:rsidRPr="00057B4B">
        <w:rPr>
          <w:rStyle w:val="Strong"/>
          <w:rFonts w:ascii="Times New Roman" w:hAnsi="Times New Roman" w:cs="Times New Roman"/>
          <w:b w:val="0"/>
          <w:bCs w:val="0"/>
        </w:rPr>
        <w:t>null hypothesis is rejected</w:t>
      </w:r>
      <w:r w:rsidRPr="00057B4B">
        <w:rPr>
          <w:rFonts w:ascii="Times New Roman" w:hAnsi="Times New Roman" w:cs="Times New Roman"/>
        </w:rPr>
        <w:t>,</w:t>
      </w:r>
      <w:r w:rsidRPr="00077581">
        <w:rPr>
          <w:rFonts w:ascii="Times New Roman" w:hAnsi="Times New Roman" w:cs="Times New Roman"/>
        </w:rPr>
        <w:t xml:space="preserve"> and the </w:t>
      </w:r>
      <w:r w:rsidRPr="00057B4B">
        <w:rPr>
          <w:rStyle w:val="Strong"/>
          <w:rFonts w:ascii="Times New Roman" w:hAnsi="Times New Roman" w:cs="Times New Roman"/>
          <w:b w:val="0"/>
          <w:bCs w:val="0"/>
        </w:rPr>
        <w:t>alternative hypothesis is accepted</w:t>
      </w:r>
      <w:r w:rsidRPr="00077581">
        <w:rPr>
          <w:rFonts w:ascii="Times New Roman" w:hAnsi="Times New Roman" w:cs="Times New Roman"/>
        </w:rPr>
        <w:t xml:space="preserve">, confirming that the change in scores is not due to random variation but is instead attributable to the educational intervention. The statistical results in </w:t>
      </w:r>
      <w:r w:rsidRPr="00057B4B">
        <w:rPr>
          <w:rStyle w:val="Strong"/>
          <w:rFonts w:ascii="Times New Roman" w:hAnsi="Times New Roman" w:cs="Times New Roman"/>
          <w:b w:val="0"/>
          <w:bCs w:val="0"/>
        </w:rPr>
        <w:t>Tables 4.5, 4.6, and 4.7</w:t>
      </w:r>
      <w:r w:rsidRPr="00077581">
        <w:rPr>
          <w:rFonts w:ascii="Times New Roman" w:hAnsi="Times New Roman" w:cs="Times New Roman"/>
        </w:rPr>
        <w:t xml:space="preserve"> support the effectiveness of this intervention and highlight its value as a component of antenatal care programs.</w:t>
      </w:r>
    </w:p>
    <w:p w14:paraId="6D88680E" w14:textId="77777777" w:rsidR="00D81433" w:rsidRPr="00077581" w:rsidRDefault="00D81433" w:rsidP="00EF0802">
      <w:pPr>
        <w:spacing w:line="360" w:lineRule="auto"/>
        <w:jc w:val="both"/>
        <w:rPr>
          <w:rFonts w:ascii="Times New Roman" w:hAnsi="Times New Roman" w:cs="Times New Roman"/>
          <w:b/>
          <w:bCs/>
        </w:rPr>
      </w:pPr>
    </w:p>
    <w:p w14:paraId="250CE15D" w14:textId="77777777" w:rsidR="00D81433" w:rsidRPr="00077581" w:rsidRDefault="00D81433" w:rsidP="00EF0802">
      <w:pPr>
        <w:pStyle w:val="Heading3"/>
        <w:spacing w:before="0" w:after="160" w:line="360" w:lineRule="auto"/>
        <w:jc w:val="both"/>
        <w:rPr>
          <w:rFonts w:ascii="Times New Roman" w:hAnsi="Times New Roman" w:cs="Times New Roman"/>
          <w:i/>
          <w:iCs/>
          <w:color w:val="auto"/>
          <w:sz w:val="24"/>
          <w:szCs w:val="24"/>
        </w:rPr>
      </w:pPr>
      <w:bookmarkStart w:id="1" w:name="_Hlk201922722"/>
      <w:r w:rsidRPr="00077581">
        <w:rPr>
          <w:rStyle w:val="Strong"/>
          <w:rFonts w:ascii="Times New Roman" w:hAnsi="Times New Roman" w:cs="Times New Roman"/>
          <w:i/>
          <w:iCs/>
          <w:color w:val="auto"/>
          <w:sz w:val="24"/>
          <w:szCs w:val="24"/>
        </w:rPr>
        <w:t xml:space="preserve">Testing of Hypothesis 2 (H2): </w:t>
      </w:r>
      <w:r w:rsidRPr="00077581">
        <w:rPr>
          <w:rFonts w:ascii="Times New Roman" w:hAnsi="Times New Roman" w:cs="Times New Roman"/>
          <w:b/>
          <w:bCs/>
          <w:i/>
          <w:iCs/>
          <w:color w:val="auto"/>
          <w:sz w:val="24"/>
          <w:szCs w:val="24"/>
        </w:rPr>
        <w:t>Chi-square Test Results</w:t>
      </w:r>
      <w:r w:rsidRPr="00077581">
        <w:rPr>
          <w:rStyle w:val="Strong"/>
          <w:rFonts w:ascii="Times New Roman" w:hAnsi="Times New Roman" w:cs="Times New Roman"/>
          <w:i/>
          <w:iCs/>
          <w:color w:val="auto"/>
          <w:sz w:val="24"/>
          <w:szCs w:val="24"/>
        </w:rPr>
        <w:t xml:space="preserve"> on the relationship between awareness levels and demographic factors.</w:t>
      </w:r>
    </w:p>
    <w:p w14:paraId="7A2E856C" w14:textId="77777777" w:rsidR="00D81433" w:rsidRPr="00077581" w:rsidRDefault="00D81433" w:rsidP="00EF0802">
      <w:pPr>
        <w:spacing w:line="360" w:lineRule="auto"/>
        <w:jc w:val="both"/>
        <w:rPr>
          <w:rFonts w:ascii="Times New Roman" w:hAnsi="Times New Roman" w:cs="Times New Roman"/>
        </w:rPr>
      </w:pPr>
      <w:r w:rsidRPr="00077581">
        <w:rPr>
          <w:rFonts w:ascii="Times New Roman" w:hAnsi="Times New Roman" w:cs="Times New Roman"/>
        </w:rPr>
        <w:t>To evaluate the relationship between awareness levels and demographic factors, the following hypotheses were formulated:</w:t>
      </w:r>
    </w:p>
    <w:p w14:paraId="65C17BDD" w14:textId="77777777" w:rsidR="00D81433" w:rsidRPr="00077581" w:rsidRDefault="00D81433" w:rsidP="00EF0802">
      <w:pPr>
        <w:spacing w:line="360" w:lineRule="auto"/>
        <w:jc w:val="both"/>
        <w:rPr>
          <w:rFonts w:ascii="Times New Roman" w:hAnsi="Times New Roman" w:cs="Times New Roman"/>
        </w:rPr>
      </w:pPr>
      <w:r w:rsidRPr="00077581">
        <w:rPr>
          <w:rStyle w:val="Strong"/>
          <w:rFonts w:ascii="Times New Roman" w:hAnsi="Times New Roman" w:cs="Times New Roman"/>
        </w:rPr>
        <w:t xml:space="preserve">Null Hypothesis (H01): </w:t>
      </w:r>
      <w:r w:rsidRPr="00077581">
        <w:rPr>
          <w:rFonts w:ascii="Times New Roman" w:hAnsi="Times New Roman" w:cs="Times New Roman"/>
        </w:rPr>
        <w:t>There is no statistically significant association between the selected demographic variables and awareness level regarding thyroid and hypertension management among pregnant women.</w:t>
      </w:r>
    </w:p>
    <w:p w14:paraId="4AB9C266" w14:textId="77777777" w:rsidR="00D81433" w:rsidRPr="00077581" w:rsidRDefault="00D81433" w:rsidP="00EF0802">
      <w:pPr>
        <w:spacing w:line="360" w:lineRule="auto"/>
        <w:jc w:val="both"/>
        <w:rPr>
          <w:rFonts w:ascii="Times New Roman" w:hAnsi="Times New Roman" w:cs="Times New Roman"/>
        </w:rPr>
      </w:pPr>
      <w:r w:rsidRPr="00077581">
        <w:rPr>
          <w:rStyle w:val="Strong"/>
          <w:rFonts w:ascii="Times New Roman" w:hAnsi="Times New Roman" w:cs="Times New Roman"/>
        </w:rPr>
        <w:lastRenderedPageBreak/>
        <w:t xml:space="preserve">Alternate Hypothesis (H01): </w:t>
      </w:r>
      <w:r w:rsidRPr="00077581">
        <w:rPr>
          <w:rFonts w:ascii="Times New Roman" w:hAnsi="Times New Roman" w:cs="Times New Roman"/>
        </w:rPr>
        <w:t>There is a statistically significant association between the selected demographic variables and awareness level regarding thyroid and hypertension management among pregnant women.</w:t>
      </w:r>
    </w:p>
    <w:bookmarkEnd w:id="1"/>
    <w:p w14:paraId="53639939" w14:textId="77777777" w:rsidR="00D81433" w:rsidRPr="00077581" w:rsidRDefault="00D81433" w:rsidP="00EF0802">
      <w:pPr>
        <w:spacing w:line="360" w:lineRule="auto"/>
        <w:jc w:val="both"/>
        <w:rPr>
          <w:rFonts w:ascii="Times New Roman" w:hAnsi="Times New Roman" w:cs="Times New Roman"/>
        </w:rPr>
      </w:pPr>
      <w:r w:rsidRPr="00077581">
        <w:rPr>
          <w:rFonts w:ascii="Times New Roman" w:hAnsi="Times New Roman" w:cs="Times New Roman"/>
        </w:rPr>
        <w:t>To explore the relationship between pregnant women’s demographic characteristics and their level of knowledge regarding thyroid and hypertension management, a cross-tabulation and chi-square test were conducted.</w:t>
      </w:r>
    </w:p>
    <w:p w14:paraId="2EF9F534" w14:textId="77777777" w:rsidR="00D81433" w:rsidRPr="00077581" w:rsidRDefault="00D81433" w:rsidP="00EF0802">
      <w:pPr>
        <w:spacing w:line="360" w:lineRule="auto"/>
        <w:jc w:val="both"/>
        <w:rPr>
          <w:rFonts w:ascii="Times New Roman" w:hAnsi="Times New Roman" w:cs="Times New Roman"/>
        </w:rPr>
      </w:pPr>
      <w:r w:rsidRPr="00077581">
        <w:rPr>
          <w:rFonts w:ascii="Times New Roman" w:hAnsi="Times New Roman" w:cs="Times New Roman"/>
        </w:rPr>
        <w:t>Table 4.8 presents a cross-tabulation between education level and knowledge scores. The results show a clear trend: as education level increases, so does the proportion of participants with higher knowledge. Among women with no formal education, the majority (8 out of 14) had low knowledge, and only one participant had high knowledge. In contrast, among graduates, 26 participants demonstrated high knowledge, while a similar number had moderate awareness. Notably, among postgraduates, 10 out of 30 participants achieved high knowledge scores. This trend underscores the potential influence of formal education on health literacy related to pregnancy-associated conditions.</w:t>
      </w:r>
    </w:p>
    <w:p w14:paraId="46408908" w14:textId="77777777" w:rsidR="00D81433" w:rsidRPr="00077581" w:rsidRDefault="00D81433" w:rsidP="00EF0802">
      <w:pPr>
        <w:spacing w:line="360" w:lineRule="auto"/>
        <w:jc w:val="both"/>
        <w:rPr>
          <w:rFonts w:ascii="Times New Roman" w:hAnsi="Times New Roman" w:cs="Times New Roman"/>
          <w:b/>
          <w:bCs/>
        </w:rPr>
      </w:pPr>
      <w:r w:rsidRPr="00077581">
        <w:rPr>
          <w:rFonts w:ascii="Times New Roman" w:hAnsi="Times New Roman" w:cs="Times New Roman"/>
          <w:b/>
          <w:bCs/>
        </w:rPr>
        <w:t>Table 4.8 Cross-tabulation of Education vs. Knowledge Score</w:t>
      </w:r>
    </w:p>
    <w:tbl>
      <w:tblPr>
        <w:tblStyle w:val="TableGrid"/>
        <w:tblW w:w="0" w:type="auto"/>
        <w:tblLook w:val="04A0" w:firstRow="1" w:lastRow="0" w:firstColumn="1" w:lastColumn="0" w:noHBand="0" w:noVBand="1"/>
      </w:tblPr>
      <w:tblGrid>
        <w:gridCol w:w="1792"/>
        <w:gridCol w:w="1801"/>
        <w:gridCol w:w="2020"/>
        <w:gridCol w:w="1822"/>
        <w:gridCol w:w="861"/>
      </w:tblGrid>
      <w:tr w:rsidR="00D81433" w:rsidRPr="00077581" w14:paraId="08E6AC5B" w14:textId="77777777" w:rsidTr="00E55E15">
        <w:tc>
          <w:tcPr>
            <w:tcW w:w="0" w:type="auto"/>
            <w:hideMark/>
          </w:tcPr>
          <w:p w14:paraId="34D5DA23" w14:textId="77777777" w:rsidR="00D81433" w:rsidRPr="00077581" w:rsidRDefault="00D81433" w:rsidP="00EF0802">
            <w:pPr>
              <w:spacing w:line="360" w:lineRule="auto"/>
              <w:rPr>
                <w:rFonts w:ascii="Times New Roman" w:hAnsi="Times New Roman" w:cs="Times New Roman"/>
                <w:b/>
                <w:bCs/>
              </w:rPr>
            </w:pPr>
            <w:r w:rsidRPr="00077581">
              <w:rPr>
                <w:rFonts w:ascii="Times New Roman" w:hAnsi="Times New Roman" w:cs="Times New Roman"/>
                <w:b/>
                <w:bCs/>
              </w:rPr>
              <w:t>Education Level</w:t>
            </w:r>
          </w:p>
        </w:tc>
        <w:tc>
          <w:tcPr>
            <w:tcW w:w="0" w:type="auto"/>
            <w:hideMark/>
          </w:tcPr>
          <w:p w14:paraId="0B1E4F94" w14:textId="77777777" w:rsidR="00D81433" w:rsidRPr="00077581" w:rsidRDefault="00D81433" w:rsidP="00EF0802">
            <w:pPr>
              <w:spacing w:line="360" w:lineRule="auto"/>
              <w:rPr>
                <w:rFonts w:ascii="Times New Roman" w:hAnsi="Times New Roman" w:cs="Times New Roman"/>
                <w:b/>
                <w:bCs/>
              </w:rPr>
            </w:pPr>
            <w:r w:rsidRPr="00077581">
              <w:rPr>
                <w:rFonts w:ascii="Times New Roman" w:hAnsi="Times New Roman" w:cs="Times New Roman"/>
                <w:b/>
                <w:bCs/>
              </w:rPr>
              <w:t>Low Knowledge (0–3)</w:t>
            </w:r>
          </w:p>
        </w:tc>
        <w:tc>
          <w:tcPr>
            <w:tcW w:w="0" w:type="auto"/>
            <w:hideMark/>
          </w:tcPr>
          <w:p w14:paraId="24DF9298" w14:textId="77777777" w:rsidR="00D81433" w:rsidRPr="00077581" w:rsidRDefault="00D81433" w:rsidP="00EF0802">
            <w:pPr>
              <w:spacing w:line="360" w:lineRule="auto"/>
              <w:rPr>
                <w:rFonts w:ascii="Times New Roman" w:hAnsi="Times New Roman" w:cs="Times New Roman"/>
                <w:b/>
                <w:bCs/>
              </w:rPr>
            </w:pPr>
            <w:r w:rsidRPr="00077581">
              <w:rPr>
                <w:rFonts w:ascii="Times New Roman" w:hAnsi="Times New Roman" w:cs="Times New Roman"/>
                <w:b/>
                <w:bCs/>
              </w:rPr>
              <w:t>Moderate Knowledge (4–6)</w:t>
            </w:r>
          </w:p>
        </w:tc>
        <w:tc>
          <w:tcPr>
            <w:tcW w:w="0" w:type="auto"/>
            <w:hideMark/>
          </w:tcPr>
          <w:p w14:paraId="3007A30B" w14:textId="77777777" w:rsidR="00D81433" w:rsidRPr="00077581" w:rsidRDefault="00D81433" w:rsidP="00EF0802">
            <w:pPr>
              <w:spacing w:line="360" w:lineRule="auto"/>
              <w:rPr>
                <w:rFonts w:ascii="Times New Roman" w:hAnsi="Times New Roman" w:cs="Times New Roman"/>
                <w:b/>
                <w:bCs/>
              </w:rPr>
            </w:pPr>
            <w:r w:rsidRPr="00077581">
              <w:rPr>
                <w:rFonts w:ascii="Times New Roman" w:hAnsi="Times New Roman" w:cs="Times New Roman"/>
                <w:b/>
                <w:bCs/>
              </w:rPr>
              <w:t>High Knowledge (7–8)</w:t>
            </w:r>
          </w:p>
        </w:tc>
        <w:tc>
          <w:tcPr>
            <w:tcW w:w="0" w:type="auto"/>
            <w:hideMark/>
          </w:tcPr>
          <w:p w14:paraId="30069DF6" w14:textId="77777777" w:rsidR="00D81433" w:rsidRPr="00077581" w:rsidRDefault="00D81433" w:rsidP="00EF0802">
            <w:pPr>
              <w:spacing w:line="360" w:lineRule="auto"/>
              <w:rPr>
                <w:rFonts w:ascii="Times New Roman" w:hAnsi="Times New Roman" w:cs="Times New Roman"/>
                <w:b/>
                <w:bCs/>
              </w:rPr>
            </w:pPr>
            <w:r w:rsidRPr="00077581">
              <w:rPr>
                <w:rFonts w:ascii="Times New Roman" w:hAnsi="Times New Roman" w:cs="Times New Roman"/>
                <w:b/>
                <w:bCs/>
              </w:rPr>
              <w:t>Total (f)</w:t>
            </w:r>
          </w:p>
        </w:tc>
      </w:tr>
      <w:tr w:rsidR="00D81433" w:rsidRPr="00077581" w14:paraId="23DB5E88" w14:textId="77777777" w:rsidTr="00E55E15">
        <w:tc>
          <w:tcPr>
            <w:tcW w:w="0" w:type="auto"/>
            <w:hideMark/>
          </w:tcPr>
          <w:p w14:paraId="146EC533"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No Formal Education</w:t>
            </w:r>
          </w:p>
        </w:tc>
        <w:tc>
          <w:tcPr>
            <w:tcW w:w="0" w:type="auto"/>
            <w:hideMark/>
          </w:tcPr>
          <w:p w14:paraId="788FFA75"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8</w:t>
            </w:r>
          </w:p>
        </w:tc>
        <w:tc>
          <w:tcPr>
            <w:tcW w:w="0" w:type="auto"/>
            <w:hideMark/>
          </w:tcPr>
          <w:p w14:paraId="46885EE7"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5</w:t>
            </w:r>
          </w:p>
        </w:tc>
        <w:tc>
          <w:tcPr>
            <w:tcW w:w="0" w:type="auto"/>
            <w:hideMark/>
          </w:tcPr>
          <w:p w14:paraId="78AD9C4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w:t>
            </w:r>
          </w:p>
        </w:tc>
        <w:tc>
          <w:tcPr>
            <w:tcW w:w="0" w:type="auto"/>
            <w:hideMark/>
          </w:tcPr>
          <w:p w14:paraId="37506FBC"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14</w:t>
            </w:r>
          </w:p>
        </w:tc>
      </w:tr>
      <w:tr w:rsidR="00D81433" w:rsidRPr="00077581" w14:paraId="35B317A9" w14:textId="77777777" w:rsidTr="00E55E15">
        <w:tc>
          <w:tcPr>
            <w:tcW w:w="0" w:type="auto"/>
            <w:hideMark/>
          </w:tcPr>
          <w:p w14:paraId="31C65C1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Primary</w:t>
            </w:r>
          </w:p>
        </w:tc>
        <w:tc>
          <w:tcPr>
            <w:tcW w:w="0" w:type="auto"/>
            <w:hideMark/>
          </w:tcPr>
          <w:p w14:paraId="21C7287C"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7</w:t>
            </w:r>
          </w:p>
        </w:tc>
        <w:tc>
          <w:tcPr>
            <w:tcW w:w="0" w:type="auto"/>
            <w:hideMark/>
          </w:tcPr>
          <w:p w14:paraId="7068DFE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15</w:t>
            </w:r>
          </w:p>
        </w:tc>
        <w:tc>
          <w:tcPr>
            <w:tcW w:w="0" w:type="auto"/>
            <w:hideMark/>
          </w:tcPr>
          <w:p w14:paraId="0261BBD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4</w:t>
            </w:r>
          </w:p>
        </w:tc>
        <w:tc>
          <w:tcPr>
            <w:tcW w:w="0" w:type="auto"/>
            <w:hideMark/>
          </w:tcPr>
          <w:p w14:paraId="7A6FFFBE"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26</w:t>
            </w:r>
          </w:p>
        </w:tc>
      </w:tr>
      <w:tr w:rsidR="00D81433" w:rsidRPr="00077581" w14:paraId="1A789FC0" w14:textId="77777777" w:rsidTr="00E55E15">
        <w:tc>
          <w:tcPr>
            <w:tcW w:w="0" w:type="auto"/>
            <w:hideMark/>
          </w:tcPr>
          <w:p w14:paraId="329F6DB6"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Secondary</w:t>
            </w:r>
          </w:p>
        </w:tc>
        <w:tc>
          <w:tcPr>
            <w:tcW w:w="0" w:type="auto"/>
            <w:hideMark/>
          </w:tcPr>
          <w:p w14:paraId="2940A54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13</w:t>
            </w:r>
          </w:p>
        </w:tc>
        <w:tc>
          <w:tcPr>
            <w:tcW w:w="0" w:type="auto"/>
            <w:hideMark/>
          </w:tcPr>
          <w:p w14:paraId="301062B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40</w:t>
            </w:r>
          </w:p>
        </w:tc>
        <w:tc>
          <w:tcPr>
            <w:tcW w:w="0" w:type="auto"/>
            <w:hideMark/>
          </w:tcPr>
          <w:p w14:paraId="7FA6DCF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19</w:t>
            </w:r>
          </w:p>
        </w:tc>
        <w:tc>
          <w:tcPr>
            <w:tcW w:w="0" w:type="auto"/>
            <w:hideMark/>
          </w:tcPr>
          <w:p w14:paraId="3F78DB0F"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72</w:t>
            </w:r>
          </w:p>
        </w:tc>
      </w:tr>
      <w:tr w:rsidR="00D81433" w:rsidRPr="00077581" w14:paraId="618C05DD" w14:textId="77777777" w:rsidTr="00E55E15">
        <w:tc>
          <w:tcPr>
            <w:tcW w:w="0" w:type="auto"/>
            <w:hideMark/>
          </w:tcPr>
          <w:p w14:paraId="20953F4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Graduate</w:t>
            </w:r>
          </w:p>
        </w:tc>
        <w:tc>
          <w:tcPr>
            <w:tcW w:w="0" w:type="auto"/>
            <w:hideMark/>
          </w:tcPr>
          <w:p w14:paraId="18AA297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6</w:t>
            </w:r>
          </w:p>
        </w:tc>
        <w:tc>
          <w:tcPr>
            <w:tcW w:w="0" w:type="auto"/>
            <w:hideMark/>
          </w:tcPr>
          <w:p w14:paraId="53049DEE"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26</w:t>
            </w:r>
          </w:p>
        </w:tc>
        <w:tc>
          <w:tcPr>
            <w:tcW w:w="0" w:type="auto"/>
            <w:hideMark/>
          </w:tcPr>
          <w:p w14:paraId="732B910B"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26</w:t>
            </w:r>
          </w:p>
        </w:tc>
        <w:tc>
          <w:tcPr>
            <w:tcW w:w="0" w:type="auto"/>
            <w:hideMark/>
          </w:tcPr>
          <w:p w14:paraId="69684E2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58</w:t>
            </w:r>
          </w:p>
        </w:tc>
      </w:tr>
      <w:tr w:rsidR="00D81433" w:rsidRPr="00077581" w14:paraId="52B962E9" w14:textId="77777777" w:rsidTr="00E55E15">
        <w:tc>
          <w:tcPr>
            <w:tcW w:w="0" w:type="auto"/>
            <w:hideMark/>
          </w:tcPr>
          <w:p w14:paraId="53C9D03E"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Postgraduate</w:t>
            </w:r>
          </w:p>
        </w:tc>
        <w:tc>
          <w:tcPr>
            <w:tcW w:w="0" w:type="auto"/>
            <w:hideMark/>
          </w:tcPr>
          <w:p w14:paraId="0046B60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4</w:t>
            </w:r>
          </w:p>
        </w:tc>
        <w:tc>
          <w:tcPr>
            <w:tcW w:w="0" w:type="auto"/>
            <w:hideMark/>
          </w:tcPr>
          <w:p w14:paraId="33C1629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16</w:t>
            </w:r>
          </w:p>
        </w:tc>
        <w:tc>
          <w:tcPr>
            <w:tcW w:w="0" w:type="auto"/>
            <w:hideMark/>
          </w:tcPr>
          <w:p w14:paraId="1CF0EC7E"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10</w:t>
            </w:r>
          </w:p>
        </w:tc>
        <w:tc>
          <w:tcPr>
            <w:tcW w:w="0" w:type="auto"/>
            <w:hideMark/>
          </w:tcPr>
          <w:p w14:paraId="61AD5C43"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30</w:t>
            </w:r>
          </w:p>
        </w:tc>
      </w:tr>
      <w:tr w:rsidR="00D81433" w:rsidRPr="00077581" w14:paraId="56AD5BA6" w14:textId="77777777" w:rsidTr="00E55E15">
        <w:tc>
          <w:tcPr>
            <w:tcW w:w="0" w:type="auto"/>
            <w:hideMark/>
          </w:tcPr>
          <w:p w14:paraId="2D14660E"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b/>
                <w:bCs/>
              </w:rPr>
              <w:t>Total</w:t>
            </w:r>
          </w:p>
        </w:tc>
        <w:tc>
          <w:tcPr>
            <w:tcW w:w="0" w:type="auto"/>
            <w:hideMark/>
          </w:tcPr>
          <w:p w14:paraId="029BDFA9"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b/>
                <w:bCs/>
              </w:rPr>
              <w:t>38</w:t>
            </w:r>
          </w:p>
        </w:tc>
        <w:tc>
          <w:tcPr>
            <w:tcW w:w="0" w:type="auto"/>
            <w:hideMark/>
          </w:tcPr>
          <w:p w14:paraId="30E00F3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b/>
                <w:bCs/>
              </w:rPr>
              <w:t>102</w:t>
            </w:r>
          </w:p>
        </w:tc>
        <w:tc>
          <w:tcPr>
            <w:tcW w:w="0" w:type="auto"/>
            <w:hideMark/>
          </w:tcPr>
          <w:p w14:paraId="1EB39882"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b/>
                <w:bCs/>
              </w:rPr>
              <w:t>60</w:t>
            </w:r>
          </w:p>
        </w:tc>
        <w:tc>
          <w:tcPr>
            <w:tcW w:w="0" w:type="auto"/>
            <w:hideMark/>
          </w:tcPr>
          <w:p w14:paraId="6AEE653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b/>
                <w:bCs/>
              </w:rPr>
              <w:t>200</w:t>
            </w:r>
          </w:p>
        </w:tc>
      </w:tr>
    </w:tbl>
    <w:p w14:paraId="53A1CE8A" w14:textId="77777777" w:rsidR="00D81433" w:rsidRPr="00077581" w:rsidRDefault="00D81433" w:rsidP="00EF0802">
      <w:pPr>
        <w:spacing w:line="360" w:lineRule="auto"/>
        <w:rPr>
          <w:rFonts w:ascii="Times New Roman" w:hAnsi="Times New Roman" w:cs="Times New Roman"/>
        </w:rPr>
      </w:pPr>
    </w:p>
    <w:p w14:paraId="017D58CE" w14:textId="77777777" w:rsidR="00D81433" w:rsidRPr="00077581" w:rsidRDefault="00D81433" w:rsidP="00EF0802">
      <w:pPr>
        <w:spacing w:line="360" w:lineRule="auto"/>
        <w:jc w:val="both"/>
        <w:rPr>
          <w:rFonts w:ascii="Times New Roman" w:hAnsi="Times New Roman" w:cs="Times New Roman"/>
        </w:rPr>
      </w:pPr>
      <w:r w:rsidRPr="00077581">
        <w:rPr>
          <w:rFonts w:ascii="Times New Roman" w:hAnsi="Times New Roman" w:cs="Times New Roman"/>
        </w:rPr>
        <w:t xml:space="preserve">To statistically validate these associations, chi-square tests were applied across all major demographic variables, as detailed in Table 4.9. The test confirmed a significant association between education level and knowledge level (χ² = 22.17, </w:t>
      </w:r>
      <w:proofErr w:type="spellStart"/>
      <w:r w:rsidRPr="00077581">
        <w:rPr>
          <w:rFonts w:ascii="Times New Roman" w:hAnsi="Times New Roman" w:cs="Times New Roman"/>
        </w:rPr>
        <w:t>df</w:t>
      </w:r>
      <w:proofErr w:type="spellEnd"/>
      <w:r w:rsidRPr="00077581">
        <w:rPr>
          <w:rFonts w:ascii="Times New Roman" w:hAnsi="Times New Roman" w:cs="Times New Roman"/>
        </w:rPr>
        <w:t xml:space="preserve"> = 8, p = 0.005), leading to the rejection of hypothesis H1c. This supports the inference that higher </w:t>
      </w:r>
      <w:r w:rsidRPr="00077581">
        <w:rPr>
          <w:rFonts w:ascii="Times New Roman" w:hAnsi="Times New Roman" w:cs="Times New Roman"/>
        </w:rPr>
        <w:lastRenderedPageBreak/>
        <w:t>education contributes to better awareness of thyroid and hypertension-related risks and management strategies in pregnancy.</w:t>
      </w:r>
    </w:p>
    <w:p w14:paraId="40C4940D" w14:textId="77777777" w:rsidR="00D81433" w:rsidRPr="00077581" w:rsidRDefault="00D81433" w:rsidP="00EF0802">
      <w:pPr>
        <w:spacing w:line="360" w:lineRule="auto"/>
        <w:jc w:val="both"/>
        <w:rPr>
          <w:rFonts w:ascii="Times New Roman" w:hAnsi="Times New Roman" w:cs="Times New Roman"/>
        </w:rPr>
      </w:pPr>
      <w:r w:rsidRPr="00077581">
        <w:rPr>
          <w:rFonts w:ascii="Times New Roman" w:hAnsi="Times New Roman" w:cs="Times New Roman"/>
        </w:rPr>
        <w:t xml:space="preserve">In addition, family history of hypertension showed a significant relationship with knowledge levels (χ² = 6.52, </w:t>
      </w:r>
      <w:proofErr w:type="spellStart"/>
      <w:r w:rsidRPr="00077581">
        <w:rPr>
          <w:rFonts w:ascii="Times New Roman" w:hAnsi="Times New Roman" w:cs="Times New Roman"/>
        </w:rPr>
        <w:t>df</w:t>
      </w:r>
      <w:proofErr w:type="spellEnd"/>
      <w:r w:rsidRPr="00077581">
        <w:rPr>
          <w:rFonts w:ascii="Times New Roman" w:hAnsi="Times New Roman" w:cs="Times New Roman"/>
        </w:rPr>
        <w:t xml:space="preserve"> = 1, p = 0.038), indicating that women with a familial background of hypertension may be more aware or better informed about the condition during pregnancy. Hence, hypothesis H1j was also rejected.</w:t>
      </w:r>
    </w:p>
    <w:p w14:paraId="50709FEC" w14:textId="77777777" w:rsidR="00D81433" w:rsidRPr="00077581" w:rsidRDefault="00D81433" w:rsidP="00EF0802">
      <w:pPr>
        <w:spacing w:line="360" w:lineRule="auto"/>
        <w:jc w:val="both"/>
        <w:rPr>
          <w:rFonts w:ascii="Times New Roman" w:hAnsi="Times New Roman" w:cs="Times New Roman"/>
        </w:rPr>
      </w:pPr>
      <w:r w:rsidRPr="00077581">
        <w:rPr>
          <w:rFonts w:ascii="Times New Roman" w:hAnsi="Times New Roman" w:cs="Times New Roman"/>
        </w:rPr>
        <w:t>Other demographic variables—including age, gestational age, occupation, income, residence, family type, parity, and family history of thyroid disorder—did not show statistically significant associations with knowledge levels (p &gt; 0.05 in each case). Consequently, the corresponding null hypotheses for these variables were accepted.</w:t>
      </w:r>
    </w:p>
    <w:p w14:paraId="0BB406F1" w14:textId="7FD6E579" w:rsidR="00D81433" w:rsidRPr="00077581" w:rsidRDefault="00D81433" w:rsidP="00EF0802">
      <w:pPr>
        <w:spacing w:line="360" w:lineRule="auto"/>
        <w:jc w:val="both"/>
        <w:rPr>
          <w:rFonts w:ascii="Times New Roman" w:hAnsi="Times New Roman" w:cs="Times New Roman"/>
        </w:rPr>
      </w:pPr>
      <w:r w:rsidRPr="00077581">
        <w:rPr>
          <w:rFonts w:ascii="Times New Roman" w:hAnsi="Times New Roman" w:cs="Times New Roman"/>
        </w:rPr>
        <w:t xml:space="preserve">These findings suggest that education and personal or family exposure to hypertension are the strongest predictors of awareness regarding thyroid and blood pressure conditions in pregnancy. Such insights can be instrumental in guiding health education campaigns and prenatal </w:t>
      </w:r>
      <w:proofErr w:type="spellStart"/>
      <w:r w:rsidRPr="00077581">
        <w:rPr>
          <w:rFonts w:ascii="Times New Roman" w:hAnsi="Times New Roman" w:cs="Times New Roman"/>
        </w:rPr>
        <w:t>counseling</w:t>
      </w:r>
      <w:proofErr w:type="spellEnd"/>
      <w:r w:rsidRPr="00077581">
        <w:rPr>
          <w:rFonts w:ascii="Times New Roman" w:hAnsi="Times New Roman" w:cs="Times New Roman"/>
        </w:rPr>
        <w:t xml:space="preserve"> strategies toward less educated and at-risk groups</w:t>
      </w:r>
      <w:r w:rsidR="00CC5373">
        <w:rPr>
          <w:rFonts w:ascii="Times New Roman" w:hAnsi="Times New Roman" w:cs="Times New Roman"/>
        </w:rPr>
        <w:t xml:space="preserve"> </w:t>
      </w:r>
      <w:r w:rsidR="00CC5373">
        <w:rPr>
          <w:rFonts w:ascii="Times New Roman" w:hAnsi="Times New Roman" w:cs="Times New Roman"/>
        </w:rPr>
        <w:fldChar w:fldCharType="begin" w:fldLock="1"/>
      </w:r>
      <w:r w:rsidR="00CC5373">
        <w:rPr>
          <w:rFonts w:ascii="Times New Roman" w:hAnsi="Times New Roman" w:cs="Times New Roman"/>
        </w:rPr>
        <w:instrText>ADDIN CSL_CITATION {"citationItems":[{"id":"ITEM-1","itemData":{"DOI":"10.7326/L23-0449","ISSN":"15393704","PMID":"38768492","author":[{"dropping-particle":"","family":"Chow","given":"Eric J.","non-dropping-particle":"","parse-names":false,"suffix":""},{"dropping-particle":"","family":"Lynch","given":"John B.","non-dropping-particle":"","parse-names":false,"suffix":""},{"dropping-particle":"","family":"Zerr","given":"Danielle M.","non-dropping-particle":"","parse-names":false,"suffix":""},{"dropping-particle":"","family":"Riedo","given":"Francis X.","non-dropping-particle":"","parse-names":false,"suffix":""},{"dropping-particle":"","family":"Fairchok","given":"Mary","non-dropping-particle":"","parse-names":false,"suffix":""},{"dropping-particle":"","family":"Pergam","given":"Steven A.","non-dropping-particle":"","parse-names":false,"suffix":""},{"dropping-particle":"","family":"Baliga","given":"Christopher S.","non-dropping-particle":"","parse-names":false,"suffix":""},{"dropping-particle":"","family":"Pauk","given":"John","non-dropping-particle":"","parse-names":false,"suffix":""},{"dropping-particle":"","family":"Lewis","given":"James","non-dropping-particle":"","parse-names":false,"suffix":""},{"dropping-particle":"","family":"Duchin","given":"Jeffrey S.","non-dropping-particle":"","parse-names":false,"suffix":""}],"container-title":"Annals of Internal Medicine","id":"ITEM-1","issue":"5","issued":{"date-parts":[["2024"]]},"page":"689","title":"Annals of Internal Medicine","type":"article-journal","volume":"177"},"uris":["http://www.mendeley.com/documents/?uuid=a2c63d93-6fbc-4e35-8e35-658f71113fd3"]},{"id":"ITEM-2","itemData":{"DOI":"10.1016/B978-0-323-82592-4.00039-0","ISBN":"9780323825924","abstract":"In primary aldosteronism, aldosterone secretion from adrenal glands is inappropriately high in view of the stimuli from outside the adrenal gland (i.e., it is autonomous). This autonomous aldosterone secretion typically leads to hypertension, which may be severe and in many cases is resistant to many commonly used antihypertensive medications. In addition, it is associated with increased risk of numerous end-organ complications that are out of proportion to the associated hypertension. Primary aldosteronism may result from either unilateral disease, typically an aldosterone producing adenoma (APA), or from bilateral disease, typically bilateral adrenal hyperplasia. Most cases of APA result from acquired somatic mutations that lead to adrenal cell hyperplasia and that directly increase aldosterone secretion. Excessive unilateral aldosterone secretion is effectively treated with adrenalectomy, with excellent chances of either correction of the hypertension or dramatic improvement in its control. Bilateral adrenal hyperplasia is effectively treated with mineralocorticoid receptor blockers with often dramatic improvements in blood pressure control. Effective treatment can dramatically improve blood pressure, and evidence suggests that such treatment is associated with abrogation of the increased cardiovascular risk associated with primary aldosteronism.","author":[{"dropping-particle":"","family":"Weiner","given":"I. David","non-dropping-particle":"","parse-names":false,"suffix":""},{"dropping-particle":"","family":"Wingo","given":"Charles S.","non-dropping-particle":"","parse-names":false,"suffix":""}],"container-title":"Comprehensive Clinical Nephrology","id":"ITEM-2","issued":{"date-parts":[["2023"]]},"page":"460-470.e2","publisher":"Current Hypertension Reports","title":"Endocrine Causes of Hypertension: Aldosterone","type":"article-journal"},"uris":["http://www.mendeley.com/documents/?uuid=76dba618-a0e1-4fec-a113-2ffb01774cbc"]},{"id":"ITEM-3","itemData":{"DOI":"10.1038/s41440-022-01067-z","ISSN":"13484214","PMID":"36229533","abstract":"In order to assess the risk of hypertension development, we performed a retrospective analysis of the clinical records of consecutive transgender patients who began gender-affirming hormonal therapy in our Outpatient Gender Identity Clinic with &lt;30 years of age and had a follow-up &gt;5 years. 149 transgender women treated with estradiol and 153 transgender men treated with testosterone were included; 129 of the transgender women received also androgen blockers (54 spironolactone, 49 cyproterone acetate and 26 LHRH agonists). The annual incidence of hypertension in young transgender men (1.18%) seemed comparable to that of the general population. In young transgender women, it seemed higher (2.14%); we found that the choice of androgen blocker had a remarkable effect, with a highly significant increase in patients treated with cyproterone acetate (4.90%) vs. the rest (0.80%); the adjusted hazard-ratio was 0.227 (p = 0.001). Correlation, logistic regression and mediation analyses were performed for the associations of the available clinical variables with the increase in systolic blood pressure and the onset of hypertension, but besides the use of cyproterone acetate, only the ponderal gain was found significant (Spearman’s r: 0.361, p &lt; 0.001); with a 36.7% mediation effect (31.2–42.3%). Cyproterone acetate has additional known risks, such as meningioma; although we cannot conclusively prove that it has a role in the development of hypertension, we conclude that the use of cyproterone acetate for this indication should be reconsidered.","author":[{"dropping-particle":"","family":"Martinez-Martin","given":"Francisco Javier","non-dropping-particle":"","parse-names":false,"suffix":""},{"dropping-particle":"","family":"Kuzior","given":"Agnieszka","non-dropping-particle":"","parse-names":false,"suffix":""},{"dropping-particle":"","family":"Hernandez-Lazaro","given":"Alba","non-dropping-particle":"","parse-names":false,"suffix":""},{"dropping-particle":"","family":"Leon-Durango","given":"Ricardo Jose","non-dropping-particle":"de","parse-names":false,"suffix":""},{"dropping-particle":"","family":"Rios-Gomez","given":"Carlos","non-dropping-particle":"","parse-names":false,"suffix":""},{"dropping-particle":"","family":"Santana-Ojeda","given":"Borja","non-dropping-particle":"","parse-names":false,"suffix":""},{"dropping-particle":"","family":"Perez-Rivero","given":"Jennifer Maria","non-dropping-particle":"","parse-names":false,"suffix":""},{"dropping-particle":"","family":"Fernandez-Trujillo-Comenge","given":"Paula Maria","non-dropping-particle":"","parse-names":false,"suffix":""},{"dropping-particle":"","family":"Gonzalez-Diaz","given":"Paula","non-dropping-particle":"","parse-names":false,"suffix":""},{"dropping-particle":"","family":"Arnas-Leon","given":"Claudia","non-dropping-particle":"","parse-names":false,"suffix":""},{"dropping-particle":"","family":"Acosta-Calero","given":"Carmen","non-dropping-particle":"","parse-names":false,"suffix":""},{"dropping-particle":"","family":"Perdomo-Herrera","given":"Esperanza","non-dropping-particle":"","parse-names":false,"suffix":""},{"dropping-particle":"","family":"Tocino-Hernandez","given":"Alba Lucia","non-dropping-particle":"","parse-names":false,"suffix":""},{"dropping-particle":"","family":"Sol Sanchez-Bacaicoa","given":"Maria","non-dropping-particle":"del","parse-names":false,"suffix":""},{"dropping-particle":"","family":"Pino Perez-Garcia","given":"Maria","non-dropping-particle":"del","parse-names":false,"suffix":""}],"container-title":"Hypertension Research","id":"ITEM-3","issue":"1","issued":{"date-parts":[["2023"]]},"page":"219-225","publisher":"Springer US","title":"Incidence of hypertension in young transgender people after a 5-year follow-up: association with gender-affirming hormonal therapy","type":"article-journal","volume":"46"},"uris":["http://www.mendeley.com/documents/?uuid=45c49fe3-0b2a-4872-834d-0e93fa1ca646"]}],"mendeley":{"formattedCitation":"(Chow et al., 2024; Martinez-Martin et al., 2023; Weiner &amp; Wingo, 2023)","plainTextFormattedCitation":"(Chow et al., 2024; Martinez-Martin et al., 2023; Weiner &amp; Wingo, 2023)","previouslyFormattedCitation":"(Chow et al., 2024; Martinez-Martin et al., 2023; Weiner &amp; Wingo, 2023)"},"properties":{"noteIndex":0},"schema":"https://github.com/citation-style-language/schema/raw/master/csl-citation.json"}</w:instrText>
      </w:r>
      <w:r w:rsidR="00CC5373">
        <w:rPr>
          <w:rFonts w:ascii="Times New Roman" w:hAnsi="Times New Roman" w:cs="Times New Roman"/>
        </w:rPr>
        <w:fldChar w:fldCharType="separate"/>
      </w:r>
      <w:r w:rsidR="00CC5373" w:rsidRPr="00CC5373">
        <w:rPr>
          <w:rFonts w:ascii="Times New Roman" w:hAnsi="Times New Roman" w:cs="Times New Roman"/>
          <w:noProof/>
        </w:rPr>
        <w:t>(Chow et al., 2024; Martinez-Martin et al., 2023; Weiner &amp; Wingo, 2023)</w:t>
      </w:r>
      <w:r w:rsidR="00CC5373">
        <w:rPr>
          <w:rFonts w:ascii="Times New Roman" w:hAnsi="Times New Roman" w:cs="Times New Roman"/>
        </w:rPr>
        <w:fldChar w:fldCharType="end"/>
      </w:r>
      <w:r w:rsidRPr="00077581">
        <w:rPr>
          <w:rFonts w:ascii="Times New Roman" w:hAnsi="Times New Roman" w:cs="Times New Roman"/>
        </w:rPr>
        <w:t>.</w:t>
      </w:r>
    </w:p>
    <w:p w14:paraId="147AF5BD" w14:textId="38562D2D" w:rsidR="00D81433" w:rsidRPr="00077581" w:rsidRDefault="00D81433" w:rsidP="00EF0802">
      <w:pPr>
        <w:spacing w:line="360" w:lineRule="auto"/>
        <w:jc w:val="both"/>
        <w:rPr>
          <w:rFonts w:ascii="Times New Roman" w:hAnsi="Times New Roman" w:cs="Times New Roman"/>
          <w:b/>
          <w:bCs/>
        </w:rPr>
      </w:pPr>
      <w:r w:rsidRPr="00077581">
        <w:rPr>
          <w:rFonts w:ascii="Times New Roman" w:hAnsi="Times New Roman" w:cs="Times New Roman"/>
          <w:b/>
          <w:bCs/>
        </w:rPr>
        <w:t xml:space="preserve">Table 4.9 </w:t>
      </w:r>
      <w:r w:rsidR="007A184E" w:rsidRPr="007A184E">
        <w:rPr>
          <w:rFonts w:ascii="Times New Roman" w:hAnsi="Times New Roman" w:cs="Times New Roman"/>
          <w:b/>
          <w:bCs/>
        </w:rPr>
        <w:t>Associations Between Demographic Variables and Knowledge Levels</w:t>
      </w:r>
    </w:p>
    <w:tbl>
      <w:tblPr>
        <w:tblStyle w:val="TableGrid"/>
        <w:tblW w:w="0" w:type="auto"/>
        <w:tblLook w:val="04A0" w:firstRow="1" w:lastRow="0" w:firstColumn="1" w:lastColumn="0" w:noHBand="0" w:noVBand="1"/>
      </w:tblPr>
      <w:tblGrid>
        <w:gridCol w:w="1381"/>
        <w:gridCol w:w="2140"/>
        <w:gridCol w:w="970"/>
        <w:gridCol w:w="430"/>
        <w:gridCol w:w="779"/>
        <w:gridCol w:w="1473"/>
        <w:gridCol w:w="1123"/>
      </w:tblGrid>
      <w:tr w:rsidR="00D81433" w:rsidRPr="00077581" w14:paraId="4C02C0E5" w14:textId="77777777" w:rsidTr="00E55E15">
        <w:tc>
          <w:tcPr>
            <w:tcW w:w="0" w:type="auto"/>
            <w:hideMark/>
          </w:tcPr>
          <w:p w14:paraId="4C321140" w14:textId="77777777" w:rsidR="00D81433" w:rsidRPr="00077581" w:rsidRDefault="00D81433" w:rsidP="00EF0802">
            <w:pPr>
              <w:spacing w:line="360" w:lineRule="auto"/>
              <w:rPr>
                <w:rFonts w:ascii="Times New Roman" w:hAnsi="Times New Roman" w:cs="Times New Roman"/>
                <w:b/>
                <w:bCs/>
              </w:rPr>
            </w:pPr>
            <w:r w:rsidRPr="00077581">
              <w:rPr>
                <w:rFonts w:ascii="Times New Roman" w:hAnsi="Times New Roman" w:cs="Times New Roman"/>
                <w:b/>
                <w:bCs/>
              </w:rPr>
              <w:t>Hypothesis No.</w:t>
            </w:r>
          </w:p>
        </w:tc>
        <w:tc>
          <w:tcPr>
            <w:tcW w:w="0" w:type="auto"/>
            <w:hideMark/>
          </w:tcPr>
          <w:p w14:paraId="37CCA9EE" w14:textId="77777777" w:rsidR="00D81433" w:rsidRPr="00077581" w:rsidRDefault="00D81433" w:rsidP="00EF0802">
            <w:pPr>
              <w:spacing w:line="360" w:lineRule="auto"/>
              <w:rPr>
                <w:rFonts w:ascii="Times New Roman" w:hAnsi="Times New Roman" w:cs="Times New Roman"/>
                <w:b/>
                <w:bCs/>
              </w:rPr>
            </w:pPr>
            <w:r w:rsidRPr="00077581">
              <w:rPr>
                <w:rFonts w:ascii="Times New Roman" w:hAnsi="Times New Roman" w:cs="Times New Roman"/>
                <w:b/>
                <w:bCs/>
              </w:rPr>
              <w:t>Statement</w:t>
            </w:r>
          </w:p>
        </w:tc>
        <w:tc>
          <w:tcPr>
            <w:tcW w:w="0" w:type="auto"/>
          </w:tcPr>
          <w:p w14:paraId="419FD598" w14:textId="77777777" w:rsidR="00D81433" w:rsidRPr="00077581" w:rsidRDefault="00D81433" w:rsidP="00EF0802">
            <w:pPr>
              <w:spacing w:line="360" w:lineRule="auto"/>
              <w:rPr>
                <w:rFonts w:ascii="Times New Roman" w:hAnsi="Times New Roman" w:cs="Times New Roman"/>
                <w:b/>
                <w:bCs/>
              </w:rPr>
            </w:pPr>
            <w:r w:rsidRPr="00077581">
              <w:rPr>
                <w:rFonts w:ascii="Times New Roman" w:hAnsi="Times New Roman" w:cs="Times New Roman"/>
                <w:b/>
                <w:bCs/>
              </w:rPr>
              <w:t>Chi-square (χ²)</w:t>
            </w:r>
          </w:p>
        </w:tc>
        <w:tc>
          <w:tcPr>
            <w:tcW w:w="0" w:type="auto"/>
          </w:tcPr>
          <w:p w14:paraId="2BD202A9" w14:textId="77777777" w:rsidR="00D81433" w:rsidRPr="00077581" w:rsidRDefault="00D81433" w:rsidP="00EF0802">
            <w:pPr>
              <w:spacing w:line="360" w:lineRule="auto"/>
              <w:rPr>
                <w:rFonts w:ascii="Times New Roman" w:hAnsi="Times New Roman" w:cs="Times New Roman"/>
                <w:b/>
                <w:bCs/>
              </w:rPr>
            </w:pPr>
            <w:proofErr w:type="spellStart"/>
            <w:r w:rsidRPr="00077581">
              <w:rPr>
                <w:rFonts w:ascii="Times New Roman" w:hAnsi="Times New Roman" w:cs="Times New Roman"/>
                <w:b/>
                <w:bCs/>
              </w:rPr>
              <w:t>df</w:t>
            </w:r>
            <w:proofErr w:type="spellEnd"/>
          </w:p>
        </w:tc>
        <w:tc>
          <w:tcPr>
            <w:tcW w:w="0" w:type="auto"/>
            <w:hideMark/>
          </w:tcPr>
          <w:p w14:paraId="32BCCA16" w14:textId="77777777" w:rsidR="00D81433" w:rsidRPr="00077581" w:rsidRDefault="00D81433" w:rsidP="00EF0802">
            <w:pPr>
              <w:spacing w:line="360" w:lineRule="auto"/>
              <w:rPr>
                <w:rFonts w:ascii="Times New Roman" w:hAnsi="Times New Roman" w:cs="Times New Roman"/>
                <w:b/>
                <w:bCs/>
              </w:rPr>
            </w:pPr>
            <w:r w:rsidRPr="00077581">
              <w:rPr>
                <w:rFonts w:ascii="Times New Roman" w:hAnsi="Times New Roman" w:cs="Times New Roman"/>
                <w:b/>
                <w:bCs/>
              </w:rPr>
              <w:t>p-value</w:t>
            </w:r>
          </w:p>
        </w:tc>
        <w:tc>
          <w:tcPr>
            <w:tcW w:w="0" w:type="auto"/>
            <w:hideMark/>
          </w:tcPr>
          <w:p w14:paraId="0FA18CC8" w14:textId="77777777" w:rsidR="00D81433" w:rsidRPr="00077581" w:rsidRDefault="00D81433" w:rsidP="00EF0802">
            <w:pPr>
              <w:spacing w:line="360" w:lineRule="auto"/>
              <w:rPr>
                <w:rFonts w:ascii="Times New Roman" w:hAnsi="Times New Roman" w:cs="Times New Roman"/>
                <w:b/>
                <w:bCs/>
              </w:rPr>
            </w:pPr>
            <w:r w:rsidRPr="00077581">
              <w:rPr>
                <w:rFonts w:ascii="Times New Roman" w:hAnsi="Times New Roman" w:cs="Times New Roman"/>
                <w:b/>
                <w:bCs/>
              </w:rPr>
              <w:t>Significance</w:t>
            </w:r>
          </w:p>
        </w:tc>
        <w:tc>
          <w:tcPr>
            <w:tcW w:w="0" w:type="auto"/>
            <w:hideMark/>
          </w:tcPr>
          <w:p w14:paraId="43A27F84" w14:textId="77777777" w:rsidR="00D81433" w:rsidRPr="00077581" w:rsidRDefault="00D81433" w:rsidP="00EF0802">
            <w:pPr>
              <w:spacing w:line="360" w:lineRule="auto"/>
              <w:rPr>
                <w:rFonts w:ascii="Times New Roman" w:hAnsi="Times New Roman" w:cs="Times New Roman"/>
                <w:b/>
                <w:bCs/>
              </w:rPr>
            </w:pPr>
            <w:r w:rsidRPr="00077581">
              <w:rPr>
                <w:rFonts w:ascii="Times New Roman" w:hAnsi="Times New Roman" w:cs="Times New Roman"/>
                <w:b/>
                <w:bCs/>
              </w:rPr>
              <w:t>Status</w:t>
            </w:r>
          </w:p>
        </w:tc>
      </w:tr>
      <w:tr w:rsidR="00D81433" w:rsidRPr="00077581" w14:paraId="7B14F662" w14:textId="77777777" w:rsidTr="00E55E15">
        <w:tc>
          <w:tcPr>
            <w:tcW w:w="0" w:type="auto"/>
            <w:hideMark/>
          </w:tcPr>
          <w:p w14:paraId="20AEF825"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H1a</w:t>
            </w:r>
          </w:p>
        </w:tc>
        <w:tc>
          <w:tcPr>
            <w:tcW w:w="0" w:type="auto"/>
            <w:hideMark/>
          </w:tcPr>
          <w:p w14:paraId="73726CF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There is no significant association between Age and knowledge level.</w:t>
            </w:r>
          </w:p>
        </w:tc>
        <w:tc>
          <w:tcPr>
            <w:tcW w:w="0" w:type="auto"/>
          </w:tcPr>
          <w:p w14:paraId="07CA6106"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8.34</w:t>
            </w:r>
          </w:p>
        </w:tc>
        <w:tc>
          <w:tcPr>
            <w:tcW w:w="0" w:type="auto"/>
          </w:tcPr>
          <w:p w14:paraId="79F8E63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4</w:t>
            </w:r>
          </w:p>
        </w:tc>
        <w:tc>
          <w:tcPr>
            <w:tcW w:w="0" w:type="auto"/>
            <w:hideMark/>
          </w:tcPr>
          <w:p w14:paraId="5CA5A1C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0.080</w:t>
            </w:r>
          </w:p>
        </w:tc>
        <w:tc>
          <w:tcPr>
            <w:tcW w:w="0" w:type="auto"/>
            <w:hideMark/>
          </w:tcPr>
          <w:p w14:paraId="593D283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Not Significant</w:t>
            </w:r>
          </w:p>
        </w:tc>
        <w:tc>
          <w:tcPr>
            <w:tcW w:w="0" w:type="auto"/>
            <w:hideMark/>
          </w:tcPr>
          <w:p w14:paraId="1A3B96C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Accepted</w:t>
            </w:r>
          </w:p>
        </w:tc>
      </w:tr>
      <w:tr w:rsidR="00D81433" w:rsidRPr="00077581" w14:paraId="594DD400" w14:textId="77777777" w:rsidTr="00E55E15">
        <w:tc>
          <w:tcPr>
            <w:tcW w:w="0" w:type="auto"/>
            <w:hideMark/>
          </w:tcPr>
          <w:p w14:paraId="6E3D0B7B"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H1b</w:t>
            </w:r>
          </w:p>
        </w:tc>
        <w:tc>
          <w:tcPr>
            <w:tcW w:w="0" w:type="auto"/>
            <w:hideMark/>
          </w:tcPr>
          <w:p w14:paraId="36EE4D85"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There is no significant association between Gestational Age and knowledge level.</w:t>
            </w:r>
          </w:p>
        </w:tc>
        <w:tc>
          <w:tcPr>
            <w:tcW w:w="0" w:type="auto"/>
          </w:tcPr>
          <w:p w14:paraId="6F20A71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5.12</w:t>
            </w:r>
          </w:p>
        </w:tc>
        <w:tc>
          <w:tcPr>
            <w:tcW w:w="0" w:type="auto"/>
          </w:tcPr>
          <w:p w14:paraId="52B69A35"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2</w:t>
            </w:r>
          </w:p>
        </w:tc>
        <w:tc>
          <w:tcPr>
            <w:tcW w:w="0" w:type="auto"/>
            <w:hideMark/>
          </w:tcPr>
          <w:p w14:paraId="4246CB7B"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0.077</w:t>
            </w:r>
          </w:p>
        </w:tc>
        <w:tc>
          <w:tcPr>
            <w:tcW w:w="0" w:type="auto"/>
            <w:hideMark/>
          </w:tcPr>
          <w:p w14:paraId="30F8FA9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Not Significant</w:t>
            </w:r>
          </w:p>
        </w:tc>
        <w:tc>
          <w:tcPr>
            <w:tcW w:w="0" w:type="auto"/>
            <w:hideMark/>
          </w:tcPr>
          <w:p w14:paraId="5AB127B9"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Accepted</w:t>
            </w:r>
          </w:p>
        </w:tc>
      </w:tr>
      <w:tr w:rsidR="00D81433" w:rsidRPr="00077581" w14:paraId="18C86CBD" w14:textId="77777777" w:rsidTr="00E55E15">
        <w:tc>
          <w:tcPr>
            <w:tcW w:w="0" w:type="auto"/>
            <w:hideMark/>
          </w:tcPr>
          <w:p w14:paraId="19CADE2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lastRenderedPageBreak/>
              <w:t>H1c</w:t>
            </w:r>
          </w:p>
        </w:tc>
        <w:tc>
          <w:tcPr>
            <w:tcW w:w="0" w:type="auto"/>
            <w:hideMark/>
          </w:tcPr>
          <w:p w14:paraId="16B8D243"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There is no significant association between Education Level and knowledge level.</w:t>
            </w:r>
          </w:p>
        </w:tc>
        <w:tc>
          <w:tcPr>
            <w:tcW w:w="0" w:type="auto"/>
          </w:tcPr>
          <w:p w14:paraId="4B671D3F"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22.17</w:t>
            </w:r>
          </w:p>
        </w:tc>
        <w:tc>
          <w:tcPr>
            <w:tcW w:w="0" w:type="auto"/>
          </w:tcPr>
          <w:p w14:paraId="4DD9C99C"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8</w:t>
            </w:r>
          </w:p>
        </w:tc>
        <w:tc>
          <w:tcPr>
            <w:tcW w:w="0" w:type="auto"/>
            <w:hideMark/>
          </w:tcPr>
          <w:p w14:paraId="371849B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0.005</w:t>
            </w:r>
          </w:p>
        </w:tc>
        <w:tc>
          <w:tcPr>
            <w:tcW w:w="0" w:type="auto"/>
            <w:hideMark/>
          </w:tcPr>
          <w:p w14:paraId="39D044A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Significant</w:t>
            </w:r>
          </w:p>
        </w:tc>
        <w:tc>
          <w:tcPr>
            <w:tcW w:w="0" w:type="auto"/>
            <w:hideMark/>
          </w:tcPr>
          <w:p w14:paraId="05E762D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Rejected</w:t>
            </w:r>
          </w:p>
        </w:tc>
      </w:tr>
      <w:tr w:rsidR="00D81433" w:rsidRPr="00077581" w14:paraId="5DCF0731" w14:textId="77777777" w:rsidTr="00E55E15">
        <w:tc>
          <w:tcPr>
            <w:tcW w:w="0" w:type="auto"/>
            <w:hideMark/>
          </w:tcPr>
          <w:p w14:paraId="5C0047D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H1d</w:t>
            </w:r>
          </w:p>
        </w:tc>
        <w:tc>
          <w:tcPr>
            <w:tcW w:w="0" w:type="auto"/>
            <w:hideMark/>
          </w:tcPr>
          <w:p w14:paraId="11D0809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There is no significant association between Occupation and knowledge level.</w:t>
            </w:r>
          </w:p>
        </w:tc>
        <w:tc>
          <w:tcPr>
            <w:tcW w:w="0" w:type="auto"/>
          </w:tcPr>
          <w:p w14:paraId="06E0C10C"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4.62</w:t>
            </w:r>
          </w:p>
        </w:tc>
        <w:tc>
          <w:tcPr>
            <w:tcW w:w="0" w:type="auto"/>
          </w:tcPr>
          <w:p w14:paraId="775AADB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6</w:t>
            </w:r>
          </w:p>
        </w:tc>
        <w:tc>
          <w:tcPr>
            <w:tcW w:w="0" w:type="auto"/>
            <w:hideMark/>
          </w:tcPr>
          <w:p w14:paraId="6CC6525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0.592</w:t>
            </w:r>
          </w:p>
        </w:tc>
        <w:tc>
          <w:tcPr>
            <w:tcW w:w="0" w:type="auto"/>
            <w:hideMark/>
          </w:tcPr>
          <w:p w14:paraId="0F50C06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Not Significant</w:t>
            </w:r>
          </w:p>
        </w:tc>
        <w:tc>
          <w:tcPr>
            <w:tcW w:w="0" w:type="auto"/>
            <w:hideMark/>
          </w:tcPr>
          <w:p w14:paraId="27F0D95A"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Accepted</w:t>
            </w:r>
          </w:p>
        </w:tc>
      </w:tr>
      <w:tr w:rsidR="00D81433" w:rsidRPr="00077581" w14:paraId="4BB261A3" w14:textId="77777777" w:rsidTr="00E55E15">
        <w:tc>
          <w:tcPr>
            <w:tcW w:w="0" w:type="auto"/>
            <w:hideMark/>
          </w:tcPr>
          <w:p w14:paraId="6A53D72A"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H1e</w:t>
            </w:r>
          </w:p>
        </w:tc>
        <w:tc>
          <w:tcPr>
            <w:tcW w:w="0" w:type="auto"/>
            <w:hideMark/>
          </w:tcPr>
          <w:p w14:paraId="2D72437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There is no significant association between Monthly Family Income and knowledge level.</w:t>
            </w:r>
          </w:p>
        </w:tc>
        <w:tc>
          <w:tcPr>
            <w:tcW w:w="0" w:type="auto"/>
          </w:tcPr>
          <w:p w14:paraId="13932AF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11.90</w:t>
            </w:r>
          </w:p>
        </w:tc>
        <w:tc>
          <w:tcPr>
            <w:tcW w:w="0" w:type="auto"/>
          </w:tcPr>
          <w:p w14:paraId="0FE2F296"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8</w:t>
            </w:r>
          </w:p>
        </w:tc>
        <w:tc>
          <w:tcPr>
            <w:tcW w:w="0" w:type="auto"/>
            <w:hideMark/>
          </w:tcPr>
          <w:p w14:paraId="10811D37"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0.155</w:t>
            </w:r>
          </w:p>
        </w:tc>
        <w:tc>
          <w:tcPr>
            <w:tcW w:w="0" w:type="auto"/>
            <w:hideMark/>
          </w:tcPr>
          <w:p w14:paraId="444A8DB6"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Not Significant</w:t>
            </w:r>
          </w:p>
        </w:tc>
        <w:tc>
          <w:tcPr>
            <w:tcW w:w="0" w:type="auto"/>
            <w:hideMark/>
          </w:tcPr>
          <w:p w14:paraId="7B2B6AF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Accepted</w:t>
            </w:r>
          </w:p>
        </w:tc>
      </w:tr>
      <w:tr w:rsidR="00D81433" w:rsidRPr="00077581" w14:paraId="532C376C" w14:textId="77777777" w:rsidTr="00E55E15">
        <w:tc>
          <w:tcPr>
            <w:tcW w:w="0" w:type="auto"/>
            <w:hideMark/>
          </w:tcPr>
          <w:p w14:paraId="15588C26"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H1f</w:t>
            </w:r>
          </w:p>
        </w:tc>
        <w:tc>
          <w:tcPr>
            <w:tcW w:w="0" w:type="auto"/>
            <w:hideMark/>
          </w:tcPr>
          <w:p w14:paraId="010550CB"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There is no significant association between Residence and knowledge level.</w:t>
            </w:r>
          </w:p>
        </w:tc>
        <w:tc>
          <w:tcPr>
            <w:tcW w:w="0" w:type="auto"/>
          </w:tcPr>
          <w:p w14:paraId="43F93E0F"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3.02</w:t>
            </w:r>
          </w:p>
        </w:tc>
        <w:tc>
          <w:tcPr>
            <w:tcW w:w="0" w:type="auto"/>
          </w:tcPr>
          <w:p w14:paraId="4BCE95C6"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2</w:t>
            </w:r>
          </w:p>
        </w:tc>
        <w:tc>
          <w:tcPr>
            <w:tcW w:w="0" w:type="auto"/>
            <w:hideMark/>
          </w:tcPr>
          <w:p w14:paraId="4F54A77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0.221</w:t>
            </w:r>
          </w:p>
        </w:tc>
        <w:tc>
          <w:tcPr>
            <w:tcW w:w="0" w:type="auto"/>
            <w:hideMark/>
          </w:tcPr>
          <w:p w14:paraId="7DA88412"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Not Significant</w:t>
            </w:r>
          </w:p>
        </w:tc>
        <w:tc>
          <w:tcPr>
            <w:tcW w:w="0" w:type="auto"/>
            <w:hideMark/>
          </w:tcPr>
          <w:p w14:paraId="44DFA79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Accepted</w:t>
            </w:r>
          </w:p>
        </w:tc>
      </w:tr>
      <w:tr w:rsidR="00D81433" w:rsidRPr="00077581" w14:paraId="5C292FC6" w14:textId="77777777" w:rsidTr="00E55E15">
        <w:tc>
          <w:tcPr>
            <w:tcW w:w="0" w:type="auto"/>
            <w:hideMark/>
          </w:tcPr>
          <w:p w14:paraId="62570A97"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H1g</w:t>
            </w:r>
          </w:p>
        </w:tc>
        <w:tc>
          <w:tcPr>
            <w:tcW w:w="0" w:type="auto"/>
            <w:hideMark/>
          </w:tcPr>
          <w:p w14:paraId="403E3353"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There is no significant association between Family Type and knowledge level.</w:t>
            </w:r>
          </w:p>
        </w:tc>
        <w:tc>
          <w:tcPr>
            <w:tcW w:w="0" w:type="auto"/>
          </w:tcPr>
          <w:p w14:paraId="2D43C34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0.73</w:t>
            </w:r>
          </w:p>
        </w:tc>
        <w:tc>
          <w:tcPr>
            <w:tcW w:w="0" w:type="auto"/>
          </w:tcPr>
          <w:p w14:paraId="1BA7699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w:t>
            </w:r>
          </w:p>
        </w:tc>
        <w:tc>
          <w:tcPr>
            <w:tcW w:w="0" w:type="auto"/>
            <w:hideMark/>
          </w:tcPr>
          <w:p w14:paraId="008B785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0.393</w:t>
            </w:r>
          </w:p>
        </w:tc>
        <w:tc>
          <w:tcPr>
            <w:tcW w:w="0" w:type="auto"/>
            <w:hideMark/>
          </w:tcPr>
          <w:p w14:paraId="01936B75"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Not Significant</w:t>
            </w:r>
          </w:p>
        </w:tc>
        <w:tc>
          <w:tcPr>
            <w:tcW w:w="0" w:type="auto"/>
            <w:hideMark/>
          </w:tcPr>
          <w:p w14:paraId="0F8E2B8B"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Accepted</w:t>
            </w:r>
          </w:p>
        </w:tc>
      </w:tr>
      <w:tr w:rsidR="00D81433" w:rsidRPr="00077581" w14:paraId="270742D8" w14:textId="77777777" w:rsidTr="00E55E15">
        <w:tc>
          <w:tcPr>
            <w:tcW w:w="0" w:type="auto"/>
            <w:hideMark/>
          </w:tcPr>
          <w:p w14:paraId="331A99EE"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H1h</w:t>
            </w:r>
          </w:p>
        </w:tc>
        <w:tc>
          <w:tcPr>
            <w:tcW w:w="0" w:type="auto"/>
            <w:hideMark/>
          </w:tcPr>
          <w:p w14:paraId="1E901D46"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 xml:space="preserve">There is no significant association </w:t>
            </w:r>
            <w:r w:rsidRPr="00077581">
              <w:rPr>
                <w:rFonts w:ascii="Times New Roman" w:hAnsi="Times New Roman" w:cs="Times New Roman"/>
              </w:rPr>
              <w:lastRenderedPageBreak/>
              <w:t>between Parity and knowledge level.</w:t>
            </w:r>
          </w:p>
        </w:tc>
        <w:tc>
          <w:tcPr>
            <w:tcW w:w="0" w:type="auto"/>
          </w:tcPr>
          <w:p w14:paraId="19BFC9CB"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lastRenderedPageBreak/>
              <w:t>5.21</w:t>
            </w:r>
          </w:p>
        </w:tc>
        <w:tc>
          <w:tcPr>
            <w:tcW w:w="0" w:type="auto"/>
          </w:tcPr>
          <w:p w14:paraId="6DAD2F89"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w:t>
            </w:r>
          </w:p>
        </w:tc>
        <w:tc>
          <w:tcPr>
            <w:tcW w:w="0" w:type="auto"/>
            <w:hideMark/>
          </w:tcPr>
          <w:p w14:paraId="28057CDA"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0.073</w:t>
            </w:r>
          </w:p>
        </w:tc>
        <w:tc>
          <w:tcPr>
            <w:tcW w:w="0" w:type="auto"/>
            <w:hideMark/>
          </w:tcPr>
          <w:p w14:paraId="7593883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Not Significant</w:t>
            </w:r>
          </w:p>
        </w:tc>
        <w:tc>
          <w:tcPr>
            <w:tcW w:w="0" w:type="auto"/>
            <w:hideMark/>
          </w:tcPr>
          <w:p w14:paraId="37DCA73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Accepted</w:t>
            </w:r>
          </w:p>
        </w:tc>
      </w:tr>
      <w:tr w:rsidR="00D81433" w:rsidRPr="00077581" w14:paraId="23824BCE" w14:textId="77777777" w:rsidTr="00E55E15">
        <w:tc>
          <w:tcPr>
            <w:tcW w:w="0" w:type="auto"/>
            <w:hideMark/>
          </w:tcPr>
          <w:p w14:paraId="5C9C20D9"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H1i</w:t>
            </w:r>
          </w:p>
        </w:tc>
        <w:tc>
          <w:tcPr>
            <w:tcW w:w="0" w:type="auto"/>
            <w:hideMark/>
          </w:tcPr>
          <w:p w14:paraId="6CA5108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There is no significant association between Family History of Thyroid Disorder and knowledge level.</w:t>
            </w:r>
          </w:p>
        </w:tc>
        <w:tc>
          <w:tcPr>
            <w:tcW w:w="0" w:type="auto"/>
          </w:tcPr>
          <w:p w14:paraId="1376FF6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3.88</w:t>
            </w:r>
          </w:p>
        </w:tc>
        <w:tc>
          <w:tcPr>
            <w:tcW w:w="0" w:type="auto"/>
          </w:tcPr>
          <w:p w14:paraId="572FEFE6"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w:t>
            </w:r>
          </w:p>
        </w:tc>
        <w:tc>
          <w:tcPr>
            <w:tcW w:w="0" w:type="auto"/>
            <w:hideMark/>
          </w:tcPr>
          <w:p w14:paraId="65132537"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0.143</w:t>
            </w:r>
          </w:p>
        </w:tc>
        <w:tc>
          <w:tcPr>
            <w:tcW w:w="0" w:type="auto"/>
            <w:hideMark/>
          </w:tcPr>
          <w:p w14:paraId="2A87A6F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Not Significant</w:t>
            </w:r>
          </w:p>
        </w:tc>
        <w:tc>
          <w:tcPr>
            <w:tcW w:w="0" w:type="auto"/>
            <w:hideMark/>
          </w:tcPr>
          <w:p w14:paraId="311C3DF9"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Accepted</w:t>
            </w:r>
          </w:p>
        </w:tc>
      </w:tr>
      <w:tr w:rsidR="00D81433" w:rsidRPr="00077581" w14:paraId="5E6B8370" w14:textId="77777777" w:rsidTr="00E55E15">
        <w:tc>
          <w:tcPr>
            <w:tcW w:w="0" w:type="auto"/>
            <w:hideMark/>
          </w:tcPr>
          <w:p w14:paraId="58A2E936"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H1j</w:t>
            </w:r>
          </w:p>
        </w:tc>
        <w:tc>
          <w:tcPr>
            <w:tcW w:w="0" w:type="auto"/>
            <w:hideMark/>
          </w:tcPr>
          <w:p w14:paraId="7CD9B27A"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There is no significant association between Family History of Hypertension and knowledge level.</w:t>
            </w:r>
          </w:p>
        </w:tc>
        <w:tc>
          <w:tcPr>
            <w:tcW w:w="0" w:type="auto"/>
          </w:tcPr>
          <w:p w14:paraId="46A0E7CF"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6.52</w:t>
            </w:r>
          </w:p>
        </w:tc>
        <w:tc>
          <w:tcPr>
            <w:tcW w:w="0" w:type="auto"/>
          </w:tcPr>
          <w:p w14:paraId="25E9C2D9"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w:t>
            </w:r>
          </w:p>
        </w:tc>
        <w:tc>
          <w:tcPr>
            <w:tcW w:w="0" w:type="auto"/>
            <w:hideMark/>
          </w:tcPr>
          <w:p w14:paraId="13E4BFB9"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0.038</w:t>
            </w:r>
          </w:p>
        </w:tc>
        <w:tc>
          <w:tcPr>
            <w:tcW w:w="0" w:type="auto"/>
            <w:hideMark/>
          </w:tcPr>
          <w:p w14:paraId="499BDB39"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Significant</w:t>
            </w:r>
          </w:p>
        </w:tc>
        <w:tc>
          <w:tcPr>
            <w:tcW w:w="0" w:type="auto"/>
            <w:hideMark/>
          </w:tcPr>
          <w:p w14:paraId="7B35EA5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Rejected</w:t>
            </w:r>
          </w:p>
        </w:tc>
      </w:tr>
    </w:tbl>
    <w:p w14:paraId="5D9E4151" w14:textId="77777777" w:rsidR="00D81433" w:rsidRPr="00077581" w:rsidRDefault="00D81433" w:rsidP="00EF0802">
      <w:pPr>
        <w:spacing w:line="360" w:lineRule="auto"/>
        <w:jc w:val="both"/>
        <w:rPr>
          <w:rFonts w:ascii="Times New Roman" w:hAnsi="Times New Roman" w:cs="Times New Roman"/>
          <w:b/>
          <w:bCs/>
        </w:rPr>
      </w:pPr>
    </w:p>
    <w:p w14:paraId="1B3CB444" w14:textId="77777777" w:rsidR="00D81433" w:rsidRPr="00077581" w:rsidRDefault="00D81433" w:rsidP="00EF0802">
      <w:pPr>
        <w:pStyle w:val="Heading3"/>
        <w:spacing w:before="0" w:after="160" w:line="360" w:lineRule="auto"/>
        <w:jc w:val="both"/>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4.4 Lifestyle Practices (Pre and Post Intervention)</w:t>
      </w:r>
    </w:p>
    <w:p w14:paraId="02DC6781" w14:textId="77777777" w:rsidR="00D81433" w:rsidRPr="00806BAD" w:rsidRDefault="00D81433" w:rsidP="00EF0802">
      <w:pPr>
        <w:pStyle w:val="NormalWeb"/>
        <w:spacing w:before="0" w:beforeAutospacing="0" w:after="160" w:afterAutospacing="0" w:line="360" w:lineRule="auto"/>
        <w:jc w:val="both"/>
      </w:pPr>
      <w:r w:rsidRPr="00077581">
        <w:t xml:space="preserve">The effectiveness of the lifestyle modification intervention was also assessed through an evaluation of </w:t>
      </w:r>
      <w:proofErr w:type="spellStart"/>
      <w:r w:rsidRPr="00077581">
        <w:t>behavioral</w:t>
      </w:r>
      <w:proofErr w:type="spellEnd"/>
      <w:r w:rsidRPr="00077581">
        <w:t xml:space="preserve"> changes in daily practices such as physical activity, diet, supplement intake, sleep, and stress management. As </w:t>
      </w:r>
      <w:r w:rsidRPr="00806BAD">
        <w:t xml:space="preserve">shown in </w:t>
      </w:r>
      <w:r w:rsidRPr="00806BAD">
        <w:rPr>
          <w:rStyle w:val="Strong"/>
          <w:b w:val="0"/>
          <w:bCs w:val="0"/>
        </w:rPr>
        <w:t>Table 4.10</w:t>
      </w:r>
      <w:r w:rsidRPr="00806BAD">
        <w:t>, a significant positive shift was observed in almost all lifestyle domains post-intervention.</w:t>
      </w:r>
    </w:p>
    <w:p w14:paraId="5C7B6853" w14:textId="77777777" w:rsidR="00D81433" w:rsidRPr="00077581" w:rsidRDefault="00D81433" w:rsidP="00EF0802">
      <w:pPr>
        <w:pStyle w:val="NormalWeb"/>
        <w:spacing w:before="0" w:beforeAutospacing="0" w:after="160" w:afterAutospacing="0" w:line="360" w:lineRule="auto"/>
        <w:jc w:val="both"/>
      </w:pPr>
      <w:r w:rsidRPr="00806BAD">
        <w:t>In terms of physical activity, prior to the intervention, 42% of the participants reported that they rarely or never exercised. This number drasti</w:t>
      </w:r>
      <w:r w:rsidRPr="00077581">
        <w:t>cally reduced to just 9.5% after the intervention. Conversely, those who reported daily exercise increased from 11.0% to 42.0%, demonstrating a considerable improvement in engagement with regular physical activity. Similarly, increases were noted in specific types of exercise such as walking (from 69.0% to 79.0%), yoga (47.5% to 58.5%), aerobics (51.5% to 63.5%), and swimming (33.5% to 42.5%)—all indicating diversified and enhanced activity patterns among participants after the program.</w:t>
      </w:r>
    </w:p>
    <w:p w14:paraId="055E154B" w14:textId="77777777" w:rsidR="00D81433" w:rsidRPr="00077581" w:rsidRDefault="00D81433" w:rsidP="00EF0802">
      <w:pPr>
        <w:pStyle w:val="NormalWeb"/>
        <w:spacing w:before="0" w:beforeAutospacing="0" w:after="160" w:afterAutospacing="0" w:line="360" w:lineRule="auto"/>
        <w:jc w:val="both"/>
      </w:pPr>
      <w:r w:rsidRPr="00077581">
        <w:t xml:space="preserve">Dietary </w:t>
      </w:r>
      <w:proofErr w:type="spellStart"/>
      <w:r w:rsidRPr="00077581">
        <w:t>behavior</w:t>
      </w:r>
      <w:proofErr w:type="spellEnd"/>
      <w:r w:rsidRPr="00077581">
        <w:t xml:space="preserve"> also showed marked improvement. Before the intervention, only 51.0% of the participants had made dietary changes, which rose significantly to 80.5% </w:t>
      </w:r>
      <w:r w:rsidRPr="00077581">
        <w:lastRenderedPageBreak/>
        <w:t>after the sessions. Among those who made dietary changes, improvements were seen in key areas: increased consumption of fruits and vegetables (31.5% to 50.5%), reduction of caffeine intake (21.0% to 34.0%), and increased water intake (30.5% to 40.5%). The proportion of participants adhering to a specific diet plan also increased substantially from 28.0% pre-test to 65.0% post-test. Notably, the intake of high-sodium foods on a daily basis declined from 28.0% to 8.5%, while the number of women who rarely or never consumed high-sodium foods rose from 19.0% to 47.5%.</w:t>
      </w:r>
    </w:p>
    <w:p w14:paraId="0563A043" w14:textId="77777777" w:rsidR="00D81433" w:rsidRPr="00077581" w:rsidRDefault="00D81433" w:rsidP="00EF0802">
      <w:pPr>
        <w:pStyle w:val="NormalWeb"/>
        <w:spacing w:before="0" w:beforeAutospacing="0" w:after="160" w:afterAutospacing="0" w:line="360" w:lineRule="auto"/>
        <w:jc w:val="both"/>
      </w:pPr>
      <w:r w:rsidRPr="00077581">
        <w:t xml:space="preserve">Supplement intake and stress management practices also improved. The percentage of women taking supplements increased from 67.0% to 78.5%, and those practicing stress relief methods (such as meditation, breathing exercises, or </w:t>
      </w:r>
      <w:proofErr w:type="spellStart"/>
      <w:r w:rsidRPr="00077581">
        <w:t>counseling</w:t>
      </w:r>
      <w:proofErr w:type="spellEnd"/>
      <w:r w:rsidRPr="00077581">
        <w:t>) surged from 43.0% to 78.5%. Sleep quality, another crucial lifestyle component, improved as well. Participants reporting less than 5 hours of sleep reduced from 19.0% to 4.5%, while those achieving over 8 hours of sleep increased from 12.0% to 35.5%.</w:t>
      </w:r>
    </w:p>
    <w:p w14:paraId="5A07DECA" w14:textId="77777777" w:rsidR="00D81433" w:rsidRPr="00077581" w:rsidRDefault="00D81433" w:rsidP="00EF0802">
      <w:pPr>
        <w:pStyle w:val="NormalWeb"/>
        <w:spacing w:before="0" w:beforeAutospacing="0" w:after="160" w:afterAutospacing="0" w:line="360" w:lineRule="auto"/>
        <w:jc w:val="both"/>
      </w:pPr>
      <w:r w:rsidRPr="00077581">
        <w:t>Lastly, the proportion of participants who discussed their lifestyle and health status with a healthcare provider doubled—from 35.0% in the pre-test to 70.0% post-test. This finding not only underscores increased engagement with medical professionals but also reflects the intervention's effectiveness in empowering women to seek and use health information.</w:t>
      </w:r>
    </w:p>
    <w:p w14:paraId="7AFACAEA" w14:textId="1ABB58FD" w:rsidR="00D81433" w:rsidRPr="00077581" w:rsidRDefault="00D81433" w:rsidP="00EF0802">
      <w:pPr>
        <w:pStyle w:val="NormalWeb"/>
        <w:spacing w:before="0" w:beforeAutospacing="0" w:after="160" w:afterAutospacing="0" w:line="360" w:lineRule="auto"/>
        <w:jc w:val="both"/>
      </w:pPr>
      <w:r w:rsidRPr="00077581">
        <w:t xml:space="preserve">In summary, </w:t>
      </w:r>
      <w:r w:rsidRPr="00806BAD">
        <w:rPr>
          <w:rStyle w:val="Strong"/>
          <w:b w:val="0"/>
          <w:bCs w:val="0"/>
        </w:rPr>
        <w:t>Table 4.10</w:t>
      </w:r>
      <w:r w:rsidRPr="00077581">
        <w:t xml:space="preserve"> illustrates that the lifestyle intervention led to statistically and clinically meaningful improvements in physical activity, diet, supplement use, stress management, and sleep hygiene among pregnant women—factors essential for managing thyroid dysfunction and hypertension during pregnancy</w:t>
      </w:r>
      <w:r w:rsidR="00CC5373">
        <w:t xml:space="preserve"> </w:t>
      </w:r>
      <w:r w:rsidR="00CC5373">
        <w:fldChar w:fldCharType="begin" w:fldLock="1"/>
      </w:r>
      <w:r w:rsidR="00CC5373">
        <w:instrText>ADDIN CSL_CITATION {"citationItems":[{"id":"ITEM-1","itemData":{"ISSN":"17357322","abstract":"Background: Parkinson's disease is one of the chronic neurological diseases. It is the second most common neurodegenerative disease after Alzheimer's, affecting 7.5 million people worldwide and its rate is expected to increase by 20% by 2020. three symptoms of tremor, muscle stiffness and movement disorders are among the main diagnostic symptoms of the disease. The prevalence of Parkinson's worldwide varies between 18 and 418 cases per 100,000 people per year. It is generally estimated that the prevalence of this disease in the general population is 0.3%. A systematic review study was performed to determine the factors associated with Parkinson's disease. Methods: This study was a systematic review that was conducted by searching national and international databases until February 2020. Initially, all articles which had mentioned Parkinson-related factors were collected and accepted by researchers based on studies. Entry and exit criteria were met. Exclusion criteria included irrelevant items, duplication of studies, unclear procedure, and lack of access to the full text of the study. To reduce bias, articles were evaluated independently by two researchers, and the quality of articles was assessed using the STROBE checklist. All final articles submitted to the systematic review process were prepared by a template checklist. Checklists included article title, first author's name, year of publication, place of study, risk factors, protective factors, and ineffective factors or the ones which their effects have not yet been determined, and the average age. Results: In these studies, the following risk factors were reported: family history, agricultural occupation, literacy, stress, well water consumption, aging, environmental factors, genetic factors, pesticide exposure, and alcohol abuse. On the other hand, factors such as smoking and oilseeds, high levels of B-complex vitamins, female estrogen hormones, and selenium have been reported to protect against Parkinson's disease. Conclusion: Considering the results of the present study and although there is no definitive treatment for this disease, protective factors and risk factors should be seriously considered by health policymakers for preventive measures.","author":[{"dropping-particle":"","family":"Heidari","given":"Negar","non-dropping-particle":"","parse-names":false,"suffix":""},{"dropping-particle":"","family":"Heidari","given":"Paria","non-dropping-particle":"","parse-names":false,"suffix":""},{"dropping-particle":"","family":"Salari","given":"Nader","non-dropping-particle":"","parse-names":false,"suffix":""},{"dropping-particle":"","family":"Akbari","given":"Hakimeh","non-dropping-particle":"","parse-names":false,"suffix":""},{"dropping-particle":"","family":"Mohammadi","given":"Masoud","non-dropping-particle":"","parse-names":false,"suffix":""}],"container-title":"Tehran University Medical Journal","id":"ITEM-1","issue":"12","issued":{"date-parts":[["2022"]]},"page":"925-933","title":"A systematic review on risk factors and protective factors related to Parkinson's disease","type":"article-journal","volume":"79"},"uris":["http://www.mendeley.com/documents/?uuid=1fca4e4a-c4f4-4461-a0ad-e279c509c613"]},{"id":"ITEM-2","itemData":{"DOI":"10.1111/1471-0528.18088","ISSN":"14710528","PMID":"40240075","author":[{"dropping-particle":"","family":"Chan","given":"Shiao Yng","non-dropping-particle":"","parse-names":false,"suffix":""},{"dropping-particle":"","family":"Marsh","given":"Michael S.","non-dropping-particle":"","parse-names":false,"suffix":""},{"dropping-particle":"","family":"Gilbert","given":"Jackie","non-dropping-particle":"","parse-names":false,"suffix":""},{"dropping-particle":"","family":"Boelaert","given":"Kristien","non-dropping-particle":"","parse-names":false,"suffix":""},{"dropping-particle":"","family":"Evans","given":"Carol","non-dropping-particle":"","parse-names":false,"suffix":""},{"dropping-particle":"","family":"Dhillon-Smith","given":"Rima","non-dropping-particle":"","parse-names":false,"suffix":""}],"container-title":"BJOG: An International Journal of Obstetrics and Gynaecology","id":"ITEM-2","issue":"8","issued":{"date-parts":[["2025"]]},"page":"e130-e161","title":"Management of Thyroid Disorders in Pregnancy","type":"article-journal","volume":"132"},"uris":["http://www.mendeley.com/documents/?uuid=72e032fa-1276-40b2-b6d0-bb713b98abc5"]},{"id":"ITEM-3","itemData":{"DOI":"10.3746/pnf.2025.30.1.1","ISSN":"22878602","abstract":"Eclampsia is a prevailing hypertensive disorder that poses more significant risks to mothers and neonates globally. This review aimed to investigate eclampsia [preeclampsia and postpartum eclampsia (posteclampsia)] and the supportive role of dietary and lifestyle management. The review was compiled by searching various engines such as Google Scholar, Research Gate, BASE, PubMed Central, National Center for Biotechnology Information, and other related search engines. Eclampsia is believed to involve genetic and nongenetic factors, although the precise underlying mechanism remains unclear. Nevertheless, the traditional diagnosis of the disorder typically involves the coexistence of various factors such as an unhealthy lifestyle, diabetes mellitus, hypertension, low micronutrient levels, obesity, and proteinuria. Consuming at least 330 g fresh or 4 g dried fruits daily minimizes preeclampsia. Diets high in sugar, fat, and salt are associated with higher vulnerability to the disease. Calcium supplementation is beneficial for women as it helps to reduce the occurrence of preeclampsia. Evidence for vitamin D supplementation is inconclusive and requires further research. Selenium supplementation has shown a negative correlation with the chance of preeclampsia. Dietary patterns with higher intakes of a plant-based diet, including micronutrients, and a healthy lifestyle significantly reduce the risk of preeclampsia and posteclampsia. Furthermore, clinical trials could explore the potential benefits of dietary supplements in preventing or treating eclampsia. There is a need for further exploration into the benefits of personalized medical nutrition therapy for preeclampsia and posteclampsia. Lastly, modern prognostic tools can diagnose disorders promptly and help with effective medicinal and nutritional management.","author":[{"dropping-particle":"","family":"Nadeem","given":"Muhammad","non-dropping-particle":"","parse-names":false,"suffix":""},{"dropping-particle":"","family":"Javed","given":"Komal","non-dropping-particle":"","parse-names":false,"suffix":""},{"dropping-particle":"","family":"Abid","given":"Hafiz Muhammad Rizwan","non-dropping-particle":"","parse-names":false,"suffix":""},{"dropping-particle":"","family":"Hussain","given":"Athar","non-dropping-particle":"","parse-names":false,"suffix":""},{"dropping-particle":"","family":"Khalid","given":"Nauman","non-dropping-particle":"","parse-names":false,"suffix":""}],"container-title":"Preventive Nutrition and Food Science","id":"ITEM-3","issue":"1","issued":{"date-parts":[["2025"]]},"page":"1-20","title":"A Review of Dietary and Lifestyle Management of Pre-Eclampsia and Postpartum Eclampsia","type":"article-journal","volume":"30"},"uris":["http://www.mendeley.com/documents/?uuid=a752b85c-2f96-47a7-bbda-3b40ebe82212"]}],"mendeley":{"formattedCitation":"(Chan et al., 2025; Heidari et al., 2022; Nadeem et al., 2025)","plainTextFormattedCitation":"(Chan et al., 2025; Heidari et al., 2022; Nadeem et al., 2025)","previouslyFormattedCitation":"(Chan et al., 2025; Heidari et al., 2022; Nadeem et al., 2025)"},"properties":{"noteIndex":0},"schema":"https://github.com/citation-style-language/schema/raw/master/csl-citation.json"}</w:instrText>
      </w:r>
      <w:r w:rsidR="00CC5373">
        <w:fldChar w:fldCharType="separate"/>
      </w:r>
      <w:r w:rsidR="00CC5373" w:rsidRPr="00CC5373">
        <w:rPr>
          <w:noProof/>
        </w:rPr>
        <w:t>(Chan et al., 2025; Heidari et al., 2022; Nadeem et al., 2025)</w:t>
      </w:r>
      <w:r w:rsidR="00CC5373">
        <w:fldChar w:fldCharType="end"/>
      </w:r>
      <w:r w:rsidRPr="00077581">
        <w:t>.</w:t>
      </w:r>
    </w:p>
    <w:p w14:paraId="0247638E" w14:textId="77777777" w:rsidR="00D81433" w:rsidRPr="007E5737" w:rsidRDefault="00D81433" w:rsidP="00EF0802">
      <w:pPr>
        <w:spacing w:line="360" w:lineRule="auto"/>
        <w:jc w:val="both"/>
        <w:outlineLvl w:val="2"/>
        <w:rPr>
          <w:rFonts w:ascii="Times New Roman" w:eastAsia="Times New Roman" w:hAnsi="Times New Roman" w:cs="Times New Roman"/>
          <w:b/>
          <w:bCs/>
          <w:color w:val="156082" w:themeColor="accent1"/>
          <w:kern w:val="0"/>
          <w:lang w:eastAsia="en-IN"/>
          <w14:ligatures w14:val="none"/>
        </w:rPr>
      </w:pPr>
      <w:r w:rsidRPr="007E5737">
        <w:rPr>
          <w:rFonts w:ascii="Times New Roman" w:eastAsia="Times New Roman" w:hAnsi="Times New Roman" w:cs="Times New Roman"/>
          <w:b/>
          <w:bCs/>
          <w:color w:val="156082" w:themeColor="accent1"/>
          <w:kern w:val="0"/>
          <w:lang w:eastAsia="en-IN"/>
          <w14:ligatures w14:val="none"/>
        </w:rPr>
        <w:t>Table 4.10. Lifestyle Practices of Pregnant Women – Pre and Post Intervention (N = 200)</w:t>
      </w:r>
    </w:p>
    <w:tbl>
      <w:tblPr>
        <w:tblStyle w:val="TableGrid"/>
        <w:tblW w:w="0" w:type="auto"/>
        <w:tblLook w:val="04A0" w:firstRow="1" w:lastRow="0" w:firstColumn="1" w:lastColumn="0" w:noHBand="0" w:noVBand="1"/>
      </w:tblPr>
      <w:tblGrid>
        <w:gridCol w:w="2056"/>
        <w:gridCol w:w="2025"/>
        <w:gridCol w:w="940"/>
        <w:gridCol w:w="1112"/>
        <w:gridCol w:w="1020"/>
        <w:gridCol w:w="1143"/>
      </w:tblGrid>
      <w:tr w:rsidR="00D81433" w:rsidRPr="00077581" w14:paraId="268EEB3E" w14:textId="77777777" w:rsidTr="00E55E15">
        <w:tc>
          <w:tcPr>
            <w:tcW w:w="0" w:type="auto"/>
            <w:hideMark/>
          </w:tcPr>
          <w:p w14:paraId="07C2EB79" w14:textId="77777777" w:rsidR="00D81433" w:rsidRPr="00077581" w:rsidRDefault="00D81433" w:rsidP="00EF0802">
            <w:pPr>
              <w:spacing w:line="360" w:lineRule="auto"/>
              <w:jc w:val="both"/>
              <w:rPr>
                <w:rFonts w:ascii="Times New Roman" w:eastAsia="Times New Roman" w:hAnsi="Times New Roman" w:cs="Times New Roman"/>
                <w:b/>
                <w:bCs/>
                <w:kern w:val="0"/>
                <w:lang w:eastAsia="en-IN"/>
                <w14:ligatures w14:val="none"/>
              </w:rPr>
            </w:pPr>
            <w:r w:rsidRPr="00077581">
              <w:rPr>
                <w:rFonts w:ascii="Times New Roman" w:eastAsia="Times New Roman" w:hAnsi="Times New Roman" w:cs="Times New Roman"/>
                <w:b/>
                <w:bCs/>
                <w:kern w:val="0"/>
                <w:lang w:eastAsia="en-IN"/>
                <w14:ligatures w14:val="none"/>
              </w:rPr>
              <w:t>Question</w:t>
            </w:r>
          </w:p>
        </w:tc>
        <w:tc>
          <w:tcPr>
            <w:tcW w:w="0" w:type="auto"/>
            <w:hideMark/>
          </w:tcPr>
          <w:p w14:paraId="5BD02CDE" w14:textId="77777777" w:rsidR="00D81433" w:rsidRPr="00077581" w:rsidRDefault="00D81433" w:rsidP="00EF0802">
            <w:pPr>
              <w:spacing w:line="360" w:lineRule="auto"/>
              <w:jc w:val="both"/>
              <w:rPr>
                <w:rFonts w:ascii="Times New Roman" w:eastAsia="Times New Roman" w:hAnsi="Times New Roman" w:cs="Times New Roman"/>
                <w:b/>
                <w:bCs/>
                <w:kern w:val="0"/>
                <w:lang w:eastAsia="en-IN"/>
                <w14:ligatures w14:val="none"/>
              </w:rPr>
            </w:pPr>
            <w:r w:rsidRPr="00077581">
              <w:rPr>
                <w:rFonts w:ascii="Times New Roman" w:eastAsia="Times New Roman" w:hAnsi="Times New Roman" w:cs="Times New Roman"/>
                <w:b/>
                <w:bCs/>
                <w:kern w:val="0"/>
                <w:lang w:eastAsia="en-IN"/>
                <w14:ligatures w14:val="none"/>
              </w:rPr>
              <w:t>Response Options</w:t>
            </w:r>
          </w:p>
        </w:tc>
        <w:tc>
          <w:tcPr>
            <w:tcW w:w="0" w:type="auto"/>
            <w:hideMark/>
          </w:tcPr>
          <w:p w14:paraId="5C561C0D" w14:textId="77777777" w:rsidR="00D81433" w:rsidRPr="00077581" w:rsidRDefault="00D81433" w:rsidP="00EF0802">
            <w:pPr>
              <w:spacing w:line="360" w:lineRule="auto"/>
              <w:jc w:val="both"/>
              <w:rPr>
                <w:rFonts w:ascii="Times New Roman" w:eastAsia="Times New Roman" w:hAnsi="Times New Roman" w:cs="Times New Roman"/>
                <w:b/>
                <w:bCs/>
                <w:kern w:val="0"/>
                <w:lang w:eastAsia="en-IN"/>
                <w14:ligatures w14:val="none"/>
              </w:rPr>
            </w:pPr>
            <w:r w:rsidRPr="00077581">
              <w:rPr>
                <w:rFonts w:ascii="Times New Roman" w:eastAsia="Times New Roman" w:hAnsi="Times New Roman" w:cs="Times New Roman"/>
                <w:b/>
                <w:bCs/>
                <w:kern w:val="0"/>
                <w:lang w:eastAsia="en-IN"/>
                <w14:ligatures w14:val="none"/>
              </w:rPr>
              <w:t>Pre-Test (f)</w:t>
            </w:r>
          </w:p>
        </w:tc>
        <w:tc>
          <w:tcPr>
            <w:tcW w:w="0" w:type="auto"/>
            <w:hideMark/>
          </w:tcPr>
          <w:p w14:paraId="6E7F005A" w14:textId="77777777" w:rsidR="00D81433" w:rsidRPr="00077581" w:rsidRDefault="00D81433" w:rsidP="00EF0802">
            <w:pPr>
              <w:spacing w:line="360" w:lineRule="auto"/>
              <w:jc w:val="both"/>
              <w:rPr>
                <w:rFonts w:ascii="Times New Roman" w:eastAsia="Times New Roman" w:hAnsi="Times New Roman" w:cs="Times New Roman"/>
                <w:b/>
                <w:bCs/>
                <w:kern w:val="0"/>
                <w:lang w:eastAsia="en-IN"/>
                <w14:ligatures w14:val="none"/>
              </w:rPr>
            </w:pPr>
            <w:r w:rsidRPr="00077581">
              <w:rPr>
                <w:rFonts w:ascii="Times New Roman" w:eastAsia="Times New Roman" w:hAnsi="Times New Roman" w:cs="Times New Roman"/>
                <w:b/>
                <w:bCs/>
                <w:kern w:val="0"/>
                <w:lang w:eastAsia="en-IN"/>
                <w14:ligatures w14:val="none"/>
              </w:rPr>
              <w:t>Pre-Test (%)</w:t>
            </w:r>
          </w:p>
        </w:tc>
        <w:tc>
          <w:tcPr>
            <w:tcW w:w="0" w:type="auto"/>
            <w:hideMark/>
          </w:tcPr>
          <w:p w14:paraId="193D708A" w14:textId="77777777" w:rsidR="00D81433" w:rsidRPr="00077581" w:rsidRDefault="00D81433" w:rsidP="00EF0802">
            <w:pPr>
              <w:spacing w:line="360" w:lineRule="auto"/>
              <w:jc w:val="both"/>
              <w:rPr>
                <w:rFonts w:ascii="Times New Roman" w:eastAsia="Times New Roman" w:hAnsi="Times New Roman" w:cs="Times New Roman"/>
                <w:b/>
                <w:bCs/>
                <w:kern w:val="0"/>
                <w:lang w:eastAsia="en-IN"/>
                <w14:ligatures w14:val="none"/>
              </w:rPr>
            </w:pPr>
            <w:r w:rsidRPr="00077581">
              <w:rPr>
                <w:rFonts w:ascii="Times New Roman" w:eastAsia="Times New Roman" w:hAnsi="Times New Roman" w:cs="Times New Roman"/>
                <w:b/>
                <w:bCs/>
                <w:kern w:val="0"/>
                <w:lang w:eastAsia="en-IN"/>
                <w14:ligatures w14:val="none"/>
              </w:rPr>
              <w:t>Post-Test (f)</w:t>
            </w:r>
          </w:p>
        </w:tc>
        <w:tc>
          <w:tcPr>
            <w:tcW w:w="0" w:type="auto"/>
            <w:hideMark/>
          </w:tcPr>
          <w:p w14:paraId="65130AB7" w14:textId="77777777" w:rsidR="00D81433" w:rsidRPr="00077581" w:rsidRDefault="00D81433" w:rsidP="00EF0802">
            <w:pPr>
              <w:spacing w:line="360" w:lineRule="auto"/>
              <w:jc w:val="both"/>
              <w:rPr>
                <w:rFonts w:ascii="Times New Roman" w:eastAsia="Times New Roman" w:hAnsi="Times New Roman" w:cs="Times New Roman"/>
                <w:b/>
                <w:bCs/>
                <w:kern w:val="0"/>
                <w:lang w:eastAsia="en-IN"/>
                <w14:ligatures w14:val="none"/>
              </w:rPr>
            </w:pPr>
            <w:r w:rsidRPr="00077581">
              <w:rPr>
                <w:rFonts w:ascii="Times New Roman" w:eastAsia="Times New Roman" w:hAnsi="Times New Roman" w:cs="Times New Roman"/>
                <w:b/>
                <w:bCs/>
                <w:kern w:val="0"/>
                <w:lang w:eastAsia="en-IN"/>
                <w14:ligatures w14:val="none"/>
              </w:rPr>
              <w:t>Post-Test (%)</w:t>
            </w:r>
          </w:p>
        </w:tc>
      </w:tr>
      <w:tr w:rsidR="00806BAD" w:rsidRPr="00077581" w14:paraId="57BDF085" w14:textId="77777777" w:rsidTr="00E55E15">
        <w:tc>
          <w:tcPr>
            <w:tcW w:w="0" w:type="auto"/>
            <w:vMerge w:val="restart"/>
            <w:hideMark/>
          </w:tcPr>
          <w:p w14:paraId="53E37E6B" w14:textId="0AB4E941" w:rsidR="00806BAD" w:rsidRPr="00F237B4" w:rsidRDefault="00806BAD" w:rsidP="00EF0802">
            <w:pPr>
              <w:spacing w:line="360" w:lineRule="auto"/>
              <w:rPr>
                <w:rFonts w:ascii="Times New Roman" w:eastAsia="Times New Roman" w:hAnsi="Times New Roman" w:cs="Times New Roman"/>
                <w:kern w:val="0"/>
                <w:lang w:eastAsia="en-IN"/>
                <w14:ligatures w14:val="none"/>
              </w:rPr>
            </w:pPr>
            <w:r w:rsidRPr="00F237B4">
              <w:rPr>
                <w:rFonts w:ascii="Times New Roman" w:eastAsia="Times New Roman" w:hAnsi="Times New Roman" w:cs="Times New Roman"/>
                <w:kern w:val="0"/>
                <w:lang w:eastAsia="en-IN"/>
                <w14:ligatures w14:val="none"/>
              </w:rPr>
              <w:t>How often do you exercise?</w:t>
            </w:r>
          </w:p>
        </w:tc>
        <w:tc>
          <w:tcPr>
            <w:tcW w:w="0" w:type="auto"/>
            <w:hideMark/>
          </w:tcPr>
          <w:p w14:paraId="5975A0FE"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Rarely/Never</w:t>
            </w:r>
          </w:p>
        </w:tc>
        <w:tc>
          <w:tcPr>
            <w:tcW w:w="0" w:type="auto"/>
            <w:hideMark/>
          </w:tcPr>
          <w:p w14:paraId="10AE0D1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84</w:t>
            </w:r>
          </w:p>
        </w:tc>
        <w:tc>
          <w:tcPr>
            <w:tcW w:w="0" w:type="auto"/>
            <w:hideMark/>
          </w:tcPr>
          <w:p w14:paraId="0039C70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42.0%</w:t>
            </w:r>
          </w:p>
        </w:tc>
        <w:tc>
          <w:tcPr>
            <w:tcW w:w="0" w:type="auto"/>
            <w:hideMark/>
          </w:tcPr>
          <w:p w14:paraId="43957245"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19</w:t>
            </w:r>
          </w:p>
        </w:tc>
        <w:tc>
          <w:tcPr>
            <w:tcW w:w="0" w:type="auto"/>
            <w:hideMark/>
          </w:tcPr>
          <w:p w14:paraId="574D9E47"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9.5%</w:t>
            </w:r>
          </w:p>
        </w:tc>
      </w:tr>
      <w:tr w:rsidR="00806BAD" w:rsidRPr="00077581" w14:paraId="15BC02E8" w14:textId="77777777" w:rsidTr="00E55E15">
        <w:tc>
          <w:tcPr>
            <w:tcW w:w="0" w:type="auto"/>
            <w:vMerge/>
            <w:hideMark/>
          </w:tcPr>
          <w:p w14:paraId="2CC0F948"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0228064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1–2×/week</w:t>
            </w:r>
          </w:p>
        </w:tc>
        <w:tc>
          <w:tcPr>
            <w:tcW w:w="0" w:type="auto"/>
            <w:hideMark/>
          </w:tcPr>
          <w:p w14:paraId="548520A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60</w:t>
            </w:r>
          </w:p>
        </w:tc>
        <w:tc>
          <w:tcPr>
            <w:tcW w:w="0" w:type="auto"/>
            <w:hideMark/>
          </w:tcPr>
          <w:p w14:paraId="1242076E"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30.0%</w:t>
            </w:r>
          </w:p>
        </w:tc>
        <w:tc>
          <w:tcPr>
            <w:tcW w:w="0" w:type="auto"/>
            <w:hideMark/>
          </w:tcPr>
          <w:p w14:paraId="0A23B4E5"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37</w:t>
            </w:r>
          </w:p>
        </w:tc>
        <w:tc>
          <w:tcPr>
            <w:tcW w:w="0" w:type="auto"/>
            <w:hideMark/>
          </w:tcPr>
          <w:p w14:paraId="16DF75E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18.5%</w:t>
            </w:r>
          </w:p>
        </w:tc>
      </w:tr>
      <w:tr w:rsidR="00806BAD" w:rsidRPr="00077581" w14:paraId="4189C22F" w14:textId="77777777" w:rsidTr="00E55E15">
        <w:tc>
          <w:tcPr>
            <w:tcW w:w="0" w:type="auto"/>
            <w:vMerge/>
            <w:hideMark/>
          </w:tcPr>
          <w:p w14:paraId="68C830C8"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630452D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3–4×/week</w:t>
            </w:r>
          </w:p>
        </w:tc>
        <w:tc>
          <w:tcPr>
            <w:tcW w:w="0" w:type="auto"/>
            <w:hideMark/>
          </w:tcPr>
          <w:p w14:paraId="37EA779E"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34</w:t>
            </w:r>
          </w:p>
        </w:tc>
        <w:tc>
          <w:tcPr>
            <w:tcW w:w="0" w:type="auto"/>
            <w:hideMark/>
          </w:tcPr>
          <w:p w14:paraId="38FBB1C1"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17.0%</w:t>
            </w:r>
          </w:p>
        </w:tc>
        <w:tc>
          <w:tcPr>
            <w:tcW w:w="0" w:type="auto"/>
            <w:hideMark/>
          </w:tcPr>
          <w:p w14:paraId="2ADF0C4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60</w:t>
            </w:r>
          </w:p>
        </w:tc>
        <w:tc>
          <w:tcPr>
            <w:tcW w:w="0" w:type="auto"/>
            <w:hideMark/>
          </w:tcPr>
          <w:p w14:paraId="49E717D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30.0%</w:t>
            </w:r>
          </w:p>
        </w:tc>
      </w:tr>
      <w:tr w:rsidR="00806BAD" w:rsidRPr="00077581" w14:paraId="745D5F81" w14:textId="77777777" w:rsidTr="00E55E15">
        <w:tc>
          <w:tcPr>
            <w:tcW w:w="0" w:type="auto"/>
            <w:vMerge/>
            <w:hideMark/>
          </w:tcPr>
          <w:p w14:paraId="5CEB5851"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4BA8140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Daily</w:t>
            </w:r>
          </w:p>
        </w:tc>
        <w:tc>
          <w:tcPr>
            <w:tcW w:w="0" w:type="auto"/>
            <w:hideMark/>
          </w:tcPr>
          <w:p w14:paraId="0A166E3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22</w:t>
            </w:r>
          </w:p>
        </w:tc>
        <w:tc>
          <w:tcPr>
            <w:tcW w:w="0" w:type="auto"/>
            <w:hideMark/>
          </w:tcPr>
          <w:p w14:paraId="198F545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11.0%</w:t>
            </w:r>
          </w:p>
        </w:tc>
        <w:tc>
          <w:tcPr>
            <w:tcW w:w="0" w:type="auto"/>
            <w:hideMark/>
          </w:tcPr>
          <w:p w14:paraId="2AA2E94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84</w:t>
            </w:r>
          </w:p>
        </w:tc>
        <w:tc>
          <w:tcPr>
            <w:tcW w:w="0" w:type="auto"/>
            <w:hideMark/>
          </w:tcPr>
          <w:p w14:paraId="46DBABD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42.0%</w:t>
            </w:r>
          </w:p>
        </w:tc>
      </w:tr>
      <w:tr w:rsidR="00806BAD" w:rsidRPr="00077581" w14:paraId="1375173B" w14:textId="77777777" w:rsidTr="00E55E15">
        <w:tc>
          <w:tcPr>
            <w:tcW w:w="0" w:type="auto"/>
            <w:vMerge w:val="restart"/>
            <w:hideMark/>
          </w:tcPr>
          <w:p w14:paraId="3D25BB5E" w14:textId="6A747811" w:rsidR="00806BAD" w:rsidRPr="00F237B4" w:rsidRDefault="00806BAD" w:rsidP="00EF0802">
            <w:pPr>
              <w:spacing w:line="360" w:lineRule="auto"/>
              <w:rPr>
                <w:rFonts w:ascii="Times New Roman" w:eastAsia="Times New Roman" w:hAnsi="Times New Roman" w:cs="Times New Roman"/>
                <w:kern w:val="0"/>
                <w:lang w:eastAsia="en-IN"/>
                <w14:ligatures w14:val="none"/>
              </w:rPr>
            </w:pPr>
            <w:r w:rsidRPr="00F237B4">
              <w:rPr>
                <w:rFonts w:ascii="Times New Roman" w:eastAsia="Times New Roman" w:hAnsi="Times New Roman" w:cs="Times New Roman"/>
                <w:kern w:val="0"/>
                <w:lang w:eastAsia="en-IN"/>
                <w14:ligatures w14:val="none"/>
              </w:rPr>
              <w:t>Types of Activity</w:t>
            </w:r>
          </w:p>
        </w:tc>
        <w:tc>
          <w:tcPr>
            <w:tcW w:w="0" w:type="auto"/>
            <w:hideMark/>
          </w:tcPr>
          <w:p w14:paraId="6B91E761"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Walking</w:t>
            </w:r>
          </w:p>
        </w:tc>
        <w:tc>
          <w:tcPr>
            <w:tcW w:w="0" w:type="auto"/>
            <w:hideMark/>
          </w:tcPr>
          <w:p w14:paraId="5766531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138</w:t>
            </w:r>
          </w:p>
        </w:tc>
        <w:tc>
          <w:tcPr>
            <w:tcW w:w="0" w:type="auto"/>
            <w:hideMark/>
          </w:tcPr>
          <w:p w14:paraId="0B8EBE6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69.0%</w:t>
            </w:r>
          </w:p>
        </w:tc>
        <w:tc>
          <w:tcPr>
            <w:tcW w:w="0" w:type="auto"/>
            <w:hideMark/>
          </w:tcPr>
          <w:p w14:paraId="7E2C14F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158</w:t>
            </w:r>
          </w:p>
        </w:tc>
        <w:tc>
          <w:tcPr>
            <w:tcW w:w="0" w:type="auto"/>
            <w:hideMark/>
          </w:tcPr>
          <w:p w14:paraId="7C2E335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79.0%</w:t>
            </w:r>
          </w:p>
        </w:tc>
      </w:tr>
      <w:tr w:rsidR="00806BAD" w:rsidRPr="00077581" w14:paraId="789E7F96" w14:textId="77777777" w:rsidTr="00E55E15">
        <w:tc>
          <w:tcPr>
            <w:tcW w:w="0" w:type="auto"/>
            <w:vMerge/>
            <w:hideMark/>
          </w:tcPr>
          <w:p w14:paraId="0E08FEF0"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0A290220"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Yoga</w:t>
            </w:r>
          </w:p>
        </w:tc>
        <w:tc>
          <w:tcPr>
            <w:tcW w:w="0" w:type="auto"/>
            <w:hideMark/>
          </w:tcPr>
          <w:p w14:paraId="62433D4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95</w:t>
            </w:r>
          </w:p>
        </w:tc>
        <w:tc>
          <w:tcPr>
            <w:tcW w:w="0" w:type="auto"/>
            <w:hideMark/>
          </w:tcPr>
          <w:p w14:paraId="489364E0"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47.5%</w:t>
            </w:r>
          </w:p>
        </w:tc>
        <w:tc>
          <w:tcPr>
            <w:tcW w:w="0" w:type="auto"/>
            <w:hideMark/>
          </w:tcPr>
          <w:p w14:paraId="5991BE2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117</w:t>
            </w:r>
          </w:p>
        </w:tc>
        <w:tc>
          <w:tcPr>
            <w:tcW w:w="0" w:type="auto"/>
            <w:hideMark/>
          </w:tcPr>
          <w:p w14:paraId="4739347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58.5%</w:t>
            </w:r>
          </w:p>
        </w:tc>
      </w:tr>
      <w:tr w:rsidR="00806BAD" w:rsidRPr="00077581" w14:paraId="74D6890E" w14:textId="77777777" w:rsidTr="00E55E15">
        <w:tc>
          <w:tcPr>
            <w:tcW w:w="0" w:type="auto"/>
            <w:vMerge/>
            <w:hideMark/>
          </w:tcPr>
          <w:p w14:paraId="73918CD5"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31D4C49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Swimming</w:t>
            </w:r>
          </w:p>
        </w:tc>
        <w:tc>
          <w:tcPr>
            <w:tcW w:w="0" w:type="auto"/>
            <w:hideMark/>
          </w:tcPr>
          <w:p w14:paraId="4A86760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67</w:t>
            </w:r>
          </w:p>
        </w:tc>
        <w:tc>
          <w:tcPr>
            <w:tcW w:w="0" w:type="auto"/>
            <w:hideMark/>
          </w:tcPr>
          <w:p w14:paraId="236B961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33.5%</w:t>
            </w:r>
          </w:p>
        </w:tc>
        <w:tc>
          <w:tcPr>
            <w:tcW w:w="0" w:type="auto"/>
            <w:hideMark/>
          </w:tcPr>
          <w:p w14:paraId="716A6B4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85</w:t>
            </w:r>
          </w:p>
        </w:tc>
        <w:tc>
          <w:tcPr>
            <w:tcW w:w="0" w:type="auto"/>
            <w:hideMark/>
          </w:tcPr>
          <w:p w14:paraId="1AA2DBC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42.5%</w:t>
            </w:r>
          </w:p>
        </w:tc>
      </w:tr>
      <w:tr w:rsidR="00806BAD" w:rsidRPr="00077581" w14:paraId="4DAE8778" w14:textId="77777777" w:rsidTr="00E55E15">
        <w:tc>
          <w:tcPr>
            <w:tcW w:w="0" w:type="auto"/>
            <w:vMerge/>
            <w:hideMark/>
          </w:tcPr>
          <w:p w14:paraId="6554D286"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021D430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Aerobics</w:t>
            </w:r>
          </w:p>
        </w:tc>
        <w:tc>
          <w:tcPr>
            <w:tcW w:w="0" w:type="auto"/>
            <w:hideMark/>
          </w:tcPr>
          <w:p w14:paraId="37A085E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103</w:t>
            </w:r>
          </w:p>
        </w:tc>
        <w:tc>
          <w:tcPr>
            <w:tcW w:w="0" w:type="auto"/>
            <w:hideMark/>
          </w:tcPr>
          <w:p w14:paraId="243D06F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51.5%</w:t>
            </w:r>
          </w:p>
        </w:tc>
        <w:tc>
          <w:tcPr>
            <w:tcW w:w="0" w:type="auto"/>
            <w:hideMark/>
          </w:tcPr>
          <w:p w14:paraId="5442319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127</w:t>
            </w:r>
          </w:p>
        </w:tc>
        <w:tc>
          <w:tcPr>
            <w:tcW w:w="0" w:type="auto"/>
            <w:hideMark/>
          </w:tcPr>
          <w:p w14:paraId="0A75363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63.5%</w:t>
            </w:r>
          </w:p>
        </w:tc>
      </w:tr>
      <w:tr w:rsidR="00806BAD" w:rsidRPr="00077581" w14:paraId="449FE47A" w14:textId="77777777" w:rsidTr="00E55E15">
        <w:tc>
          <w:tcPr>
            <w:tcW w:w="0" w:type="auto"/>
            <w:vMerge/>
            <w:hideMark/>
          </w:tcPr>
          <w:p w14:paraId="3B8FE11C"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19BBB2D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Other</w:t>
            </w:r>
          </w:p>
        </w:tc>
        <w:tc>
          <w:tcPr>
            <w:tcW w:w="0" w:type="auto"/>
            <w:hideMark/>
          </w:tcPr>
          <w:p w14:paraId="50C8700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126</w:t>
            </w:r>
          </w:p>
        </w:tc>
        <w:tc>
          <w:tcPr>
            <w:tcW w:w="0" w:type="auto"/>
            <w:hideMark/>
          </w:tcPr>
          <w:p w14:paraId="347F279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63.0%</w:t>
            </w:r>
          </w:p>
        </w:tc>
        <w:tc>
          <w:tcPr>
            <w:tcW w:w="0" w:type="auto"/>
            <w:hideMark/>
          </w:tcPr>
          <w:p w14:paraId="0D1EC4A5"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142</w:t>
            </w:r>
          </w:p>
        </w:tc>
        <w:tc>
          <w:tcPr>
            <w:tcW w:w="0" w:type="auto"/>
            <w:hideMark/>
          </w:tcPr>
          <w:p w14:paraId="706A99E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71.0%</w:t>
            </w:r>
          </w:p>
        </w:tc>
      </w:tr>
      <w:tr w:rsidR="00806BAD" w:rsidRPr="00077581" w14:paraId="1E5F4D3F" w14:textId="77777777" w:rsidTr="00E55E15">
        <w:tc>
          <w:tcPr>
            <w:tcW w:w="0" w:type="auto"/>
            <w:vMerge w:val="restart"/>
            <w:hideMark/>
          </w:tcPr>
          <w:p w14:paraId="450CEBF8" w14:textId="21278A45" w:rsidR="00806BAD" w:rsidRPr="00F237B4" w:rsidRDefault="00806BAD" w:rsidP="00EF0802">
            <w:pPr>
              <w:spacing w:line="360" w:lineRule="auto"/>
              <w:rPr>
                <w:rFonts w:ascii="Times New Roman" w:eastAsia="Times New Roman" w:hAnsi="Times New Roman" w:cs="Times New Roman"/>
                <w:kern w:val="0"/>
                <w:lang w:eastAsia="en-IN"/>
                <w14:ligatures w14:val="none"/>
              </w:rPr>
            </w:pPr>
            <w:r w:rsidRPr="00F237B4">
              <w:rPr>
                <w:rFonts w:ascii="Times New Roman" w:eastAsia="Times New Roman" w:hAnsi="Times New Roman" w:cs="Times New Roman"/>
                <w:kern w:val="0"/>
                <w:lang w:eastAsia="en-IN"/>
                <w14:ligatures w14:val="none"/>
              </w:rPr>
              <w:t>Made dietary changes?</w:t>
            </w:r>
          </w:p>
        </w:tc>
        <w:tc>
          <w:tcPr>
            <w:tcW w:w="0" w:type="auto"/>
            <w:hideMark/>
          </w:tcPr>
          <w:p w14:paraId="1BC5662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Yes</w:t>
            </w:r>
          </w:p>
        </w:tc>
        <w:tc>
          <w:tcPr>
            <w:tcW w:w="0" w:type="auto"/>
            <w:hideMark/>
          </w:tcPr>
          <w:p w14:paraId="7EECD6EE"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102</w:t>
            </w:r>
          </w:p>
        </w:tc>
        <w:tc>
          <w:tcPr>
            <w:tcW w:w="0" w:type="auto"/>
            <w:hideMark/>
          </w:tcPr>
          <w:p w14:paraId="5EFE76D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51.0%</w:t>
            </w:r>
          </w:p>
        </w:tc>
        <w:tc>
          <w:tcPr>
            <w:tcW w:w="0" w:type="auto"/>
            <w:hideMark/>
          </w:tcPr>
          <w:p w14:paraId="63215AF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161</w:t>
            </w:r>
          </w:p>
        </w:tc>
        <w:tc>
          <w:tcPr>
            <w:tcW w:w="0" w:type="auto"/>
            <w:hideMark/>
          </w:tcPr>
          <w:p w14:paraId="11AC69B0"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80.5%</w:t>
            </w:r>
          </w:p>
        </w:tc>
      </w:tr>
      <w:tr w:rsidR="00806BAD" w:rsidRPr="00077581" w14:paraId="6C2E4CB9" w14:textId="77777777" w:rsidTr="00E55E15">
        <w:tc>
          <w:tcPr>
            <w:tcW w:w="0" w:type="auto"/>
            <w:vMerge/>
            <w:hideMark/>
          </w:tcPr>
          <w:p w14:paraId="4923283A"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64CB17B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w:t>
            </w:r>
          </w:p>
        </w:tc>
        <w:tc>
          <w:tcPr>
            <w:tcW w:w="0" w:type="auto"/>
            <w:hideMark/>
          </w:tcPr>
          <w:p w14:paraId="5E593E0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98</w:t>
            </w:r>
          </w:p>
        </w:tc>
        <w:tc>
          <w:tcPr>
            <w:tcW w:w="0" w:type="auto"/>
            <w:hideMark/>
          </w:tcPr>
          <w:p w14:paraId="20ADE3D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49.0%</w:t>
            </w:r>
          </w:p>
        </w:tc>
        <w:tc>
          <w:tcPr>
            <w:tcW w:w="0" w:type="auto"/>
            <w:hideMark/>
          </w:tcPr>
          <w:p w14:paraId="4A09AF21"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39</w:t>
            </w:r>
          </w:p>
        </w:tc>
        <w:tc>
          <w:tcPr>
            <w:tcW w:w="0" w:type="auto"/>
            <w:hideMark/>
          </w:tcPr>
          <w:p w14:paraId="7090558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19.5%</w:t>
            </w:r>
          </w:p>
        </w:tc>
      </w:tr>
      <w:tr w:rsidR="00806BAD" w:rsidRPr="00077581" w14:paraId="1E1DBC0A" w14:textId="77777777" w:rsidTr="00E55E15">
        <w:tc>
          <w:tcPr>
            <w:tcW w:w="0" w:type="auto"/>
            <w:vMerge w:val="restart"/>
            <w:hideMark/>
          </w:tcPr>
          <w:p w14:paraId="47423B09" w14:textId="1D454CA6" w:rsidR="00806BAD" w:rsidRPr="00F237B4" w:rsidRDefault="00806BAD" w:rsidP="00EF0802">
            <w:pPr>
              <w:spacing w:line="360" w:lineRule="auto"/>
              <w:rPr>
                <w:rFonts w:ascii="Times New Roman" w:eastAsia="Times New Roman" w:hAnsi="Times New Roman" w:cs="Times New Roman"/>
                <w:kern w:val="0"/>
                <w:lang w:eastAsia="en-IN"/>
                <w14:ligatures w14:val="none"/>
              </w:rPr>
            </w:pPr>
            <w:r w:rsidRPr="00F237B4">
              <w:rPr>
                <w:rFonts w:ascii="Times New Roman" w:eastAsia="Times New Roman" w:hAnsi="Times New Roman" w:cs="Times New Roman"/>
                <w:kern w:val="0"/>
                <w:lang w:eastAsia="en-IN"/>
                <w14:ligatures w14:val="none"/>
              </w:rPr>
              <w:t>If yes, what changes?</w:t>
            </w:r>
          </w:p>
        </w:tc>
        <w:tc>
          <w:tcPr>
            <w:tcW w:w="0" w:type="auto"/>
            <w:hideMark/>
          </w:tcPr>
          <w:p w14:paraId="52DF9C6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Reduced salt</w:t>
            </w:r>
          </w:p>
        </w:tc>
        <w:tc>
          <w:tcPr>
            <w:tcW w:w="0" w:type="auto"/>
            <w:hideMark/>
          </w:tcPr>
          <w:p w14:paraId="678067A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79</w:t>
            </w:r>
          </w:p>
        </w:tc>
        <w:tc>
          <w:tcPr>
            <w:tcW w:w="0" w:type="auto"/>
            <w:hideMark/>
          </w:tcPr>
          <w:p w14:paraId="4416112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39.5%</w:t>
            </w:r>
          </w:p>
        </w:tc>
        <w:tc>
          <w:tcPr>
            <w:tcW w:w="0" w:type="auto"/>
            <w:hideMark/>
          </w:tcPr>
          <w:p w14:paraId="1D9D76B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95</w:t>
            </w:r>
          </w:p>
        </w:tc>
        <w:tc>
          <w:tcPr>
            <w:tcW w:w="0" w:type="auto"/>
            <w:hideMark/>
          </w:tcPr>
          <w:p w14:paraId="3CE0FB8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47.5%</w:t>
            </w:r>
          </w:p>
        </w:tc>
      </w:tr>
      <w:tr w:rsidR="00806BAD" w:rsidRPr="00077581" w14:paraId="365AD75C" w14:textId="77777777" w:rsidTr="00E55E15">
        <w:tc>
          <w:tcPr>
            <w:tcW w:w="0" w:type="auto"/>
            <w:vMerge/>
            <w:hideMark/>
          </w:tcPr>
          <w:p w14:paraId="75C3913D"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6AA7C78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More fruits/vegetables</w:t>
            </w:r>
          </w:p>
        </w:tc>
        <w:tc>
          <w:tcPr>
            <w:tcW w:w="0" w:type="auto"/>
            <w:hideMark/>
          </w:tcPr>
          <w:p w14:paraId="419F1F6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63</w:t>
            </w:r>
          </w:p>
        </w:tc>
        <w:tc>
          <w:tcPr>
            <w:tcW w:w="0" w:type="auto"/>
            <w:hideMark/>
          </w:tcPr>
          <w:p w14:paraId="1084683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31.5%</w:t>
            </w:r>
          </w:p>
        </w:tc>
        <w:tc>
          <w:tcPr>
            <w:tcW w:w="0" w:type="auto"/>
            <w:hideMark/>
          </w:tcPr>
          <w:p w14:paraId="429EEFD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101</w:t>
            </w:r>
          </w:p>
        </w:tc>
        <w:tc>
          <w:tcPr>
            <w:tcW w:w="0" w:type="auto"/>
            <w:hideMark/>
          </w:tcPr>
          <w:p w14:paraId="6664714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50.5%</w:t>
            </w:r>
          </w:p>
        </w:tc>
      </w:tr>
      <w:tr w:rsidR="00806BAD" w:rsidRPr="00077581" w14:paraId="41D93BF4" w14:textId="77777777" w:rsidTr="00E55E15">
        <w:tc>
          <w:tcPr>
            <w:tcW w:w="0" w:type="auto"/>
            <w:vMerge/>
            <w:hideMark/>
          </w:tcPr>
          <w:p w14:paraId="5604B618"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0DCA901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Reduced caffeine</w:t>
            </w:r>
          </w:p>
        </w:tc>
        <w:tc>
          <w:tcPr>
            <w:tcW w:w="0" w:type="auto"/>
            <w:hideMark/>
          </w:tcPr>
          <w:p w14:paraId="2F07506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42</w:t>
            </w:r>
          </w:p>
        </w:tc>
        <w:tc>
          <w:tcPr>
            <w:tcW w:w="0" w:type="auto"/>
            <w:hideMark/>
          </w:tcPr>
          <w:p w14:paraId="46A424C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21.0%</w:t>
            </w:r>
          </w:p>
        </w:tc>
        <w:tc>
          <w:tcPr>
            <w:tcW w:w="0" w:type="auto"/>
            <w:hideMark/>
          </w:tcPr>
          <w:p w14:paraId="2224E52E"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68</w:t>
            </w:r>
          </w:p>
        </w:tc>
        <w:tc>
          <w:tcPr>
            <w:tcW w:w="0" w:type="auto"/>
            <w:hideMark/>
          </w:tcPr>
          <w:p w14:paraId="7C78D03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34.0%</w:t>
            </w:r>
          </w:p>
        </w:tc>
      </w:tr>
      <w:tr w:rsidR="00806BAD" w:rsidRPr="00077581" w14:paraId="538E2CC2" w14:textId="77777777" w:rsidTr="00E55E15">
        <w:tc>
          <w:tcPr>
            <w:tcW w:w="0" w:type="auto"/>
            <w:vMerge/>
            <w:hideMark/>
          </w:tcPr>
          <w:p w14:paraId="45DDD549"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6A4C1C9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More water</w:t>
            </w:r>
          </w:p>
        </w:tc>
        <w:tc>
          <w:tcPr>
            <w:tcW w:w="0" w:type="auto"/>
            <w:hideMark/>
          </w:tcPr>
          <w:p w14:paraId="04F1F39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61</w:t>
            </w:r>
          </w:p>
        </w:tc>
        <w:tc>
          <w:tcPr>
            <w:tcW w:w="0" w:type="auto"/>
            <w:hideMark/>
          </w:tcPr>
          <w:p w14:paraId="511A07A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30.5%</w:t>
            </w:r>
          </w:p>
        </w:tc>
        <w:tc>
          <w:tcPr>
            <w:tcW w:w="0" w:type="auto"/>
            <w:hideMark/>
          </w:tcPr>
          <w:p w14:paraId="6EA43C7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81</w:t>
            </w:r>
          </w:p>
        </w:tc>
        <w:tc>
          <w:tcPr>
            <w:tcW w:w="0" w:type="auto"/>
            <w:hideMark/>
          </w:tcPr>
          <w:p w14:paraId="2DAFFD1E"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40.5%</w:t>
            </w:r>
          </w:p>
        </w:tc>
      </w:tr>
      <w:tr w:rsidR="00806BAD" w:rsidRPr="00077581" w14:paraId="253FC271" w14:textId="77777777" w:rsidTr="00E55E15">
        <w:tc>
          <w:tcPr>
            <w:tcW w:w="0" w:type="auto"/>
            <w:vMerge/>
            <w:hideMark/>
          </w:tcPr>
          <w:p w14:paraId="1057E58C"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170DE1E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Other</w:t>
            </w:r>
          </w:p>
        </w:tc>
        <w:tc>
          <w:tcPr>
            <w:tcW w:w="0" w:type="auto"/>
            <w:hideMark/>
          </w:tcPr>
          <w:p w14:paraId="0A9F7385"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92</w:t>
            </w:r>
          </w:p>
        </w:tc>
        <w:tc>
          <w:tcPr>
            <w:tcW w:w="0" w:type="auto"/>
            <w:hideMark/>
          </w:tcPr>
          <w:p w14:paraId="221F75A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46.0%</w:t>
            </w:r>
          </w:p>
        </w:tc>
        <w:tc>
          <w:tcPr>
            <w:tcW w:w="0" w:type="auto"/>
            <w:hideMark/>
          </w:tcPr>
          <w:p w14:paraId="2BF26F2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108</w:t>
            </w:r>
          </w:p>
        </w:tc>
        <w:tc>
          <w:tcPr>
            <w:tcW w:w="0" w:type="auto"/>
            <w:hideMark/>
          </w:tcPr>
          <w:p w14:paraId="0E9FD875"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54.0%</w:t>
            </w:r>
          </w:p>
        </w:tc>
      </w:tr>
      <w:tr w:rsidR="00806BAD" w:rsidRPr="00077581" w14:paraId="49987E3F" w14:textId="77777777" w:rsidTr="00E55E15">
        <w:tc>
          <w:tcPr>
            <w:tcW w:w="0" w:type="auto"/>
            <w:vMerge w:val="restart"/>
            <w:hideMark/>
          </w:tcPr>
          <w:p w14:paraId="1A133CE6" w14:textId="0EBCFE52" w:rsidR="00806BAD" w:rsidRPr="00F237B4" w:rsidRDefault="00806BAD" w:rsidP="00EF0802">
            <w:pPr>
              <w:spacing w:line="360" w:lineRule="auto"/>
              <w:rPr>
                <w:rFonts w:ascii="Times New Roman" w:eastAsia="Times New Roman" w:hAnsi="Times New Roman" w:cs="Times New Roman"/>
                <w:kern w:val="0"/>
                <w:lang w:eastAsia="en-IN"/>
                <w14:ligatures w14:val="none"/>
              </w:rPr>
            </w:pPr>
            <w:r w:rsidRPr="00F237B4">
              <w:rPr>
                <w:rFonts w:ascii="Times New Roman" w:eastAsia="Times New Roman" w:hAnsi="Times New Roman" w:cs="Times New Roman"/>
                <w:kern w:val="0"/>
                <w:lang w:eastAsia="en-IN"/>
                <w14:ligatures w14:val="none"/>
              </w:rPr>
              <w:t>Follows specific diet?</w:t>
            </w:r>
          </w:p>
        </w:tc>
        <w:tc>
          <w:tcPr>
            <w:tcW w:w="0" w:type="auto"/>
            <w:hideMark/>
          </w:tcPr>
          <w:p w14:paraId="6F1400D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Yes</w:t>
            </w:r>
          </w:p>
        </w:tc>
        <w:tc>
          <w:tcPr>
            <w:tcW w:w="0" w:type="auto"/>
            <w:hideMark/>
          </w:tcPr>
          <w:p w14:paraId="6D714EA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56</w:t>
            </w:r>
          </w:p>
        </w:tc>
        <w:tc>
          <w:tcPr>
            <w:tcW w:w="0" w:type="auto"/>
            <w:hideMark/>
          </w:tcPr>
          <w:p w14:paraId="2EE299E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28.0%</w:t>
            </w:r>
          </w:p>
        </w:tc>
        <w:tc>
          <w:tcPr>
            <w:tcW w:w="0" w:type="auto"/>
            <w:hideMark/>
          </w:tcPr>
          <w:p w14:paraId="4637394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130</w:t>
            </w:r>
          </w:p>
        </w:tc>
        <w:tc>
          <w:tcPr>
            <w:tcW w:w="0" w:type="auto"/>
            <w:hideMark/>
          </w:tcPr>
          <w:p w14:paraId="4F9CB35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65.0%</w:t>
            </w:r>
          </w:p>
        </w:tc>
      </w:tr>
      <w:tr w:rsidR="00806BAD" w:rsidRPr="00077581" w14:paraId="310A092B" w14:textId="77777777" w:rsidTr="00E55E15">
        <w:tc>
          <w:tcPr>
            <w:tcW w:w="0" w:type="auto"/>
            <w:vMerge/>
            <w:hideMark/>
          </w:tcPr>
          <w:p w14:paraId="7A3023D4"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23DB804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w:t>
            </w:r>
          </w:p>
        </w:tc>
        <w:tc>
          <w:tcPr>
            <w:tcW w:w="0" w:type="auto"/>
            <w:hideMark/>
          </w:tcPr>
          <w:p w14:paraId="36D47B1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144</w:t>
            </w:r>
          </w:p>
        </w:tc>
        <w:tc>
          <w:tcPr>
            <w:tcW w:w="0" w:type="auto"/>
            <w:hideMark/>
          </w:tcPr>
          <w:p w14:paraId="1083A2D0"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72.0%</w:t>
            </w:r>
          </w:p>
        </w:tc>
        <w:tc>
          <w:tcPr>
            <w:tcW w:w="0" w:type="auto"/>
            <w:hideMark/>
          </w:tcPr>
          <w:p w14:paraId="2509BD8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70</w:t>
            </w:r>
          </w:p>
        </w:tc>
        <w:tc>
          <w:tcPr>
            <w:tcW w:w="0" w:type="auto"/>
            <w:hideMark/>
          </w:tcPr>
          <w:p w14:paraId="01B8FE8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35.0%</w:t>
            </w:r>
          </w:p>
        </w:tc>
      </w:tr>
      <w:tr w:rsidR="00806BAD" w:rsidRPr="00077581" w14:paraId="38CFC75C" w14:textId="77777777" w:rsidTr="00E55E15">
        <w:tc>
          <w:tcPr>
            <w:tcW w:w="0" w:type="auto"/>
            <w:vMerge w:val="restart"/>
            <w:hideMark/>
          </w:tcPr>
          <w:p w14:paraId="690E74F6" w14:textId="38D80B9D" w:rsidR="00806BAD" w:rsidRPr="00F237B4" w:rsidRDefault="00806BAD" w:rsidP="00EF0802">
            <w:pPr>
              <w:spacing w:line="360" w:lineRule="auto"/>
              <w:rPr>
                <w:rFonts w:ascii="Times New Roman" w:eastAsia="Times New Roman" w:hAnsi="Times New Roman" w:cs="Times New Roman"/>
                <w:kern w:val="0"/>
                <w:lang w:eastAsia="en-IN"/>
                <w14:ligatures w14:val="none"/>
              </w:rPr>
            </w:pPr>
            <w:r w:rsidRPr="00F237B4">
              <w:rPr>
                <w:rFonts w:ascii="Times New Roman" w:eastAsia="Times New Roman" w:hAnsi="Times New Roman" w:cs="Times New Roman"/>
                <w:kern w:val="0"/>
                <w:lang w:eastAsia="en-IN"/>
                <w14:ligatures w14:val="none"/>
              </w:rPr>
              <w:t>High-sodium food intake?</w:t>
            </w:r>
          </w:p>
        </w:tc>
        <w:tc>
          <w:tcPr>
            <w:tcW w:w="0" w:type="auto"/>
            <w:hideMark/>
          </w:tcPr>
          <w:p w14:paraId="6AA9F701"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Daily</w:t>
            </w:r>
          </w:p>
        </w:tc>
        <w:tc>
          <w:tcPr>
            <w:tcW w:w="0" w:type="auto"/>
            <w:hideMark/>
          </w:tcPr>
          <w:p w14:paraId="1575C1F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56</w:t>
            </w:r>
          </w:p>
        </w:tc>
        <w:tc>
          <w:tcPr>
            <w:tcW w:w="0" w:type="auto"/>
            <w:hideMark/>
          </w:tcPr>
          <w:p w14:paraId="619E3FE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28.0%</w:t>
            </w:r>
          </w:p>
        </w:tc>
        <w:tc>
          <w:tcPr>
            <w:tcW w:w="0" w:type="auto"/>
            <w:hideMark/>
          </w:tcPr>
          <w:p w14:paraId="0F0726D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17</w:t>
            </w:r>
          </w:p>
        </w:tc>
        <w:tc>
          <w:tcPr>
            <w:tcW w:w="0" w:type="auto"/>
            <w:hideMark/>
          </w:tcPr>
          <w:p w14:paraId="206AB5DE"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8.5%</w:t>
            </w:r>
          </w:p>
        </w:tc>
      </w:tr>
      <w:tr w:rsidR="00806BAD" w:rsidRPr="00077581" w14:paraId="02BD946D" w14:textId="77777777" w:rsidTr="00E55E15">
        <w:tc>
          <w:tcPr>
            <w:tcW w:w="0" w:type="auto"/>
            <w:vMerge/>
            <w:hideMark/>
          </w:tcPr>
          <w:p w14:paraId="161FF9BA"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63BC1E3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3–4×/week</w:t>
            </w:r>
          </w:p>
        </w:tc>
        <w:tc>
          <w:tcPr>
            <w:tcW w:w="0" w:type="auto"/>
            <w:hideMark/>
          </w:tcPr>
          <w:p w14:paraId="42E05FC0"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55</w:t>
            </w:r>
          </w:p>
        </w:tc>
        <w:tc>
          <w:tcPr>
            <w:tcW w:w="0" w:type="auto"/>
            <w:hideMark/>
          </w:tcPr>
          <w:p w14:paraId="34C629E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27.5%</w:t>
            </w:r>
          </w:p>
        </w:tc>
        <w:tc>
          <w:tcPr>
            <w:tcW w:w="0" w:type="auto"/>
            <w:hideMark/>
          </w:tcPr>
          <w:p w14:paraId="31437FD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29</w:t>
            </w:r>
          </w:p>
        </w:tc>
        <w:tc>
          <w:tcPr>
            <w:tcW w:w="0" w:type="auto"/>
            <w:hideMark/>
          </w:tcPr>
          <w:p w14:paraId="058CB9B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14.5%</w:t>
            </w:r>
          </w:p>
        </w:tc>
      </w:tr>
      <w:tr w:rsidR="00806BAD" w:rsidRPr="00077581" w14:paraId="03EF28A8" w14:textId="77777777" w:rsidTr="00E55E15">
        <w:tc>
          <w:tcPr>
            <w:tcW w:w="0" w:type="auto"/>
            <w:vMerge/>
            <w:hideMark/>
          </w:tcPr>
          <w:p w14:paraId="3DF3BF23"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4AF87BA1"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1–2×/week</w:t>
            </w:r>
          </w:p>
        </w:tc>
        <w:tc>
          <w:tcPr>
            <w:tcW w:w="0" w:type="auto"/>
            <w:hideMark/>
          </w:tcPr>
          <w:p w14:paraId="39ABBF2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51</w:t>
            </w:r>
          </w:p>
        </w:tc>
        <w:tc>
          <w:tcPr>
            <w:tcW w:w="0" w:type="auto"/>
            <w:hideMark/>
          </w:tcPr>
          <w:p w14:paraId="0CD0478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25.5%</w:t>
            </w:r>
          </w:p>
        </w:tc>
        <w:tc>
          <w:tcPr>
            <w:tcW w:w="0" w:type="auto"/>
            <w:hideMark/>
          </w:tcPr>
          <w:p w14:paraId="2D55E20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59</w:t>
            </w:r>
          </w:p>
        </w:tc>
        <w:tc>
          <w:tcPr>
            <w:tcW w:w="0" w:type="auto"/>
            <w:hideMark/>
          </w:tcPr>
          <w:p w14:paraId="52CC553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29.5%</w:t>
            </w:r>
          </w:p>
        </w:tc>
      </w:tr>
      <w:tr w:rsidR="00806BAD" w:rsidRPr="00077581" w14:paraId="79174BBF" w14:textId="77777777" w:rsidTr="00E55E15">
        <w:tc>
          <w:tcPr>
            <w:tcW w:w="0" w:type="auto"/>
            <w:vMerge/>
            <w:hideMark/>
          </w:tcPr>
          <w:p w14:paraId="08F7758C"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18653E6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Rarely/Never</w:t>
            </w:r>
          </w:p>
        </w:tc>
        <w:tc>
          <w:tcPr>
            <w:tcW w:w="0" w:type="auto"/>
            <w:hideMark/>
          </w:tcPr>
          <w:p w14:paraId="7F178DE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38</w:t>
            </w:r>
          </w:p>
        </w:tc>
        <w:tc>
          <w:tcPr>
            <w:tcW w:w="0" w:type="auto"/>
            <w:hideMark/>
          </w:tcPr>
          <w:p w14:paraId="45AC596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19.0%</w:t>
            </w:r>
          </w:p>
        </w:tc>
        <w:tc>
          <w:tcPr>
            <w:tcW w:w="0" w:type="auto"/>
            <w:hideMark/>
          </w:tcPr>
          <w:p w14:paraId="7FEF512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95</w:t>
            </w:r>
          </w:p>
        </w:tc>
        <w:tc>
          <w:tcPr>
            <w:tcW w:w="0" w:type="auto"/>
            <w:hideMark/>
          </w:tcPr>
          <w:p w14:paraId="1B0A66D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47.5%</w:t>
            </w:r>
          </w:p>
        </w:tc>
      </w:tr>
      <w:tr w:rsidR="00806BAD" w:rsidRPr="00077581" w14:paraId="292A09EB" w14:textId="77777777" w:rsidTr="00E55E15">
        <w:tc>
          <w:tcPr>
            <w:tcW w:w="0" w:type="auto"/>
            <w:vMerge w:val="restart"/>
            <w:hideMark/>
          </w:tcPr>
          <w:p w14:paraId="0DC1C6D7" w14:textId="63C8CFC1" w:rsidR="00806BAD" w:rsidRPr="00F237B4" w:rsidRDefault="00806BAD" w:rsidP="00EF0802">
            <w:pPr>
              <w:spacing w:line="360" w:lineRule="auto"/>
              <w:rPr>
                <w:rFonts w:ascii="Times New Roman" w:eastAsia="Times New Roman" w:hAnsi="Times New Roman" w:cs="Times New Roman"/>
                <w:kern w:val="0"/>
                <w:lang w:eastAsia="en-IN"/>
                <w14:ligatures w14:val="none"/>
              </w:rPr>
            </w:pPr>
            <w:r w:rsidRPr="00F237B4">
              <w:rPr>
                <w:rFonts w:ascii="Times New Roman" w:eastAsia="Times New Roman" w:hAnsi="Times New Roman" w:cs="Times New Roman"/>
                <w:kern w:val="0"/>
                <w:lang w:eastAsia="en-IN"/>
                <w14:ligatures w14:val="none"/>
              </w:rPr>
              <w:t>Takes supplements?</w:t>
            </w:r>
          </w:p>
        </w:tc>
        <w:tc>
          <w:tcPr>
            <w:tcW w:w="0" w:type="auto"/>
            <w:hideMark/>
          </w:tcPr>
          <w:p w14:paraId="5DF5E1A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Yes</w:t>
            </w:r>
          </w:p>
        </w:tc>
        <w:tc>
          <w:tcPr>
            <w:tcW w:w="0" w:type="auto"/>
            <w:hideMark/>
          </w:tcPr>
          <w:p w14:paraId="3CDF6CD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134</w:t>
            </w:r>
          </w:p>
        </w:tc>
        <w:tc>
          <w:tcPr>
            <w:tcW w:w="0" w:type="auto"/>
            <w:hideMark/>
          </w:tcPr>
          <w:p w14:paraId="625F100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67.0%</w:t>
            </w:r>
          </w:p>
        </w:tc>
        <w:tc>
          <w:tcPr>
            <w:tcW w:w="0" w:type="auto"/>
            <w:hideMark/>
          </w:tcPr>
          <w:p w14:paraId="73F7B96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157</w:t>
            </w:r>
          </w:p>
        </w:tc>
        <w:tc>
          <w:tcPr>
            <w:tcW w:w="0" w:type="auto"/>
            <w:hideMark/>
          </w:tcPr>
          <w:p w14:paraId="0190C03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78.5%</w:t>
            </w:r>
          </w:p>
        </w:tc>
      </w:tr>
      <w:tr w:rsidR="00806BAD" w:rsidRPr="00077581" w14:paraId="1CB16AA9" w14:textId="77777777" w:rsidTr="00E55E15">
        <w:tc>
          <w:tcPr>
            <w:tcW w:w="0" w:type="auto"/>
            <w:vMerge/>
            <w:hideMark/>
          </w:tcPr>
          <w:p w14:paraId="4CCB4859"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2DA36AB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w:t>
            </w:r>
          </w:p>
        </w:tc>
        <w:tc>
          <w:tcPr>
            <w:tcW w:w="0" w:type="auto"/>
            <w:hideMark/>
          </w:tcPr>
          <w:p w14:paraId="7141D1A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66</w:t>
            </w:r>
          </w:p>
        </w:tc>
        <w:tc>
          <w:tcPr>
            <w:tcW w:w="0" w:type="auto"/>
            <w:hideMark/>
          </w:tcPr>
          <w:p w14:paraId="0516134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33.0%</w:t>
            </w:r>
          </w:p>
        </w:tc>
        <w:tc>
          <w:tcPr>
            <w:tcW w:w="0" w:type="auto"/>
            <w:hideMark/>
          </w:tcPr>
          <w:p w14:paraId="3AEF13AA"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43</w:t>
            </w:r>
          </w:p>
        </w:tc>
        <w:tc>
          <w:tcPr>
            <w:tcW w:w="0" w:type="auto"/>
            <w:hideMark/>
          </w:tcPr>
          <w:p w14:paraId="00D23E6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21.5%</w:t>
            </w:r>
          </w:p>
        </w:tc>
      </w:tr>
      <w:tr w:rsidR="00806BAD" w:rsidRPr="00077581" w14:paraId="0107082A" w14:textId="77777777" w:rsidTr="00E55E15">
        <w:tc>
          <w:tcPr>
            <w:tcW w:w="0" w:type="auto"/>
            <w:vMerge w:val="restart"/>
            <w:hideMark/>
          </w:tcPr>
          <w:p w14:paraId="5D559C6D" w14:textId="0A9CF3F9" w:rsidR="00806BAD" w:rsidRPr="00F237B4" w:rsidRDefault="00806BAD" w:rsidP="00EF0802">
            <w:pPr>
              <w:spacing w:line="360" w:lineRule="auto"/>
              <w:rPr>
                <w:rFonts w:ascii="Times New Roman" w:eastAsia="Times New Roman" w:hAnsi="Times New Roman" w:cs="Times New Roman"/>
                <w:kern w:val="0"/>
                <w:lang w:eastAsia="en-IN"/>
                <w14:ligatures w14:val="none"/>
              </w:rPr>
            </w:pPr>
            <w:r w:rsidRPr="00F237B4">
              <w:rPr>
                <w:rFonts w:ascii="Times New Roman" w:eastAsia="Times New Roman" w:hAnsi="Times New Roman" w:cs="Times New Roman"/>
                <w:kern w:val="0"/>
                <w:lang w:eastAsia="en-IN"/>
                <w14:ligatures w14:val="none"/>
              </w:rPr>
              <w:t>Practices stress relief?</w:t>
            </w:r>
          </w:p>
        </w:tc>
        <w:tc>
          <w:tcPr>
            <w:tcW w:w="0" w:type="auto"/>
            <w:hideMark/>
          </w:tcPr>
          <w:p w14:paraId="385EEE6F"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Yes</w:t>
            </w:r>
          </w:p>
        </w:tc>
        <w:tc>
          <w:tcPr>
            <w:tcW w:w="0" w:type="auto"/>
            <w:hideMark/>
          </w:tcPr>
          <w:p w14:paraId="2CEDD89D"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86</w:t>
            </w:r>
          </w:p>
        </w:tc>
        <w:tc>
          <w:tcPr>
            <w:tcW w:w="0" w:type="auto"/>
            <w:hideMark/>
          </w:tcPr>
          <w:p w14:paraId="3B9BD30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43.0%</w:t>
            </w:r>
          </w:p>
        </w:tc>
        <w:tc>
          <w:tcPr>
            <w:tcW w:w="0" w:type="auto"/>
            <w:hideMark/>
          </w:tcPr>
          <w:p w14:paraId="63FBA52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157</w:t>
            </w:r>
          </w:p>
        </w:tc>
        <w:tc>
          <w:tcPr>
            <w:tcW w:w="0" w:type="auto"/>
            <w:hideMark/>
          </w:tcPr>
          <w:p w14:paraId="47FAF147"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78.5%</w:t>
            </w:r>
          </w:p>
        </w:tc>
      </w:tr>
      <w:tr w:rsidR="00806BAD" w:rsidRPr="00077581" w14:paraId="03D5AEFB" w14:textId="77777777" w:rsidTr="00E55E15">
        <w:tc>
          <w:tcPr>
            <w:tcW w:w="0" w:type="auto"/>
            <w:vMerge/>
            <w:hideMark/>
          </w:tcPr>
          <w:p w14:paraId="05D0DECC"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38FFD9AE"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w:t>
            </w:r>
          </w:p>
        </w:tc>
        <w:tc>
          <w:tcPr>
            <w:tcW w:w="0" w:type="auto"/>
            <w:hideMark/>
          </w:tcPr>
          <w:p w14:paraId="4A4EB59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114</w:t>
            </w:r>
          </w:p>
        </w:tc>
        <w:tc>
          <w:tcPr>
            <w:tcW w:w="0" w:type="auto"/>
            <w:hideMark/>
          </w:tcPr>
          <w:p w14:paraId="489875F5"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57.0%</w:t>
            </w:r>
          </w:p>
        </w:tc>
        <w:tc>
          <w:tcPr>
            <w:tcW w:w="0" w:type="auto"/>
            <w:hideMark/>
          </w:tcPr>
          <w:p w14:paraId="1BF222A1"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43</w:t>
            </w:r>
          </w:p>
        </w:tc>
        <w:tc>
          <w:tcPr>
            <w:tcW w:w="0" w:type="auto"/>
            <w:hideMark/>
          </w:tcPr>
          <w:p w14:paraId="3327402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21.5%</w:t>
            </w:r>
          </w:p>
        </w:tc>
      </w:tr>
      <w:tr w:rsidR="00806BAD" w:rsidRPr="00077581" w14:paraId="2C8435A3" w14:textId="77777777" w:rsidTr="00E55E15">
        <w:tc>
          <w:tcPr>
            <w:tcW w:w="0" w:type="auto"/>
            <w:vMerge w:val="restart"/>
            <w:hideMark/>
          </w:tcPr>
          <w:p w14:paraId="37A6823D" w14:textId="26D22EEB" w:rsidR="00806BAD" w:rsidRPr="00F237B4" w:rsidRDefault="00806BAD" w:rsidP="00EF0802">
            <w:pPr>
              <w:spacing w:line="360" w:lineRule="auto"/>
              <w:rPr>
                <w:rFonts w:ascii="Times New Roman" w:eastAsia="Times New Roman" w:hAnsi="Times New Roman" w:cs="Times New Roman"/>
                <w:kern w:val="0"/>
                <w:lang w:eastAsia="en-IN"/>
                <w14:ligatures w14:val="none"/>
              </w:rPr>
            </w:pPr>
            <w:r w:rsidRPr="00F237B4">
              <w:rPr>
                <w:rFonts w:ascii="Times New Roman" w:eastAsia="Times New Roman" w:hAnsi="Times New Roman" w:cs="Times New Roman"/>
                <w:kern w:val="0"/>
                <w:lang w:eastAsia="en-IN"/>
                <w14:ligatures w14:val="none"/>
              </w:rPr>
              <w:t>Average sleep per night</w:t>
            </w:r>
          </w:p>
        </w:tc>
        <w:tc>
          <w:tcPr>
            <w:tcW w:w="0" w:type="auto"/>
            <w:hideMark/>
          </w:tcPr>
          <w:p w14:paraId="09DF3AB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&lt;5 hrs</w:t>
            </w:r>
          </w:p>
        </w:tc>
        <w:tc>
          <w:tcPr>
            <w:tcW w:w="0" w:type="auto"/>
            <w:hideMark/>
          </w:tcPr>
          <w:p w14:paraId="53DBA50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38</w:t>
            </w:r>
          </w:p>
        </w:tc>
        <w:tc>
          <w:tcPr>
            <w:tcW w:w="0" w:type="auto"/>
            <w:hideMark/>
          </w:tcPr>
          <w:p w14:paraId="2C5668F0"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19.0%</w:t>
            </w:r>
          </w:p>
        </w:tc>
        <w:tc>
          <w:tcPr>
            <w:tcW w:w="0" w:type="auto"/>
            <w:hideMark/>
          </w:tcPr>
          <w:p w14:paraId="0A049AE7"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9</w:t>
            </w:r>
          </w:p>
        </w:tc>
        <w:tc>
          <w:tcPr>
            <w:tcW w:w="0" w:type="auto"/>
            <w:hideMark/>
          </w:tcPr>
          <w:p w14:paraId="6DB74FFB"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4.5%</w:t>
            </w:r>
          </w:p>
        </w:tc>
      </w:tr>
      <w:tr w:rsidR="00806BAD" w:rsidRPr="00077581" w14:paraId="2B66C44B" w14:textId="77777777" w:rsidTr="00E55E15">
        <w:tc>
          <w:tcPr>
            <w:tcW w:w="0" w:type="auto"/>
            <w:vMerge/>
            <w:hideMark/>
          </w:tcPr>
          <w:p w14:paraId="670A85F4"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19C1D66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5–6 hrs</w:t>
            </w:r>
          </w:p>
        </w:tc>
        <w:tc>
          <w:tcPr>
            <w:tcW w:w="0" w:type="auto"/>
            <w:hideMark/>
          </w:tcPr>
          <w:p w14:paraId="3C4A20EE"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78</w:t>
            </w:r>
          </w:p>
        </w:tc>
        <w:tc>
          <w:tcPr>
            <w:tcW w:w="0" w:type="auto"/>
            <w:hideMark/>
          </w:tcPr>
          <w:p w14:paraId="02DE0E3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39.0%</w:t>
            </w:r>
          </w:p>
        </w:tc>
        <w:tc>
          <w:tcPr>
            <w:tcW w:w="0" w:type="auto"/>
            <w:hideMark/>
          </w:tcPr>
          <w:p w14:paraId="1BD375C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35</w:t>
            </w:r>
          </w:p>
        </w:tc>
        <w:tc>
          <w:tcPr>
            <w:tcW w:w="0" w:type="auto"/>
            <w:hideMark/>
          </w:tcPr>
          <w:p w14:paraId="1A5AE097"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17.5%</w:t>
            </w:r>
          </w:p>
        </w:tc>
      </w:tr>
      <w:tr w:rsidR="00806BAD" w:rsidRPr="00077581" w14:paraId="568E1400" w14:textId="77777777" w:rsidTr="00E55E15">
        <w:tc>
          <w:tcPr>
            <w:tcW w:w="0" w:type="auto"/>
            <w:vMerge/>
            <w:hideMark/>
          </w:tcPr>
          <w:p w14:paraId="20853702"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319BFF5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7–8 hrs</w:t>
            </w:r>
          </w:p>
        </w:tc>
        <w:tc>
          <w:tcPr>
            <w:tcW w:w="0" w:type="auto"/>
            <w:hideMark/>
          </w:tcPr>
          <w:p w14:paraId="489EE47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60</w:t>
            </w:r>
          </w:p>
        </w:tc>
        <w:tc>
          <w:tcPr>
            <w:tcW w:w="0" w:type="auto"/>
            <w:hideMark/>
          </w:tcPr>
          <w:p w14:paraId="12AEECB1"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30.0%</w:t>
            </w:r>
          </w:p>
        </w:tc>
        <w:tc>
          <w:tcPr>
            <w:tcW w:w="0" w:type="auto"/>
            <w:hideMark/>
          </w:tcPr>
          <w:p w14:paraId="5BBAFEC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85</w:t>
            </w:r>
          </w:p>
        </w:tc>
        <w:tc>
          <w:tcPr>
            <w:tcW w:w="0" w:type="auto"/>
            <w:hideMark/>
          </w:tcPr>
          <w:p w14:paraId="2FCC957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42.5%</w:t>
            </w:r>
          </w:p>
        </w:tc>
      </w:tr>
      <w:tr w:rsidR="00806BAD" w:rsidRPr="00077581" w14:paraId="7D2B57E4" w14:textId="77777777" w:rsidTr="00E55E15">
        <w:tc>
          <w:tcPr>
            <w:tcW w:w="0" w:type="auto"/>
            <w:vMerge/>
            <w:hideMark/>
          </w:tcPr>
          <w:p w14:paraId="23A218D2" w14:textId="77777777" w:rsidR="00806BAD" w:rsidRPr="00F237B4"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1C9EFB7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&gt;8 hrs</w:t>
            </w:r>
          </w:p>
        </w:tc>
        <w:tc>
          <w:tcPr>
            <w:tcW w:w="0" w:type="auto"/>
            <w:hideMark/>
          </w:tcPr>
          <w:p w14:paraId="1A20FF0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24</w:t>
            </w:r>
          </w:p>
        </w:tc>
        <w:tc>
          <w:tcPr>
            <w:tcW w:w="0" w:type="auto"/>
            <w:hideMark/>
          </w:tcPr>
          <w:p w14:paraId="7EE3CB36"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12.0%</w:t>
            </w:r>
          </w:p>
        </w:tc>
        <w:tc>
          <w:tcPr>
            <w:tcW w:w="0" w:type="auto"/>
            <w:hideMark/>
          </w:tcPr>
          <w:p w14:paraId="03F7CE8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71</w:t>
            </w:r>
          </w:p>
        </w:tc>
        <w:tc>
          <w:tcPr>
            <w:tcW w:w="0" w:type="auto"/>
            <w:hideMark/>
          </w:tcPr>
          <w:p w14:paraId="54B9F651"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35.5%</w:t>
            </w:r>
          </w:p>
        </w:tc>
      </w:tr>
      <w:tr w:rsidR="00806BAD" w:rsidRPr="00077581" w14:paraId="6D616540" w14:textId="77777777" w:rsidTr="00E55E15">
        <w:tc>
          <w:tcPr>
            <w:tcW w:w="0" w:type="auto"/>
            <w:vMerge w:val="restart"/>
            <w:hideMark/>
          </w:tcPr>
          <w:p w14:paraId="02D7B733" w14:textId="5CB10BC4" w:rsidR="00806BAD" w:rsidRPr="00F237B4" w:rsidRDefault="00806BAD" w:rsidP="00EF0802">
            <w:pPr>
              <w:spacing w:line="360" w:lineRule="auto"/>
              <w:rPr>
                <w:rFonts w:ascii="Times New Roman" w:eastAsia="Times New Roman" w:hAnsi="Times New Roman" w:cs="Times New Roman"/>
                <w:kern w:val="0"/>
                <w:lang w:eastAsia="en-IN"/>
                <w14:ligatures w14:val="none"/>
              </w:rPr>
            </w:pPr>
            <w:r w:rsidRPr="00F237B4">
              <w:rPr>
                <w:rFonts w:ascii="Times New Roman" w:eastAsia="Times New Roman" w:hAnsi="Times New Roman" w:cs="Times New Roman"/>
                <w:kern w:val="0"/>
                <w:lang w:eastAsia="en-IN"/>
                <w14:ligatures w14:val="none"/>
              </w:rPr>
              <w:t>Discussed with doctor?</w:t>
            </w:r>
          </w:p>
        </w:tc>
        <w:tc>
          <w:tcPr>
            <w:tcW w:w="0" w:type="auto"/>
            <w:hideMark/>
          </w:tcPr>
          <w:p w14:paraId="289BCC4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Yes</w:t>
            </w:r>
          </w:p>
        </w:tc>
        <w:tc>
          <w:tcPr>
            <w:tcW w:w="0" w:type="auto"/>
            <w:hideMark/>
          </w:tcPr>
          <w:p w14:paraId="7BF7EAAC"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70</w:t>
            </w:r>
          </w:p>
        </w:tc>
        <w:tc>
          <w:tcPr>
            <w:tcW w:w="0" w:type="auto"/>
            <w:hideMark/>
          </w:tcPr>
          <w:p w14:paraId="70F2D280"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35.0%</w:t>
            </w:r>
          </w:p>
        </w:tc>
        <w:tc>
          <w:tcPr>
            <w:tcW w:w="0" w:type="auto"/>
            <w:hideMark/>
          </w:tcPr>
          <w:p w14:paraId="2E8268D2"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140</w:t>
            </w:r>
          </w:p>
        </w:tc>
        <w:tc>
          <w:tcPr>
            <w:tcW w:w="0" w:type="auto"/>
            <w:hideMark/>
          </w:tcPr>
          <w:p w14:paraId="5BFBFE8E"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70.0%</w:t>
            </w:r>
          </w:p>
        </w:tc>
      </w:tr>
      <w:tr w:rsidR="00806BAD" w:rsidRPr="00077581" w14:paraId="54F7F88F" w14:textId="77777777" w:rsidTr="00E55E15">
        <w:tc>
          <w:tcPr>
            <w:tcW w:w="0" w:type="auto"/>
            <w:vMerge/>
            <w:hideMark/>
          </w:tcPr>
          <w:p w14:paraId="4C763605"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p>
        </w:tc>
        <w:tc>
          <w:tcPr>
            <w:tcW w:w="0" w:type="auto"/>
            <w:hideMark/>
          </w:tcPr>
          <w:p w14:paraId="6E033BB3"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No</w:t>
            </w:r>
          </w:p>
        </w:tc>
        <w:tc>
          <w:tcPr>
            <w:tcW w:w="0" w:type="auto"/>
            <w:hideMark/>
          </w:tcPr>
          <w:p w14:paraId="0D1632B9"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130</w:t>
            </w:r>
          </w:p>
        </w:tc>
        <w:tc>
          <w:tcPr>
            <w:tcW w:w="0" w:type="auto"/>
            <w:hideMark/>
          </w:tcPr>
          <w:p w14:paraId="27A49DE1"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65.0%</w:t>
            </w:r>
          </w:p>
        </w:tc>
        <w:tc>
          <w:tcPr>
            <w:tcW w:w="0" w:type="auto"/>
            <w:hideMark/>
          </w:tcPr>
          <w:p w14:paraId="71497CD4"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60</w:t>
            </w:r>
          </w:p>
        </w:tc>
        <w:tc>
          <w:tcPr>
            <w:tcW w:w="0" w:type="auto"/>
            <w:hideMark/>
          </w:tcPr>
          <w:p w14:paraId="2B46C4C8" w14:textId="77777777" w:rsidR="00806BAD" w:rsidRPr="00077581" w:rsidRDefault="00806BAD" w:rsidP="00EF0802">
            <w:pPr>
              <w:spacing w:line="360" w:lineRule="auto"/>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30.0%</w:t>
            </w:r>
          </w:p>
        </w:tc>
      </w:tr>
    </w:tbl>
    <w:p w14:paraId="48075FDD" w14:textId="77777777" w:rsidR="00D81433" w:rsidRPr="00077581" w:rsidRDefault="00D81433" w:rsidP="00EF0802">
      <w:pPr>
        <w:spacing w:line="360" w:lineRule="auto"/>
        <w:jc w:val="both"/>
        <w:rPr>
          <w:rFonts w:ascii="Times New Roman" w:hAnsi="Times New Roman" w:cs="Times New Roman"/>
          <w:b/>
          <w:bCs/>
        </w:rPr>
      </w:pPr>
    </w:p>
    <w:p w14:paraId="5DF579EC" w14:textId="77777777" w:rsidR="00D81433" w:rsidRPr="00077581" w:rsidRDefault="00D81433" w:rsidP="00EF0802">
      <w:pPr>
        <w:pStyle w:val="NormalWeb"/>
        <w:spacing w:before="0" w:beforeAutospacing="0" w:after="160" w:afterAutospacing="0" w:line="360" w:lineRule="auto"/>
        <w:jc w:val="both"/>
        <w:rPr>
          <w:rStyle w:val="Strong"/>
          <w:i/>
          <w:iCs/>
        </w:rPr>
      </w:pPr>
      <w:bookmarkStart w:id="2" w:name="_Hlk201922736"/>
      <w:r w:rsidRPr="00077581">
        <w:rPr>
          <w:rStyle w:val="Strong"/>
          <w:i/>
          <w:iCs/>
        </w:rPr>
        <w:lastRenderedPageBreak/>
        <w:t>Testing of Hypothesis 3 (H3): Wilcoxon Signed-Rank Test and McNemar’s Test Results on lifestyle practices of pregnant women before and after the intervention.</w:t>
      </w:r>
    </w:p>
    <w:p w14:paraId="2D534E5E" w14:textId="77777777" w:rsidR="00D81433" w:rsidRPr="00A06C2F"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 xml:space="preserve">To evaluate the impact of the structured lifestyle modification intervention on the daily habits of pregnant women, Hypothesis 3 (H3) tested whether there was a statistically significant change in lifestyle practices before and after the program. This involved </w:t>
      </w:r>
      <w:proofErr w:type="spellStart"/>
      <w:r w:rsidRPr="00077581">
        <w:rPr>
          <w:rFonts w:ascii="Times New Roman" w:eastAsia="Times New Roman" w:hAnsi="Times New Roman" w:cs="Times New Roman"/>
          <w:kern w:val="0"/>
          <w:lang w:eastAsia="en-IN"/>
          <w14:ligatures w14:val="none"/>
        </w:rPr>
        <w:t>analyzing</w:t>
      </w:r>
      <w:proofErr w:type="spellEnd"/>
      <w:r w:rsidRPr="00077581">
        <w:rPr>
          <w:rFonts w:ascii="Times New Roman" w:eastAsia="Times New Roman" w:hAnsi="Times New Roman" w:cs="Times New Roman"/>
          <w:kern w:val="0"/>
          <w:lang w:eastAsia="en-IN"/>
          <w14:ligatures w14:val="none"/>
        </w:rPr>
        <w:t xml:space="preserve"> both ordinal (ranked) and binary (yes/no) responses using appropriate non-parametric statistical tests, namely the Wilcoxon Signed-Rank Test and McNemar’s Test</w:t>
      </w:r>
      <w:r w:rsidRPr="00A06C2F">
        <w:rPr>
          <w:rFonts w:ascii="Times New Roman" w:eastAsia="Times New Roman" w:hAnsi="Times New Roman" w:cs="Times New Roman"/>
          <w:kern w:val="0"/>
          <w:lang w:eastAsia="en-IN"/>
          <w14:ligatures w14:val="none"/>
        </w:rPr>
        <w:t>.</w:t>
      </w:r>
    </w:p>
    <w:p w14:paraId="6FF23ABF" w14:textId="77777777" w:rsidR="00D81433" w:rsidRPr="00077581" w:rsidRDefault="00D81433" w:rsidP="00EF0802">
      <w:pPr>
        <w:spacing w:line="360" w:lineRule="auto"/>
        <w:jc w:val="both"/>
        <w:rPr>
          <w:rStyle w:val="Strong"/>
          <w:rFonts w:ascii="Times New Roman" w:eastAsia="Times New Roman" w:hAnsi="Times New Roman" w:cs="Times New Roman"/>
          <w:b w:val="0"/>
          <w:bCs w:val="0"/>
          <w:kern w:val="0"/>
          <w:lang w:eastAsia="en-IN"/>
          <w14:ligatures w14:val="none"/>
        </w:rPr>
      </w:pPr>
      <w:r w:rsidRPr="00A06C2F">
        <w:rPr>
          <w:rFonts w:ascii="Times New Roman" w:eastAsia="Times New Roman" w:hAnsi="Times New Roman" w:cs="Times New Roman"/>
          <w:kern w:val="0"/>
          <w:lang w:eastAsia="en-IN"/>
          <w14:ligatures w14:val="none"/>
        </w:rPr>
        <w:t>The hypotheses were framed as follows:</w:t>
      </w:r>
    </w:p>
    <w:p w14:paraId="3AC49FFB" w14:textId="77777777" w:rsidR="00D81433" w:rsidRPr="00077581" w:rsidRDefault="00D81433" w:rsidP="00EF0802">
      <w:pPr>
        <w:pStyle w:val="NormalWeb"/>
        <w:spacing w:before="0" w:beforeAutospacing="0" w:after="160" w:afterAutospacing="0" w:line="360" w:lineRule="auto"/>
        <w:jc w:val="both"/>
      </w:pPr>
      <w:r w:rsidRPr="00077581">
        <w:rPr>
          <w:rStyle w:val="Strong"/>
        </w:rPr>
        <w:t xml:space="preserve">Null Hypothesis (H03): </w:t>
      </w:r>
      <w:r w:rsidRPr="00077581">
        <w:rPr>
          <w:i/>
          <w:iCs/>
        </w:rPr>
        <w:t>There is no significant difference in the lifestyle practices of pregnant women before and after the intervention.</w:t>
      </w:r>
    </w:p>
    <w:p w14:paraId="243A3DEC" w14:textId="77777777" w:rsidR="00D81433" w:rsidRPr="00077581" w:rsidRDefault="00D81433" w:rsidP="00EF0802">
      <w:pPr>
        <w:pStyle w:val="NormalWeb"/>
        <w:spacing w:before="0" w:beforeAutospacing="0" w:after="160" w:afterAutospacing="0" w:line="360" w:lineRule="auto"/>
        <w:jc w:val="both"/>
        <w:rPr>
          <w:rStyle w:val="Strong"/>
          <w:b w:val="0"/>
          <w:bCs w:val="0"/>
        </w:rPr>
      </w:pPr>
      <w:r w:rsidRPr="00077581">
        <w:rPr>
          <w:rStyle w:val="Strong"/>
        </w:rPr>
        <w:t xml:space="preserve">Alternate Hypothesis (H03): </w:t>
      </w:r>
      <w:r w:rsidRPr="00077581">
        <w:rPr>
          <w:i/>
          <w:iCs/>
        </w:rPr>
        <w:t>There is a significant difference in the lifestyle practices of pregnant women before and after the intervention.</w:t>
      </w:r>
      <w:bookmarkEnd w:id="2"/>
    </w:p>
    <w:p w14:paraId="69664320" w14:textId="77777777" w:rsidR="00D81433" w:rsidRPr="00077581" w:rsidRDefault="00D81433" w:rsidP="00EF0802">
      <w:pPr>
        <w:pStyle w:val="Heading3"/>
        <w:spacing w:before="0" w:after="160" w:line="360" w:lineRule="auto"/>
        <w:jc w:val="both"/>
        <w:rPr>
          <w:rFonts w:ascii="Times New Roman" w:hAnsi="Times New Roman" w:cs="Times New Roman"/>
          <w:i/>
          <w:iCs/>
          <w:color w:val="auto"/>
          <w:sz w:val="24"/>
          <w:szCs w:val="24"/>
        </w:rPr>
      </w:pPr>
      <w:r w:rsidRPr="00077581">
        <w:rPr>
          <w:rStyle w:val="Strong"/>
          <w:rFonts w:ascii="Times New Roman" w:hAnsi="Times New Roman" w:cs="Times New Roman"/>
          <w:i/>
          <w:iCs/>
          <w:color w:val="auto"/>
          <w:sz w:val="24"/>
          <w:szCs w:val="24"/>
        </w:rPr>
        <w:t>A. Wilcoxon Signed-Rank Test (Ordinal Data)</w:t>
      </w:r>
    </w:p>
    <w:p w14:paraId="132A0BE7"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The Wilcoxon Signed-Rank Test was employed to examine shifts in ordinal responses, such as exercise frequency, high-sodium food intake, and sleep duration. These items involve ranked categories rather than absolute values and are not normally distributed, making the Wilcoxon test appropriate.</w:t>
      </w:r>
    </w:p>
    <w:p w14:paraId="4F175843" w14:textId="77777777" w:rsidR="00D81433" w:rsidRPr="00A06C2F" w:rsidRDefault="00D81433" w:rsidP="00EF0802">
      <w:pPr>
        <w:spacing w:line="360" w:lineRule="auto"/>
        <w:jc w:val="both"/>
        <w:rPr>
          <w:rFonts w:ascii="Times New Roman" w:eastAsia="Times New Roman" w:hAnsi="Times New Roman" w:cs="Times New Roman"/>
          <w:kern w:val="0"/>
          <w:lang w:eastAsia="en-IN"/>
          <w14:ligatures w14:val="none"/>
        </w:rPr>
      </w:pPr>
      <w:r w:rsidRPr="00077581">
        <w:rPr>
          <w:rFonts w:ascii="Times New Roman" w:eastAsia="Times New Roman" w:hAnsi="Times New Roman" w:cs="Times New Roman"/>
          <w:kern w:val="0"/>
          <w:lang w:eastAsia="en-IN"/>
          <w14:ligatures w14:val="none"/>
        </w:rPr>
        <w:t xml:space="preserve">As shown in Table 4.11, the Z-values for exercise frequency, sodium intake, and sleep duration were -9.23, -8.91, and -7.48 respectively, all with p-values &lt; 0.001. These values indicate statistically significant improvements across all three domains. Post-intervention, more women reported exercising regularly, consuming less sodium, and sleeping for longer durations. This suggests that the intervention successfully influenced participants to adopt healthier lifestyle </w:t>
      </w:r>
      <w:proofErr w:type="spellStart"/>
      <w:r w:rsidRPr="00077581">
        <w:rPr>
          <w:rFonts w:ascii="Times New Roman" w:eastAsia="Times New Roman" w:hAnsi="Times New Roman" w:cs="Times New Roman"/>
          <w:kern w:val="0"/>
          <w:lang w:eastAsia="en-IN"/>
          <w14:ligatures w14:val="none"/>
        </w:rPr>
        <w:t>behaviors</w:t>
      </w:r>
      <w:proofErr w:type="spellEnd"/>
      <w:r w:rsidRPr="00077581">
        <w:rPr>
          <w:rFonts w:ascii="Times New Roman" w:eastAsia="Times New Roman" w:hAnsi="Times New Roman" w:cs="Times New Roman"/>
          <w:kern w:val="0"/>
          <w:lang w:eastAsia="en-IN"/>
          <w14:ligatures w14:val="none"/>
        </w:rPr>
        <w:t xml:space="preserve">, essential for managing thyroid and blood pressure conditions during pregnancy. Table 4.11 confirms significant differences in key lifestyle </w:t>
      </w:r>
      <w:proofErr w:type="spellStart"/>
      <w:r w:rsidRPr="00077581">
        <w:rPr>
          <w:rFonts w:ascii="Times New Roman" w:eastAsia="Times New Roman" w:hAnsi="Times New Roman" w:cs="Times New Roman"/>
          <w:kern w:val="0"/>
          <w:lang w:eastAsia="en-IN"/>
          <w14:ligatures w14:val="none"/>
        </w:rPr>
        <w:t>behaviors</w:t>
      </w:r>
      <w:proofErr w:type="spellEnd"/>
      <w:r w:rsidRPr="00077581">
        <w:rPr>
          <w:rFonts w:ascii="Times New Roman" w:eastAsia="Times New Roman" w:hAnsi="Times New Roman" w:cs="Times New Roman"/>
          <w:kern w:val="0"/>
          <w:lang w:eastAsia="en-IN"/>
          <w14:ligatures w14:val="none"/>
        </w:rPr>
        <w:t>, supporting the effectiveness of the intervention on frequency-based habits</w:t>
      </w:r>
      <w:r w:rsidRPr="00A06C2F">
        <w:rPr>
          <w:rFonts w:ascii="Times New Roman" w:eastAsia="Times New Roman" w:hAnsi="Times New Roman" w:cs="Times New Roman"/>
          <w:kern w:val="0"/>
          <w:lang w:eastAsia="en-IN"/>
          <w14:ligatures w14:val="none"/>
        </w:rPr>
        <w:t>.</w:t>
      </w:r>
    </w:p>
    <w:p w14:paraId="4DA1D6C9" w14:textId="77777777" w:rsidR="00D81433" w:rsidRPr="00077581" w:rsidRDefault="00D81433" w:rsidP="00EF0802">
      <w:pPr>
        <w:pStyle w:val="NormalWeb"/>
        <w:spacing w:before="0" w:beforeAutospacing="0" w:after="160" w:afterAutospacing="0" w:line="360" w:lineRule="auto"/>
        <w:jc w:val="both"/>
        <w:rPr>
          <w:b/>
          <w:bCs/>
        </w:rPr>
      </w:pPr>
      <w:r w:rsidRPr="00077581">
        <w:rPr>
          <w:b/>
          <w:bCs/>
        </w:rPr>
        <w:t>Table 4.11 Wilcoxon Signed-Rank Test on Ordinal Lifestyle Practices</w:t>
      </w:r>
    </w:p>
    <w:tbl>
      <w:tblPr>
        <w:tblStyle w:val="TableGrid"/>
        <w:tblW w:w="5000" w:type="pct"/>
        <w:tblLook w:val="04A0" w:firstRow="1" w:lastRow="0" w:firstColumn="1" w:lastColumn="0" w:noHBand="0" w:noVBand="1"/>
      </w:tblPr>
      <w:tblGrid>
        <w:gridCol w:w="3677"/>
        <w:gridCol w:w="1349"/>
        <w:gridCol w:w="1312"/>
        <w:gridCol w:w="1958"/>
      </w:tblGrid>
      <w:tr w:rsidR="007A184E" w:rsidRPr="00077581" w14:paraId="3196F49F" w14:textId="77777777" w:rsidTr="007A184E">
        <w:tc>
          <w:tcPr>
            <w:tcW w:w="2216" w:type="pct"/>
            <w:hideMark/>
          </w:tcPr>
          <w:p w14:paraId="54B9ABB1" w14:textId="77777777" w:rsidR="007A184E" w:rsidRPr="00077581" w:rsidRDefault="007A184E" w:rsidP="00EF0802">
            <w:pPr>
              <w:spacing w:line="360" w:lineRule="auto"/>
              <w:rPr>
                <w:rFonts w:ascii="Times New Roman" w:hAnsi="Times New Roman" w:cs="Times New Roman"/>
                <w:b/>
                <w:bCs/>
              </w:rPr>
            </w:pPr>
            <w:r w:rsidRPr="00077581">
              <w:rPr>
                <w:rStyle w:val="Strong"/>
                <w:rFonts w:ascii="Times New Roman" w:hAnsi="Times New Roman" w:cs="Times New Roman"/>
              </w:rPr>
              <w:t>Lifestyle Practice</w:t>
            </w:r>
          </w:p>
        </w:tc>
        <w:tc>
          <w:tcPr>
            <w:tcW w:w="813" w:type="pct"/>
            <w:hideMark/>
          </w:tcPr>
          <w:p w14:paraId="02CDE9E7" w14:textId="77777777" w:rsidR="007A184E" w:rsidRPr="00077581" w:rsidRDefault="007A184E" w:rsidP="00EF0802">
            <w:pPr>
              <w:spacing w:line="360" w:lineRule="auto"/>
              <w:rPr>
                <w:rFonts w:ascii="Times New Roman" w:hAnsi="Times New Roman" w:cs="Times New Roman"/>
                <w:b/>
                <w:bCs/>
              </w:rPr>
            </w:pPr>
            <w:r w:rsidRPr="00077581">
              <w:rPr>
                <w:rStyle w:val="Strong"/>
                <w:rFonts w:ascii="Times New Roman" w:hAnsi="Times New Roman" w:cs="Times New Roman"/>
              </w:rPr>
              <w:t>Z-value</w:t>
            </w:r>
          </w:p>
        </w:tc>
        <w:tc>
          <w:tcPr>
            <w:tcW w:w="791" w:type="pct"/>
            <w:hideMark/>
          </w:tcPr>
          <w:p w14:paraId="3092FFB0" w14:textId="77777777" w:rsidR="007A184E" w:rsidRPr="00077581" w:rsidRDefault="007A184E" w:rsidP="00EF0802">
            <w:pPr>
              <w:spacing w:line="360" w:lineRule="auto"/>
              <w:rPr>
                <w:rFonts w:ascii="Times New Roman" w:hAnsi="Times New Roman" w:cs="Times New Roman"/>
                <w:b/>
                <w:bCs/>
              </w:rPr>
            </w:pPr>
            <w:r w:rsidRPr="00077581">
              <w:rPr>
                <w:rStyle w:val="Strong"/>
                <w:rFonts w:ascii="Times New Roman" w:hAnsi="Times New Roman" w:cs="Times New Roman"/>
              </w:rPr>
              <w:t>p-value</w:t>
            </w:r>
          </w:p>
        </w:tc>
        <w:tc>
          <w:tcPr>
            <w:tcW w:w="1180" w:type="pct"/>
            <w:hideMark/>
          </w:tcPr>
          <w:p w14:paraId="1267C255" w14:textId="77777777" w:rsidR="007A184E" w:rsidRPr="00077581" w:rsidRDefault="007A184E" w:rsidP="00EF0802">
            <w:pPr>
              <w:spacing w:line="360" w:lineRule="auto"/>
              <w:rPr>
                <w:rFonts w:ascii="Times New Roman" w:hAnsi="Times New Roman" w:cs="Times New Roman"/>
                <w:b/>
                <w:bCs/>
              </w:rPr>
            </w:pPr>
            <w:r w:rsidRPr="00077581">
              <w:rPr>
                <w:rStyle w:val="Strong"/>
                <w:rFonts w:ascii="Times New Roman" w:hAnsi="Times New Roman" w:cs="Times New Roman"/>
              </w:rPr>
              <w:t>Significance</w:t>
            </w:r>
          </w:p>
        </w:tc>
      </w:tr>
      <w:tr w:rsidR="007A184E" w:rsidRPr="00077581" w14:paraId="455BB04B" w14:textId="77777777" w:rsidTr="007A184E">
        <w:tc>
          <w:tcPr>
            <w:tcW w:w="2216" w:type="pct"/>
            <w:hideMark/>
          </w:tcPr>
          <w:p w14:paraId="07334504"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Exercise Frequency</w:t>
            </w:r>
          </w:p>
        </w:tc>
        <w:tc>
          <w:tcPr>
            <w:tcW w:w="813" w:type="pct"/>
            <w:hideMark/>
          </w:tcPr>
          <w:p w14:paraId="660ED328"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-9.23</w:t>
            </w:r>
          </w:p>
        </w:tc>
        <w:tc>
          <w:tcPr>
            <w:tcW w:w="791" w:type="pct"/>
            <w:hideMark/>
          </w:tcPr>
          <w:p w14:paraId="61C7818B"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&lt;0.001</w:t>
            </w:r>
          </w:p>
        </w:tc>
        <w:tc>
          <w:tcPr>
            <w:tcW w:w="1180" w:type="pct"/>
            <w:hideMark/>
          </w:tcPr>
          <w:p w14:paraId="3DC18D6F" w14:textId="77777777" w:rsidR="007A184E" w:rsidRPr="00DD13BE" w:rsidRDefault="007A184E" w:rsidP="00EF0802">
            <w:pPr>
              <w:spacing w:line="360" w:lineRule="auto"/>
              <w:rPr>
                <w:rFonts w:ascii="Times New Roman" w:hAnsi="Times New Roman" w:cs="Times New Roman"/>
                <w:b/>
                <w:bCs/>
              </w:rPr>
            </w:pPr>
            <w:r w:rsidRPr="00DD13BE">
              <w:rPr>
                <w:rStyle w:val="Strong"/>
                <w:rFonts w:ascii="Times New Roman" w:hAnsi="Times New Roman" w:cs="Times New Roman"/>
                <w:b w:val="0"/>
                <w:bCs w:val="0"/>
              </w:rPr>
              <w:t>Significant</w:t>
            </w:r>
          </w:p>
        </w:tc>
      </w:tr>
      <w:tr w:rsidR="007A184E" w:rsidRPr="00077581" w14:paraId="39CD7933" w14:textId="77777777" w:rsidTr="007A184E">
        <w:tc>
          <w:tcPr>
            <w:tcW w:w="2216" w:type="pct"/>
            <w:hideMark/>
          </w:tcPr>
          <w:p w14:paraId="69870655"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lastRenderedPageBreak/>
              <w:t>High-Sodium Food Intake</w:t>
            </w:r>
          </w:p>
        </w:tc>
        <w:tc>
          <w:tcPr>
            <w:tcW w:w="813" w:type="pct"/>
            <w:hideMark/>
          </w:tcPr>
          <w:p w14:paraId="49BE383E"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-8.91</w:t>
            </w:r>
          </w:p>
        </w:tc>
        <w:tc>
          <w:tcPr>
            <w:tcW w:w="791" w:type="pct"/>
            <w:hideMark/>
          </w:tcPr>
          <w:p w14:paraId="21806D14"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&lt;0.001</w:t>
            </w:r>
          </w:p>
        </w:tc>
        <w:tc>
          <w:tcPr>
            <w:tcW w:w="1180" w:type="pct"/>
            <w:hideMark/>
          </w:tcPr>
          <w:p w14:paraId="56E567D7" w14:textId="77777777" w:rsidR="007A184E" w:rsidRPr="00DD13BE" w:rsidRDefault="007A184E" w:rsidP="00EF0802">
            <w:pPr>
              <w:spacing w:line="360" w:lineRule="auto"/>
              <w:rPr>
                <w:rFonts w:ascii="Times New Roman" w:hAnsi="Times New Roman" w:cs="Times New Roman"/>
                <w:b/>
                <w:bCs/>
              </w:rPr>
            </w:pPr>
            <w:r w:rsidRPr="00DD13BE">
              <w:rPr>
                <w:rStyle w:val="Strong"/>
                <w:rFonts w:ascii="Times New Roman" w:hAnsi="Times New Roman" w:cs="Times New Roman"/>
                <w:b w:val="0"/>
                <w:bCs w:val="0"/>
              </w:rPr>
              <w:t>Significant</w:t>
            </w:r>
          </w:p>
        </w:tc>
      </w:tr>
      <w:tr w:rsidR="007A184E" w:rsidRPr="00077581" w14:paraId="7E155427" w14:textId="77777777" w:rsidTr="007A184E">
        <w:tc>
          <w:tcPr>
            <w:tcW w:w="2216" w:type="pct"/>
            <w:hideMark/>
          </w:tcPr>
          <w:p w14:paraId="1AAF680E"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Sleep Duration</w:t>
            </w:r>
          </w:p>
        </w:tc>
        <w:tc>
          <w:tcPr>
            <w:tcW w:w="813" w:type="pct"/>
            <w:hideMark/>
          </w:tcPr>
          <w:p w14:paraId="2F5C1231"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-7.48</w:t>
            </w:r>
          </w:p>
        </w:tc>
        <w:tc>
          <w:tcPr>
            <w:tcW w:w="791" w:type="pct"/>
            <w:hideMark/>
          </w:tcPr>
          <w:p w14:paraId="7A329DD1"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&lt;0.001</w:t>
            </w:r>
          </w:p>
        </w:tc>
        <w:tc>
          <w:tcPr>
            <w:tcW w:w="1180" w:type="pct"/>
            <w:hideMark/>
          </w:tcPr>
          <w:p w14:paraId="02DD47BA" w14:textId="77777777" w:rsidR="007A184E" w:rsidRPr="00DD13BE" w:rsidRDefault="007A184E" w:rsidP="00EF0802">
            <w:pPr>
              <w:spacing w:line="360" w:lineRule="auto"/>
              <w:rPr>
                <w:rFonts w:ascii="Times New Roman" w:hAnsi="Times New Roman" w:cs="Times New Roman"/>
                <w:b/>
                <w:bCs/>
              </w:rPr>
            </w:pPr>
            <w:r w:rsidRPr="00DD13BE">
              <w:rPr>
                <w:rStyle w:val="Strong"/>
                <w:rFonts w:ascii="Times New Roman" w:hAnsi="Times New Roman" w:cs="Times New Roman"/>
                <w:b w:val="0"/>
                <w:bCs w:val="0"/>
              </w:rPr>
              <w:t>Significant</w:t>
            </w:r>
          </w:p>
        </w:tc>
      </w:tr>
    </w:tbl>
    <w:p w14:paraId="73235FD1" w14:textId="77777777" w:rsidR="00806BAD" w:rsidRDefault="00806BAD" w:rsidP="00EF0802">
      <w:pPr>
        <w:pStyle w:val="Heading3"/>
        <w:spacing w:before="0" w:after="160" w:line="360" w:lineRule="auto"/>
        <w:jc w:val="both"/>
        <w:rPr>
          <w:rStyle w:val="Strong"/>
          <w:rFonts w:ascii="Times New Roman" w:hAnsi="Times New Roman" w:cs="Times New Roman"/>
          <w:i/>
          <w:iCs/>
          <w:color w:val="auto"/>
          <w:sz w:val="24"/>
          <w:szCs w:val="24"/>
        </w:rPr>
      </w:pPr>
    </w:p>
    <w:p w14:paraId="25AFBDCF" w14:textId="0F1D53C5" w:rsidR="00D81433" w:rsidRPr="00077581" w:rsidRDefault="00D81433" w:rsidP="00EF0802">
      <w:pPr>
        <w:pStyle w:val="Heading3"/>
        <w:spacing w:before="0" w:after="160" w:line="360" w:lineRule="auto"/>
        <w:jc w:val="both"/>
        <w:rPr>
          <w:rFonts w:ascii="Times New Roman" w:hAnsi="Times New Roman" w:cs="Times New Roman"/>
          <w:i/>
          <w:iCs/>
          <w:color w:val="auto"/>
          <w:sz w:val="24"/>
          <w:szCs w:val="24"/>
        </w:rPr>
      </w:pPr>
      <w:r w:rsidRPr="00077581">
        <w:rPr>
          <w:rStyle w:val="Strong"/>
          <w:rFonts w:ascii="Times New Roman" w:hAnsi="Times New Roman" w:cs="Times New Roman"/>
          <w:i/>
          <w:iCs/>
          <w:color w:val="auto"/>
          <w:sz w:val="24"/>
          <w:szCs w:val="24"/>
        </w:rPr>
        <w:t>B. McNemar’s Test (Binary Data)</w:t>
      </w:r>
    </w:p>
    <w:p w14:paraId="62116F3C" w14:textId="5F325EFE" w:rsidR="00D81433" w:rsidRPr="00077581" w:rsidRDefault="00D81433" w:rsidP="00EF0802">
      <w:pPr>
        <w:pStyle w:val="NormalWeb"/>
        <w:spacing w:before="0" w:beforeAutospacing="0" w:after="160" w:afterAutospacing="0" w:line="360" w:lineRule="auto"/>
        <w:jc w:val="both"/>
      </w:pPr>
      <w:r w:rsidRPr="00077581">
        <w:t>To assess changes in dichotomous (yes/no) responses, such as whether participants made dietary changes or practiced stress-relief techniques, the McNemar’s Test was applied. This test is suitable for paired nominal data and determines whether proportions of categorical variables changed significantly from pre-test to post-test</w:t>
      </w:r>
      <w:r w:rsidR="00CC5373">
        <w:t xml:space="preserve"> </w:t>
      </w:r>
      <w:r w:rsidR="00CC5373">
        <w:fldChar w:fldCharType="begin" w:fldLock="1"/>
      </w:r>
      <w:r w:rsidR="00CC5373">
        <w:instrText>ADDIN CSL_CITATION {"citationItems":[{"id":"ITEM-1","itemData":{"DOI":"10.1093/eurjpc/zwac133","ISSN":"20474881","PMID":"35778824","abstract":"Aims: We compared the incidence of cardiovascular disease (CVD) in transgender participants with a diagnosis of gender dysphoria (GD) with and without gender-affirming hormone therapy (GAHT) to the incidence observed in the general population. Methods and results: The population-based cohort included all individuals &gt;10 years in Sweden linked to Swedish nationwide healthcare Registers (2006-16). Two comparator groups without GD/GAHT were matched (1:10) on age, county of residence, and on male and female birth-assigned sex, respectively. Cox proportional models provided hazard ratios (HRs) and 95% confidence intervals (CI) for CVD outcomes. Among 1779 transgender individuals [48% birth-assigned males (AMAB), 52% birth-assigned females (AFAB)], 18 developed CVD, most of which were conduction disorders. The incidence of CVD for AFAB individuals with GD was 3.7 per 1000 person-years (95% CI: 1.4-10.0). Assigned male at birth individuals with GD had an incidence of CVD event of 7.1 per 1000 person-years (95% CI: 4.2-12.0). The risk of CVD event was 2.4 times higher in AMAB individuals (HR: 2.4, 95% CI: 1.3-4.2) compared with cisgender women, and 1.7 higher compared with cisgender men (HR: 1.7, 95% CI: 1.0-2.9). Analysis limited to transgender individuals without GAHT yielded similar results to those with GAHT treatment. Conclusion: The incidence of CVD among GD/GAHT individuals was low, although increased compared with matched individuals without GD and similar to the incidence among GD/no GAHT individuals, thus not lending support for a causal relationship between treatment and CVD outcomes. Larger studies with longer follow-up are needed to verify these findings, as well as possible effect modification by comorbidity.","author":[{"dropping-particle":"","family":"Karalexi","given":"Maria A.","non-dropping-particle":"","parse-names":false,"suffix":""},{"dropping-particle":"","family":"Frisell","given":"Thomas","non-dropping-particle":"","parse-names":false,"suffix":""},{"dropping-particle":"","family":"Cnattingius","given":"Sven","non-dropping-particle":"","parse-names":false,"suffix":""},{"dropping-particle":"","family":"Holmberg","given":"Dag","non-dropping-particle":"","parse-names":false,"suffix":""},{"dropping-particle":"","family":"Holmberg","given":"Mats","non-dropping-particle":"","parse-names":false,"suffix":""},{"dropping-particle":"","family":"Kollia","given":"Natasa","non-dropping-particle":"","parse-names":false,"suffix":""},{"dropping-particle":"","family":"Skalkidou","given":"Alkistis","non-dropping-particle":"","parse-names":false,"suffix":""},{"dropping-particle":"","family":"Papadopoulos","given":"Fotios C.","non-dropping-particle":"","parse-names":false,"suffix":""}],"container-title":"European Journal of Preventive Cardiology","id":"ITEM-1","issue":"15","issued":{"date-parts":[["2022"]]},"page":"2017-2026","title":"Cardiovascular outcomes in transgender individuals in Sweden after initiation of gender-affirming hormone therapy","type":"article-journal","volume":"29"},"uris":["http://www.mendeley.com/documents/?uuid=6216c986-ac48-4091-adba-3d4ad3bf5d3e"]}],"mendeley":{"formattedCitation":"(Karalexi et al., 2022)","plainTextFormattedCitation":"(Karalexi et al., 2022)","previouslyFormattedCitation":"(Karalexi et al., 2022)"},"properties":{"noteIndex":0},"schema":"https://github.com/citation-style-language/schema/raw/master/csl-citation.json"}</w:instrText>
      </w:r>
      <w:r w:rsidR="00CC5373">
        <w:fldChar w:fldCharType="separate"/>
      </w:r>
      <w:r w:rsidR="00CC5373" w:rsidRPr="00CC5373">
        <w:rPr>
          <w:noProof/>
        </w:rPr>
        <w:t>(Karalexi et al., 2022)</w:t>
      </w:r>
      <w:r w:rsidR="00CC5373">
        <w:fldChar w:fldCharType="end"/>
      </w:r>
      <w:r w:rsidRPr="00077581">
        <w:t>.</w:t>
      </w:r>
    </w:p>
    <w:p w14:paraId="51E5441C" w14:textId="77777777" w:rsidR="00D81433" w:rsidRPr="00077581" w:rsidRDefault="00D81433" w:rsidP="00EF0802">
      <w:pPr>
        <w:pStyle w:val="NormalWeb"/>
        <w:spacing w:before="0" w:beforeAutospacing="0" w:after="160" w:afterAutospacing="0" w:line="360" w:lineRule="auto"/>
        <w:jc w:val="both"/>
      </w:pPr>
      <w:r w:rsidRPr="00077581">
        <w:t>As reported in Table 4.12, all examined variables demonstrated statistically significant changes. The number of women who made dietary changes increased from 102 to 161 (χ² = 28.00, p &lt; 0.001), and those who followed a specific diet rose from 56 to 130 (χ² = 24.50, p &lt; 0.001). Supplement intake improved significantly (from 134 to 157, χ² = 30.10, p &lt; 0.001), as did the use of stress-relief techniques (from 86 to 157, χ² = 32.80, p &lt; 0.001). Furthermore, the number of participants who discussed their lifestyle with a healthcare provider doubled (from 70 to 140, χ² = 26.70, p &lt; 0.001).</w:t>
      </w:r>
    </w:p>
    <w:p w14:paraId="38C46AA9" w14:textId="0DB4C59D" w:rsidR="00EF0802" w:rsidRPr="00CC5373" w:rsidRDefault="00D81433" w:rsidP="00CC5373">
      <w:pPr>
        <w:pStyle w:val="NormalWeb"/>
        <w:spacing w:before="0" w:beforeAutospacing="0" w:after="160" w:afterAutospacing="0" w:line="360" w:lineRule="auto"/>
        <w:jc w:val="both"/>
      </w:pPr>
      <w:r w:rsidRPr="00077581">
        <w:t xml:space="preserve">Table 4.12 highlights statistically significant </w:t>
      </w:r>
      <w:proofErr w:type="spellStart"/>
      <w:r w:rsidRPr="00077581">
        <w:t>behavioral</w:t>
      </w:r>
      <w:proofErr w:type="spellEnd"/>
      <w:r w:rsidRPr="00077581">
        <w:t xml:space="preserve"> changes in key binary variables, including diet, supplementation, and stress management.</w:t>
      </w:r>
    </w:p>
    <w:p w14:paraId="475F00AE" w14:textId="36A37B78" w:rsidR="00D81433" w:rsidRPr="00077581" w:rsidRDefault="00D81433" w:rsidP="00EF0802">
      <w:pPr>
        <w:pStyle w:val="NormalWeb"/>
        <w:spacing w:before="0" w:beforeAutospacing="0" w:after="160" w:afterAutospacing="0" w:line="360" w:lineRule="auto"/>
        <w:rPr>
          <w:b/>
          <w:bCs/>
        </w:rPr>
      </w:pPr>
      <w:r w:rsidRPr="00077581">
        <w:rPr>
          <w:b/>
          <w:bCs/>
        </w:rPr>
        <w:t>Table 4.12 McNemar’s Test on Binary Lifestyle Practices</w:t>
      </w:r>
    </w:p>
    <w:tbl>
      <w:tblPr>
        <w:tblStyle w:val="TableGrid"/>
        <w:tblW w:w="5000" w:type="pct"/>
        <w:tblLook w:val="04A0" w:firstRow="1" w:lastRow="0" w:firstColumn="1" w:lastColumn="0" w:noHBand="0" w:noVBand="1"/>
      </w:tblPr>
      <w:tblGrid>
        <w:gridCol w:w="2521"/>
        <w:gridCol w:w="1095"/>
        <w:gridCol w:w="1146"/>
        <w:gridCol w:w="756"/>
        <w:gridCol w:w="430"/>
        <w:gridCol w:w="892"/>
        <w:gridCol w:w="1456"/>
      </w:tblGrid>
      <w:tr w:rsidR="007A184E" w:rsidRPr="00077581" w14:paraId="0A2242F7" w14:textId="77777777" w:rsidTr="007A184E">
        <w:tc>
          <w:tcPr>
            <w:tcW w:w="1567" w:type="pct"/>
            <w:hideMark/>
          </w:tcPr>
          <w:p w14:paraId="22A9EDBA" w14:textId="77777777" w:rsidR="007A184E" w:rsidRPr="00077581" w:rsidRDefault="007A184E" w:rsidP="00EF0802">
            <w:pPr>
              <w:spacing w:line="360" w:lineRule="auto"/>
              <w:rPr>
                <w:rFonts w:ascii="Times New Roman" w:hAnsi="Times New Roman" w:cs="Times New Roman"/>
                <w:b/>
                <w:bCs/>
              </w:rPr>
            </w:pPr>
            <w:r w:rsidRPr="00077581">
              <w:rPr>
                <w:rStyle w:val="Strong"/>
                <w:rFonts w:ascii="Times New Roman" w:hAnsi="Times New Roman" w:cs="Times New Roman"/>
              </w:rPr>
              <w:t>Lifestyle Practice</w:t>
            </w:r>
          </w:p>
        </w:tc>
        <w:tc>
          <w:tcPr>
            <w:tcW w:w="707" w:type="pct"/>
            <w:hideMark/>
          </w:tcPr>
          <w:p w14:paraId="7F6EFE18" w14:textId="77777777" w:rsidR="007A184E" w:rsidRPr="00077581" w:rsidRDefault="007A184E" w:rsidP="00EF0802">
            <w:pPr>
              <w:spacing w:line="360" w:lineRule="auto"/>
              <w:rPr>
                <w:rFonts w:ascii="Times New Roman" w:hAnsi="Times New Roman" w:cs="Times New Roman"/>
                <w:b/>
                <w:bCs/>
              </w:rPr>
            </w:pPr>
            <w:r w:rsidRPr="00077581">
              <w:rPr>
                <w:rStyle w:val="Strong"/>
                <w:rFonts w:ascii="Times New Roman" w:hAnsi="Times New Roman" w:cs="Times New Roman"/>
              </w:rPr>
              <w:t>Pre-Test (Yes)</w:t>
            </w:r>
          </w:p>
        </w:tc>
        <w:tc>
          <w:tcPr>
            <w:tcW w:w="738" w:type="pct"/>
            <w:hideMark/>
          </w:tcPr>
          <w:p w14:paraId="6016D6D4" w14:textId="77777777" w:rsidR="007A184E" w:rsidRPr="00077581" w:rsidRDefault="007A184E" w:rsidP="00EF0802">
            <w:pPr>
              <w:spacing w:line="360" w:lineRule="auto"/>
              <w:rPr>
                <w:rFonts w:ascii="Times New Roman" w:hAnsi="Times New Roman" w:cs="Times New Roman"/>
                <w:b/>
                <w:bCs/>
              </w:rPr>
            </w:pPr>
            <w:r w:rsidRPr="00077581">
              <w:rPr>
                <w:rStyle w:val="Strong"/>
                <w:rFonts w:ascii="Times New Roman" w:hAnsi="Times New Roman" w:cs="Times New Roman"/>
              </w:rPr>
              <w:t>Post-Test (Yes)</w:t>
            </w:r>
          </w:p>
        </w:tc>
        <w:tc>
          <w:tcPr>
            <w:tcW w:w="419" w:type="pct"/>
            <w:hideMark/>
          </w:tcPr>
          <w:p w14:paraId="673C6372" w14:textId="77777777" w:rsidR="007A184E" w:rsidRPr="00077581" w:rsidRDefault="007A184E" w:rsidP="00EF0802">
            <w:pPr>
              <w:spacing w:line="360" w:lineRule="auto"/>
              <w:rPr>
                <w:rFonts w:ascii="Times New Roman" w:hAnsi="Times New Roman" w:cs="Times New Roman"/>
                <w:b/>
                <w:bCs/>
              </w:rPr>
            </w:pPr>
            <w:r w:rsidRPr="00077581">
              <w:rPr>
                <w:rStyle w:val="Strong"/>
                <w:rFonts w:ascii="Times New Roman" w:hAnsi="Times New Roman" w:cs="Times New Roman"/>
              </w:rPr>
              <w:t>Chi²</w:t>
            </w:r>
          </w:p>
        </w:tc>
        <w:tc>
          <w:tcPr>
            <w:tcW w:w="238" w:type="pct"/>
            <w:hideMark/>
          </w:tcPr>
          <w:p w14:paraId="12C003DA" w14:textId="77777777" w:rsidR="007A184E" w:rsidRPr="00077581" w:rsidRDefault="007A184E" w:rsidP="00EF0802">
            <w:pPr>
              <w:spacing w:line="360" w:lineRule="auto"/>
              <w:rPr>
                <w:rFonts w:ascii="Times New Roman" w:hAnsi="Times New Roman" w:cs="Times New Roman"/>
                <w:b/>
                <w:bCs/>
              </w:rPr>
            </w:pPr>
            <w:proofErr w:type="spellStart"/>
            <w:r w:rsidRPr="00077581">
              <w:rPr>
                <w:rStyle w:val="Strong"/>
                <w:rFonts w:ascii="Times New Roman" w:hAnsi="Times New Roman" w:cs="Times New Roman"/>
              </w:rPr>
              <w:t>df</w:t>
            </w:r>
            <w:proofErr w:type="spellEnd"/>
          </w:p>
        </w:tc>
        <w:tc>
          <w:tcPr>
            <w:tcW w:w="523" w:type="pct"/>
            <w:hideMark/>
          </w:tcPr>
          <w:p w14:paraId="6B608A33" w14:textId="77777777" w:rsidR="007A184E" w:rsidRPr="00077581" w:rsidRDefault="007A184E" w:rsidP="00EF0802">
            <w:pPr>
              <w:spacing w:line="360" w:lineRule="auto"/>
              <w:rPr>
                <w:rFonts w:ascii="Times New Roman" w:hAnsi="Times New Roman" w:cs="Times New Roman"/>
                <w:b/>
                <w:bCs/>
              </w:rPr>
            </w:pPr>
            <w:r w:rsidRPr="00077581">
              <w:rPr>
                <w:rStyle w:val="Strong"/>
                <w:rFonts w:ascii="Times New Roman" w:hAnsi="Times New Roman" w:cs="Times New Roman"/>
              </w:rPr>
              <w:t>p-value</w:t>
            </w:r>
          </w:p>
        </w:tc>
        <w:tc>
          <w:tcPr>
            <w:tcW w:w="807" w:type="pct"/>
            <w:hideMark/>
          </w:tcPr>
          <w:p w14:paraId="71A2B5B8" w14:textId="77777777" w:rsidR="007A184E" w:rsidRPr="00077581" w:rsidRDefault="007A184E" w:rsidP="00EF0802">
            <w:pPr>
              <w:spacing w:line="360" w:lineRule="auto"/>
              <w:rPr>
                <w:rFonts w:ascii="Times New Roman" w:hAnsi="Times New Roman" w:cs="Times New Roman"/>
                <w:b/>
                <w:bCs/>
              </w:rPr>
            </w:pPr>
            <w:r w:rsidRPr="00077581">
              <w:rPr>
                <w:rStyle w:val="Strong"/>
                <w:rFonts w:ascii="Times New Roman" w:hAnsi="Times New Roman" w:cs="Times New Roman"/>
              </w:rPr>
              <w:t>Significance</w:t>
            </w:r>
          </w:p>
        </w:tc>
      </w:tr>
      <w:tr w:rsidR="007A184E" w:rsidRPr="00077581" w14:paraId="003957E3" w14:textId="77777777" w:rsidTr="007A184E">
        <w:tc>
          <w:tcPr>
            <w:tcW w:w="1567" w:type="pct"/>
            <w:hideMark/>
          </w:tcPr>
          <w:p w14:paraId="5F6FBF97"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Made Dietary Changes</w:t>
            </w:r>
          </w:p>
        </w:tc>
        <w:tc>
          <w:tcPr>
            <w:tcW w:w="707" w:type="pct"/>
            <w:hideMark/>
          </w:tcPr>
          <w:p w14:paraId="2EB53B7F"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102</w:t>
            </w:r>
          </w:p>
        </w:tc>
        <w:tc>
          <w:tcPr>
            <w:tcW w:w="738" w:type="pct"/>
            <w:hideMark/>
          </w:tcPr>
          <w:p w14:paraId="79B84090"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161</w:t>
            </w:r>
          </w:p>
        </w:tc>
        <w:tc>
          <w:tcPr>
            <w:tcW w:w="419" w:type="pct"/>
            <w:hideMark/>
          </w:tcPr>
          <w:p w14:paraId="2C91D4D1"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28.00</w:t>
            </w:r>
          </w:p>
        </w:tc>
        <w:tc>
          <w:tcPr>
            <w:tcW w:w="238" w:type="pct"/>
            <w:hideMark/>
          </w:tcPr>
          <w:p w14:paraId="719E1D2E"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1</w:t>
            </w:r>
          </w:p>
        </w:tc>
        <w:tc>
          <w:tcPr>
            <w:tcW w:w="523" w:type="pct"/>
            <w:hideMark/>
          </w:tcPr>
          <w:p w14:paraId="59D263F2"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&lt;0.001</w:t>
            </w:r>
          </w:p>
        </w:tc>
        <w:tc>
          <w:tcPr>
            <w:tcW w:w="807" w:type="pct"/>
            <w:hideMark/>
          </w:tcPr>
          <w:p w14:paraId="77512D07" w14:textId="77777777" w:rsidR="007A184E" w:rsidRPr="00232ACE" w:rsidRDefault="007A184E" w:rsidP="00EF0802">
            <w:pPr>
              <w:spacing w:line="360" w:lineRule="auto"/>
              <w:rPr>
                <w:rFonts w:ascii="Times New Roman" w:hAnsi="Times New Roman" w:cs="Times New Roman"/>
                <w:b/>
                <w:bCs/>
              </w:rPr>
            </w:pPr>
            <w:r w:rsidRPr="00232ACE">
              <w:rPr>
                <w:rStyle w:val="Strong"/>
                <w:rFonts w:ascii="Times New Roman" w:hAnsi="Times New Roman" w:cs="Times New Roman"/>
                <w:b w:val="0"/>
                <w:bCs w:val="0"/>
              </w:rPr>
              <w:t>Significant</w:t>
            </w:r>
          </w:p>
        </w:tc>
      </w:tr>
      <w:tr w:rsidR="007A184E" w:rsidRPr="00077581" w14:paraId="2A79701C" w14:textId="77777777" w:rsidTr="007A184E">
        <w:tc>
          <w:tcPr>
            <w:tcW w:w="1567" w:type="pct"/>
            <w:hideMark/>
          </w:tcPr>
          <w:p w14:paraId="32ED5A23"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Follows Specific Diet (Thyroid/BP)</w:t>
            </w:r>
          </w:p>
        </w:tc>
        <w:tc>
          <w:tcPr>
            <w:tcW w:w="707" w:type="pct"/>
            <w:hideMark/>
          </w:tcPr>
          <w:p w14:paraId="799D5CFC"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56</w:t>
            </w:r>
          </w:p>
        </w:tc>
        <w:tc>
          <w:tcPr>
            <w:tcW w:w="738" w:type="pct"/>
            <w:hideMark/>
          </w:tcPr>
          <w:p w14:paraId="25051CF2"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130</w:t>
            </w:r>
          </w:p>
        </w:tc>
        <w:tc>
          <w:tcPr>
            <w:tcW w:w="419" w:type="pct"/>
            <w:hideMark/>
          </w:tcPr>
          <w:p w14:paraId="50342AE2"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24.50</w:t>
            </w:r>
          </w:p>
        </w:tc>
        <w:tc>
          <w:tcPr>
            <w:tcW w:w="238" w:type="pct"/>
            <w:hideMark/>
          </w:tcPr>
          <w:p w14:paraId="7C5DF810"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1</w:t>
            </w:r>
          </w:p>
        </w:tc>
        <w:tc>
          <w:tcPr>
            <w:tcW w:w="523" w:type="pct"/>
            <w:hideMark/>
          </w:tcPr>
          <w:p w14:paraId="3C028775"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&lt;0.001</w:t>
            </w:r>
          </w:p>
        </w:tc>
        <w:tc>
          <w:tcPr>
            <w:tcW w:w="807" w:type="pct"/>
            <w:hideMark/>
          </w:tcPr>
          <w:p w14:paraId="481360E8" w14:textId="77777777" w:rsidR="007A184E" w:rsidRPr="00232ACE" w:rsidRDefault="007A184E" w:rsidP="00EF0802">
            <w:pPr>
              <w:spacing w:line="360" w:lineRule="auto"/>
              <w:rPr>
                <w:rFonts w:ascii="Times New Roman" w:hAnsi="Times New Roman" w:cs="Times New Roman"/>
                <w:b/>
                <w:bCs/>
              </w:rPr>
            </w:pPr>
            <w:r w:rsidRPr="00232ACE">
              <w:rPr>
                <w:rStyle w:val="Strong"/>
                <w:rFonts w:ascii="Times New Roman" w:hAnsi="Times New Roman" w:cs="Times New Roman"/>
                <w:b w:val="0"/>
                <w:bCs w:val="0"/>
              </w:rPr>
              <w:t>Significant</w:t>
            </w:r>
          </w:p>
        </w:tc>
      </w:tr>
      <w:tr w:rsidR="007A184E" w:rsidRPr="00077581" w14:paraId="4659F4E9" w14:textId="77777777" w:rsidTr="007A184E">
        <w:tc>
          <w:tcPr>
            <w:tcW w:w="1567" w:type="pct"/>
            <w:hideMark/>
          </w:tcPr>
          <w:p w14:paraId="0FCEB51F"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Takes Supplements (Iodine/Folic)</w:t>
            </w:r>
          </w:p>
        </w:tc>
        <w:tc>
          <w:tcPr>
            <w:tcW w:w="707" w:type="pct"/>
            <w:hideMark/>
          </w:tcPr>
          <w:p w14:paraId="13E3544B"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134</w:t>
            </w:r>
          </w:p>
        </w:tc>
        <w:tc>
          <w:tcPr>
            <w:tcW w:w="738" w:type="pct"/>
            <w:hideMark/>
          </w:tcPr>
          <w:p w14:paraId="13256D02"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157</w:t>
            </w:r>
          </w:p>
        </w:tc>
        <w:tc>
          <w:tcPr>
            <w:tcW w:w="419" w:type="pct"/>
            <w:hideMark/>
          </w:tcPr>
          <w:p w14:paraId="1DD39C34"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30.10</w:t>
            </w:r>
          </w:p>
        </w:tc>
        <w:tc>
          <w:tcPr>
            <w:tcW w:w="238" w:type="pct"/>
            <w:hideMark/>
          </w:tcPr>
          <w:p w14:paraId="5A1C2C63"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1</w:t>
            </w:r>
          </w:p>
        </w:tc>
        <w:tc>
          <w:tcPr>
            <w:tcW w:w="523" w:type="pct"/>
            <w:hideMark/>
          </w:tcPr>
          <w:p w14:paraId="05DFC655"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&lt;0.001</w:t>
            </w:r>
          </w:p>
        </w:tc>
        <w:tc>
          <w:tcPr>
            <w:tcW w:w="807" w:type="pct"/>
            <w:hideMark/>
          </w:tcPr>
          <w:p w14:paraId="74C861B9" w14:textId="77777777" w:rsidR="007A184E" w:rsidRPr="00232ACE" w:rsidRDefault="007A184E" w:rsidP="00EF0802">
            <w:pPr>
              <w:spacing w:line="360" w:lineRule="auto"/>
              <w:rPr>
                <w:rFonts w:ascii="Times New Roman" w:hAnsi="Times New Roman" w:cs="Times New Roman"/>
                <w:b/>
                <w:bCs/>
              </w:rPr>
            </w:pPr>
            <w:r w:rsidRPr="00232ACE">
              <w:rPr>
                <w:rStyle w:val="Strong"/>
                <w:rFonts w:ascii="Times New Roman" w:hAnsi="Times New Roman" w:cs="Times New Roman"/>
                <w:b w:val="0"/>
                <w:bCs w:val="0"/>
              </w:rPr>
              <w:t>Significant</w:t>
            </w:r>
          </w:p>
        </w:tc>
      </w:tr>
      <w:tr w:rsidR="007A184E" w:rsidRPr="00077581" w14:paraId="03D0CA1C" w14:textId="77777777" w:rsidTr="007A184E">
        <w:tc>
          <w:tcPr>
            <w:tcW w:w="1567" w:type="pct"/>
            <w:hideMark/>
          </w:tcPr>
          <w:p w14:paraId="04156E7B"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Practices Stress-Relief Techniques</w:t>
            </w:r>
          </w:p>
        </w:tc>
        <w:tc>
          <w:tcPr>
            <w:tcW w:w="707" w:type="pct"/>
            <w:hideMark/>
          </w:tcPr>
          <w:p w14:paraId="2F4C397D"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86</w:t>
            </w:r>
          </w:p>
        </w:tc>
        <w:tc>
          <w:tcPr>
            <w:tcW w:w="738" w:type="pct"/>
            <w:hideMark/>
          </w:tcPr>
          <w:p w14:paraId="1A46363F"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157</w:t>
            </w:r>
          </w:p>
        </w:tc>
        <w:tc>
          <w:tcPr>
            <w:tcW w:w="419" w:type="pct"/>
            <w:hideMark/>
          </w:tcPr>
          <w:p w14:paraId="129BCD74"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32.80</w:t>
            </w:r>
          </w:p>
        </w:tc>
        <w:tc>
          <w:tcPr>
            <w:tcW w:w="238" w:type="pct"/>
            <w:hideMark/>
          </w:tcPr>
          <w:p w14:paraId="7E25A850"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1</w:t>
            </w:r>
          </w:p>
        </w:tc>
        <w:tc>
          <w:tcPr>
            <w:tcW w:w="523" w:type="pct"/>
            <w:hideMark/>
          </w:tcPr>
          <w:p w14:paraId="05B708B7"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&lt;0.001</w:t>
            </w:r>
          </w:p>
        </w:tc>
        <w:tc>
          <w:tcPr>
            <w:tcW w:w="807" w:type="pct"/>
            <w:hideMark/>
          </w:tcPr>
          <w:p w14:paraId="59D60D80" w14:textId="77777777" w:rsidR="007A184E" w:rsidRPr="00232ACE" w:rsidRDefault="007A184E" w:rsidP="00EF0802">
            <w:pPr>
              <w:spacing w:line="360" w:lineRule="auto"/>
              <w:rPr>
                <w:rFonts w:ascii="Times New Roman" w:hAnsi="Times New Roman" w:cs="Times New Roman"/>
                <w:b/>
                <w:bCs/>
              </w:rPr>
            </w:pPr>
            <w:r w:rsidRPr="00232ACE">
              <w:rPr>
                <w:rStyle w:val="Strong"/>
                <w:rFonts w:ascii="Times New Roman" w:hAnsi="Times New Roman" w:cs="Times New Roman"/>
                <w:b w:val="0"/>
                <w:bCs w:val="0"/>
              </w:rPr>
              <w:t>Significant</w:t>
            </w:r>
          </w:p>
        </w:tc>
      </w:tr>
      <w:tr w:rsidR="007A184E" w:rsidRPr="00077581" w14:paraId="13B506D4" w14:textId="77777777" w:rsidTr="007A184E">
        <w:tc>
          <w:tcPr>
            <w:tcW w:w="1567" w:type="pct"/>
            <w:hideMark/>
          </w:tcPr>
          <w:p w14:paraId="7BE64925"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Discussed Lifestyle with Doctor</w:t>
            </w:r>
          </w:p>
        </w:tc>
        <w:tc>
          <w:tcPr>
            <w:tcW w:w="707" w:type="pct"/>
            <w:hideMark/>
          </w:tcPr>
          <w:p w14:paraId="70E2A22C"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70</w:t>
            </w:r>
          </w:p>
        </w:tc>
        <w:tc>
          <w:tcPr>
            <w:tcW w:w="738" w:type="pct"/>
            <w:hideMark/>
          </w:tcPr>
          <w:p w14:paraId="417455A4"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140</w:t>
            </w:r>
          </w:p>
        </w:tc>
        <w:tc>
          <w:tcPr>
            <w:tcW w:w="419" w:type="pct"/>
            <w:hideMark/>
          </w:tcPr>
          <w:p w14:paraId="27063E89"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26.70</w:t>
            </w:r>
          </w:p>
        </w:tc>
        <w:tc>
          <w:tcPr>
            <w:tcW w:w="238" w:type="pct"/>
            <w:hideMark/>
          </w:tcPr>
          <w:p w14:paraId="3599CBF6"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1</w:t>
            </w:r>
          </w:p>
        </w:tc>
        <w:tc>
          <w:tcPr>
            <w:tcW w:w="523" w:type="pct"/>
            <w:hideMark/>
          </w:tcPr>
          <w:p w14:paraId="68326D10" w14:textId="77777777" w:rsidR="007A184E" w:rsidRPr="00077581" w:rsidRDefault="007A184E" w:rsidP="00EF0802">
            <w:pPr>
              <w:spacing w:line="360" w:lineRule="auto"/>
              <w:rPr>
                <w:rFonts w:ascii="Times New Roman" w:hAnsi="Times New Roman" w:cs="Times New Roman"/>
              </w:rPr>
            </w:pPr>
            <w:r w:rsidRPr="00077581">
              <w:rPr>
                <w:rFonts w:ascii="Times New Roman" w:hAnsi="Times New Roman" w:cs="Times New Roman"/>
              </w:rPr>
              <w:t>&lt;0.001</w:t>
            </w:r>
          </w:p>
        </w:tc>
        <w:tc>
          <w:tcPr>
            <w:tcW w:w="807" w:type="pct"/>
            <w:hideMark/>
          </w:tcPr>
          <w:p w14:paraId="718EF0B3" w14:textId="77777777" w:rsidR="007A184E" w:rsidRPr="00232ACE" w:rsidRDefault="007A184E" w:rsidP="00EF0802">
            <w:pPr>
              <w:spacing w:line="360" w:lineRule="auto"/>
              <w:rPr>
                <w:rFonts w:ascii="Times New Roman" w:hAnsi="Times New Roman" w:cs="Times New Roman"/>
                <w:b/>
                <w:bCs/>
              </w:rPr>
            </w:pPr>
            <w:r w:rsidRPr="00232ACE">
              <w:rPr>
                <w:rStyle w:val="Strong"/>
                <w:rFonts w:ascii="Times New Roman" w:hAnsi="Times New Roman" w:cs="Times New Roman"/>
                <w:b w:val="0"/>
                <w:bCs w:val="0"/>
              </w:rPr>
              <w:t>Significant</w:t>
            </w:r>
          </w:p>
        </w:tc>
      </w:tr>
    </w:tbl>
    <w:p w14:paraId="4403E701" w14:textId="7693E280" w:rsidR="007D27C3" w:rsidRPr="00077581" w:rsidRDefault="00D81433" w:rsidP="00EF0802">
      <w:pPr>
        <w:pStyle w:val="NormalWeb"/>
        <w:spacing w:before="0" w:beforeAutospacing="0" w:after="160" w:afterAutospacing="0" w:line="360" w:lineRule="auto"/>
        <w:jc w:val="both"/>
      </w:pPr>
      <w:r w:rsidRPr="00077581">
        <w:lastRenderedPageBreak/>
        <w:t xml:space="preserve">The results from both Table 4.11 and Table 4.12 provide compelling evidence to reject the null hypothesis (H₀₃) and accept the alternative hypothesis (H₁₃). The structured lifestyle modification intervention significantly improved pregnant women’s engagement in healthy </w:t>
      </w:r>
      <w:proofErr w:type="spellStart"/>
      <w:r w:rsidRPr="00077581">
        <w:t>behaviors</w:t>
      </w:r>
      <w:proofErr w:type="spellEnd"/>
      <w:r w:rsidRPr="00077581">
        <w:t>—including regular physical activity, better dietary choices, improved sleep hygiene, stress-reduction strategies, and increased consultation with healthcare professionals</w:t>
      </w:r>
      <w:r w:rsidR="00CC5373">
        <w:t xml:space="preserve"> </w:t>
      </w:r>
      <w:r w:rsidR="00CC5373">
        <w:fldChar w:fldCharType="begin" w:fldLock="1"/>
      </w:r>
      <w:r w:rsidR="00CC5373">
        <w:instrText>ADDIN CSL_CITATION {"citationItems":[{"id":"ITEM-1","itemData":{"DOI":"10.1016/j.preghy.2021.09.008","ISSN":"22107797","PMID":"35066406","abstract":"All units managing hypertensive pregnant women should maintain and review uniform departmental management protocols and conduct regular audits of maternal &amp; fetal outcomes. The cause(s) of pre-eclampsia and the optimal clinical management of the hypertensive disorders of pregnancy remain uncertain; therefore, we recommend that every hypertensive pregnant woman be offered an opportunity to participate in research, clinical trials and follow-up studies.","author":[{"dropping-particle":"","family":"Magee","given":"Laura A.","non-dropping-particle":"","parse-names":false,"suffix":""},{"dropping-particle":"","family":"Brown","given":"Mark A.","non-dropping-particle":"","parse-names":false,"suffix":""},{"dropping-particle":"","family":"Hall","given":"David R.","non-dropping-particle":"","parse-names":false,"suffix":""},{"dropping-particle":"","family":"Gupte","given":"Sanjay","non-dropping-particle":"","parse-names":false,"suffix":""},{"dropping-particle":"","family":"Hennessy","given":"Annemarie","non-dropping-particle":"","parse-names":false,"suffix":""},{"dropping-particle":"","family":"Karumanchi","given":"S. Ananth","non-dropping-particle":"","parse-names":false,"suffix":""},{"dropping-particle":"","family":"Kenny","given":"Louise C.","non-dropping-particle":"","parse-names":false,"suffix":""},{"dropping-particle":"","family":"McCarthy","given":"Fergus","non-dropping-particle":"","parse-names":false,"suffix":""},{"dropping-particle":"","family":"Myers","given":"Jenny","non-dropping-particle":"","parse-names":false,"suffix":""},{"dropping-particle":"","family":"Poon","given":"Liona C.","non-dropping-particle":"","parse-names":false,"suffix":""},{"dropping-particle":"","family":"Rana","given":"Sarosh","non-dropping-particle":"","parse-names":false,"suffix":""},{"dropping-particle":"","family":"Saito","given":"Shigeru","non-dropping-particle":"","parse-names":false,"suffix":""},{"dropping-particle":"","family":"Staff","given":"Anne Cathrine","non-dropping-particle":"","parse-names":false,"suffix":""},{"dropping-particle":"","family":"Tsigas","given":"Eleni","non-dropping-particle":"","parse-names":false,"suffix":""},{"dropping-particle":"","family":"Dadelszen","given":"Peter","non-dropping-particle":"von","parse-names":false,"suffix":""}],"container-title":"Pregnancy Hypertension","id":"ITEM-1","issue":"October 2021","issued":{"date-parts":[["2022"]]},"page":"148-169","publisher":"Elsevier B.V.","title":"The 2021 International Society for the Study of Hypertension in Pregnancy classification, diagnosis &amp; management recommendations for international practice","type":"article-journal","volume":"27"},"uris":["http://www.mendeley.com/documents/?uuid=b2428a87-f3ee-498d-80bf-58463b6ac894"]},{"id":"ITEM-2","itemData":{"DOI":"10.1007/s11906-022-01183-8","ISBN":"0123456789","ISSN":"15343111","PMID":"35254589","abstract":"Purpose of Review: To review recent data on sex differences in the prevalence, outcomes and management of hypertension. Recent Findings: Although hypertension is overall more common in males, females experience a much sharper incline in blood pressure from the third decade of life and consequently the prevalence of hypertension accelerates comparatively with age. Mechanisms responsible for these blood pressure trajectories may include the sustained vascular influence of hypertensive disorders of pregnancy, interactions between the renin–angiotensin–aldosterone system and sex hormones or even psychosocial gendered factors such as socioeconomic deprivation. Moreover, the impact of hypertension is not uniform and females are at higher risk of developing a multitude of adverse cardiovascular outcomes at lower blood pressure thresholds. Summary: Blood pressure is a sexually dimorphic trait and although significant differences exist in the prevalence, pathophysiology and outcomes of hypertension in males and females, limited data exist to support sex-specific blood pressure targets.","author":[{"dropping-particle":"","family":"Connelly","given":"Paul J.","non-dropping-particle":"","parse-names":false,"suffix":""},{"dropping-particle":"","family":"Currie","given":"Gemma","non-dropping-particle":"","parse-names":false,"suffix":""},{"dropping-particle":"","family":"Delles","given":"Christian","non-dropping-particle":"","parse-names":false,"suffix":""}],"container-title":"Current Hypertension Reports","id":"ITEM-2","issue":"6","issued":{"date-parts":[["2022"]]},"page":"185-192","publisher":"Springer US","title":"Sex Differences in the Prevalence, Outcomes and Management of Hypertension","type":"article-journal","volume":"24"},"uris":["http://www.mendeley.com/documents/?uuid=609e4e11-3813-4ca7-83fb-e60c326c2f79"]}],"mendeley":{"formattedCitation":"(Connelly et al., 2022; Magee et al., 2022)","plainTextFormattedCitation":"(Connelly et al., 2022; Magee et al., 2022)","previouslyFormattedCitation":"(Connelly et al., 2022; Magee et al., 2022)"},"properties":{"noteIndex":0},"schema":"https://github.com/citation-style-language/schema/raw/master/csl-citation.json"}</w:instrText>
      </w:r>
      <w:r w:rsidR="00CC5373">
        <w:fldChar w:fldCharType="separate"/>
      </w:r>
      <w:r w:rsidR="00CC5373" w:rsidRPr="00CC5373">
        <w:rPr>
          <w:noProof/>
        </w:rPr>
        <w:t>(Connelly et al., 2022; Magee et al., 2022)</w:t>
      </w:r>
      <w:r w:rsidR="00CC5373">
        <w:fldChar w:fldCharType="end"/>
      </w:r>
      <w:r w:rsidRPr="00077581">
        <w:t xml:space="preserve">. These findings underline the value of </w:t>
      </w:r>
      <w:proofErr w:type="spellStart"/>
      <w:r w:rsidRPr="00077581">
        <w:t>behavior</w:t>
      </w:r>
      <w:proofErr w:type="spellEnd"/>
      <w:r w:rsidRPr="00077581">
        <w:t>-focused antenatal education in managing thyroid and hypertension risks during pregnancy</w:t>
      </w:r>
      <w:r w:rsidR="00CC5373">
        <w:t xml:space="preserve"> </w:t>
      </w:r>
      <w:r w:rsidR="00CC5373">
        <w:fldChar w:fldCharType="begin" w:fldLock="1"/>
      </w:r>
      <w:r w:rsidR="00CC5373">
        <w:instrText>ADDIN CSL_CITATION {"citationItems":[{"id":"ITEM-1","itemData":{"DOI":"10.1038/s41593-021-00797-6","ISSN":"15461726","PMID":"33619404","abstract":"Pyramidal cells and GABAergic interneurons fire together in balanced cortical networks. In contrast to this general rule, we describe a distinct neuron type in mice and rats whose spiking activity is anti-correlated with all principal cells and interneurons in all brain states but, most prevalently, during the down state of non-REM (NREM) sleep. We identify these down state-active (DSA) neurons as deep-layer neocortical neurogliaform cells that express ID2 and Nkx2.1 and are weakly immunoreactive to neuronal nitric oxide synthase. DSA neurons are weakly excited by deep-layer pyramidal cells and strongly inhibited by several other GABAergic cell types. Spiking of DSA neurons modified the sequential firing order of other neurons at down–up transitions. Optogenetic activation of ID2+Nkx2.1+ interneurons in the posterior parietal cortex during NREM sleep, but not during waking, interfered with consolidation of cue discrimination memory. Despite their sparsity, DSA neurons perform critical physiological functions.","author":[{"dropping-particle":"","family":"Valero","given":"Manuel","non-dropping-particle":"","parse-names":false,"suffix":""},{"dropping-particle":"","family":"Viney","given":"Tim J.","non-dropping-particle":"","parse-names":false,"suffix":""},{"dropping-particle":"","family":"Machold","given":"Robert","non-dropping-particle":"","parse-names":false,"suffix":""},{"dropping-particle":"","family":"Mederos","given":"Sara","non-dropping-particle":"","parse-names":false,"suffix":""},{"dropping-particle":"","family":"Zutshi","given":"Ipshita","non-dropping-particle":"","parse-names":false,"suffix":""},{"dropping-particle":"","family":"Schuman","given":"Benjamin","non-dropping-particle":"","parse-names":false,"suffix":""},{"dropping-particle":"","family":"Senzai","given":"Yuta","non-dropping-particle":"","parse-names":false,"suffix":""},{"dropping-particle":"","family":"Rudy","given":"Bernardo","non-dropping-particle":"","parse-names":false,"suffix":""},{"dropping-particle":"","family":"Buzsáki","given":"György","non-dropping-particle":"","parse-names":false,"suffix":""}],"container-title":"Nature Neuroscience","id":"ITEM-1","issue":"3","issued":{"date-parts":[["2021"]]},"page":"401-411","publisher":"Springer US","title":"Sleep down state-active ID2/Nkx2.1 interneurons in the neocortex","type":"article-journal","volume":"24"},"uris":["http://www.mendeley.com/documents/?uuid=ff3c1c9a-d5e2-42c6-bcaf-a6c34c4db591"]}],"mendeley":{"formattedCitation":"(Valero et al., 2021)","plainTextFormattedCitation":"(Valero et al., 2021)","previouslyFormattedCitation":"(Valero et al., 2021)"},"properties":{"noteIndex":0},"schema":"https://github.com/citation-style-language/schema/raw/master/csl-citation.json"}</w:instrText>
      </w:r>
      <w:r w:rsidR="00CC5373">
        <w:fldChar w:fldCharType="separate"/>
      </w:r>
      <w:r w:rsidR="00CC5373" w:rsidRPr="00CC5373">
        <w:rPr>
          <w:noProof/>
        </w:rPr>
        <w:t>(Valero et al., 2021)</w:t>
      </w:r>
      <w:r w:rsidR="00CC5373">
        <w:fldChar w:fldCharType="end"/>
      </w:r>
      <w:r w:rsidRPr="00077581">
        <w:t>.</w:t>
      </w:r>
    </w:p>
    <w:p w14:paraId="1D72D761" w14:textId="77777777" w:rsidR="00D81433" w:rsidRPr="00077581" w:rsidRDefault="00D81433" w:rsidP="00EF0802">
      <w:pPr>
        <w:spacing w:line="360" w:lineRule="auto"/>
        <w:jc w:val="both"/>
        <w:rPr>
          <w:rFonts w:ascii="Times New Roman" w:hAnsi="Times New Roman" w:cs="Times New Roman"/>
          <w:b/>
          <w:bCs/>
        </w:rPr>
      </w:pPr>
    </w:p>
    <w:p w14:paraId="59BD60C7" w14:textId="77777777" w:rsidR="00D81433" w:rsidRPr="00077581" w:rsidRDefault="00D81433" w:rsidP="00EF0802">
      <w:pPr>
        <w:spacing w:line="360" w:lineRule="auto"/>
        <w:jc w:val="both"/>
        <w:rPr>
          <w:rFonts w:ascii="Times New Roman" w:hAnsi="Times New Roman" w:cs="Times New Roman"/>
          <w:b/>
          <w:bCs/>
        </w:rPr>
      </w:pPr>
      <w:r w:rsidRPr="00077581">
        <w:rPr>
          <w:rFonts w:ascii="Times New Roman" w:hAnsi="Times New Roman" w:cs="Times New Roman"/>
          <w:b/>
          <w:bCs/>
        </w:rPr>
        <w:t>4.5 Lifestyle Changes Post-Intervention (Post-Test Only)</w:t>
      </w:r>
    </w:p>
    <w:p w14:paraId="5136A981" w14:textId="77777777" w:rsidR="00D81433" w:rsidRPr="00077581" w:rsidRDefault="00D81433" w:rsidP="00EF0802">
      <w:pPr>
        <w:pStyle w:val="NormalWeb"/>
        <w:spacing w:before="0" w:beforeAutospacing="0" w:after="160" w:afterAutospacing="0" w:line="360" w:lineRule="auto"/>
        <w:jc w:val="both"/>
      </w:pPr>
      <w:r w:rsidRPr="00077581">
        <w:t xml:space="preserve">Following the structured lifestyle modification intervention, post-test responses revealed substantial adoption of health-promoting </w:t>
      </w:r>
      <w:proofErr w:type="spellStart"/>
      <w:r w:rsidRPr="00077581">
        <w:t>behaviors</w:t>
      </w:r>
      <w:proofErr w:type="spellEnd"/>
      <w:r w:rsidRPr="00077581">
        <w:t xml:space="preserve"> among the participating pregnant women. As shown in </w:t>
      </w:r>
      <w:r w:rsidRPr="00425765">
        <w:rPr>
          <w:rStyle w:val="Strong"/>
          <w:b w:val="0"/>
          <w:bCs w:val="0"/>
        </w:rPr>
        <w:t>Table 4.13</w:t>
      </w:r>
      <w:r w:rsidRPr="00425765">
        <w:rPr>
          <w:b/>
          <w:bCs/>
        </w:rPr>
        <w:t xml:space="preserve">, </w:t>
      </w:r>
      <w:r w:rsidRPr="00425765">
        <w:rPr>
          <w:rStyle w:val="Strong"/>
          <w:b w:val="0"/>
          <w:bCs w:val="0"/>
        </w:rPr>
        <w:t>85.0% (n = 170)</w:t>
      </w:r>
      <w:r w:rsidRPr="00077581">
        <w:t xml:space="preserve"> of participants reported adopting lifestyle modifications, indicating a high level of program acceptance and </w:t>
      </w:r>
      <w:proofErr w:type="spellStart"/>
      <w:r w:rsidRPr="00077581">
        <w:t>behavioral</w:t>
      </w:r>
      <w:proofErr w:type="spellEnd"/>
      <w:r w:rsidRPr="00077581">
        <w:t xml:space="preserve"> responsiveness. However, </w:t>
      </w:r>
      <w:r w:rsidRPr="00425765">
        <w:rPr>
          <w:rStyle w:val="Strong"/>
          <w:b w:val="0"/>
          <w:bCs w:val="0"/>
        </w:rPr>
        <w:t>15.0% (n = 30)</w:t>
      </w:r>
      <w:r w:rsidRPr="00077581">
        <w:t xml:space="preserve"> did not adopt or only partially adopted the recommended changes. When asked about the reasons for non-adoption, the most frequently cited barrier was an </w:t>
      </w:r>
      <w:r w:rsidRPr="00425765">
        <w:rPr>
          <w:rStyle w:val="Strong"/>
          <w:b w:val="0"/>
          <w:bCs w:val="0"/>
        </w:rPr>
        <w:t>inconvenient routine (33.3%)</w:t>
      </w:r>
      <w:r w:rsidRPr="00077581">
        <w:t xml:space="preserve">, followed by </w:t>
      </w:r>
      <w:r w:rsidRPr="00425765">
        <w:rPr>
          <w:rStyle w:val="Strong"/>
          <w:b w:val="0"/>
          <w:bCs w:val="0"/>
        </w:rPr>
        <w:t>lack of time (26.7%)</w:t>
      </w:r>
      <w:r w:rsidRPr="00425765">
        <w:rPr>
          <w:b/>
          <w:bCs/>
        </w:rPr>
        <w:t xml:space="preserve">, </w:t>
      </w:r>
      <w:r w:rsidRPr="00425765">
        <w:rPr>
          <w:rStyle w:val="Strong"/>
          <w:b w:val="0"/>
          <w:bCs w:val="0"/>
        </w:rPr>
        <w:t>no perceived benefit (20.0%)</w:t>
      </w:r>
      <w:r w:rsidRPr="00077581">
        <w:t>, and other personal or logistical reasons (20.0%).</w:t>
      </w:r>
    </w:p>
    <w:p w14:paraId="39119354" w14:textId="77777777" w:rsidR="00D81433" w:rsidRPr="00077581" w:rsidRDefault="00D81433" w:rsidP="00EF0802">
      <w:pPr>
        <w:pStyle w:val="NormalWeb"/>
        <w:spacing w:before="0" w:beforeAutospacing="0" w:after="160" w:afterAutospacing="0" w:line="360" w:lineRule="auto"/>
        <w:jc w:val="both"/>
      </w:pPr>
      <w:r w:rsidRPr="00077581">
        <w:t xml:space="preserve">Among those who did adopt changes, a broad range of lifestyle improvements was reported. Dietary modifications were the most common, practiced by </w:t>
      </w:r>
      <w:r w:rsidRPr="00442B18">
        <w:rPr>
          <w:rStyle w:val="Strong"/>
          <w:b w:val="0"/>
          <w:bCs w:val="0"/>
        </w:rPr>
        <w:t>84.5%</w:t>
      </w:r>
      <w:r w:rsidRPr="00077581">
        <w:t xml:space="preserve"> of participants, followed by </w:t>
      </w:r>
      <w:r w:rsidRPr="00442B18">
        <w:rPr>
          <w:rStyle w:val="Strong"/>
          <w:b w:val="0"/>
          <w:bCs w:val="0"/>
        </w:rPr>
        <w:t>medication adherence (81.5%)</w:t>
      </w:r>
      <w:r w:rsidRPr="00077581">
        <w:t xml:space="preserve">, implementation of </w:t>
      </w:r>
      <w:r w:rsidRPr="00442B18">
        <w:rPr>
          <w:rStyle w:val="Strong"/>
          <w:b w:val="0"/>
          <w:bCs w:val="0"/>
        </w:rPr>
        <w:t>other changes</w:t>
      </w:r>
      <w:r w:rsidRPr="00077581">
        <w:t xml:space="preserve"> such as hydration and sleep regulation (80.5%), </w:t>
      </w:r>
      <w:r w:rsidRPr="00442B18">
        <w:rPr>
          <w:rStyle w:val="Strong"/>
          <w:b w:val="0"/>
          <w:bCs w:val="0"/>
        </w:rPr>
        <w:t>exercise (66.5%)</w:t>
      </w:r>
      <w:r w:rsidRPr="00077581">
        <w:t xml:space="preserve">, and </w:t>
      </w:r>
      <w:r w:rsidRPr="00442B18">
        <w:rPr>
          <w:rStyle w:val="Strong"/>
          <w:b w:val="0"/>
          <w:bCs w:val="0"/>
        </w:rPr>
        <w:t>stress management practices (64.0%)</w:t>
      </w:r>
      <w:r w:rsidRPr="00077581">
        <w:t>. These responses, captured through multiple-choice formats, highlight the multifaceted impact of the intervention across key lifestyle domains.</w:t>
      </w:r>
    </w:p>
    <w:p w14:paraId="724DD2B5" w14:textId="77777777" w:rsidR="00D81433" w:rsidRPr="00077581" w:rsidRDefault="00D81433" w:rsidP="00EF0802">
      <w:pPr>
        <w:pStyle w:val="NormalWeb"/>
        <w:spacing w:before="0" w:beforeAutospacing="0" w:after="160" w:afterAutospacing="0" w:line="360" w:lineRule="auto"/>
        <w:jc w:val="both"/>
      </w:pPr>
      <w:r w:rsidRPr="00077581">
        <w:t xml:space="preserve">In terms of dietary adherence, </w:t>
      </w:r>
      <w:r w:rsidRPr="00210FE5">
        <w:rPr>
          <w:rStyle w:val="Strong"/>
          <w:b w:val="0"/>
          <w:bCs w:val="0"/>
        </w:rPr>
        <w:t>52.0%</w:t>
      </w:r>
      <w:r w:rsidRPr="00077581">
        <w:t xml:space="preserve"> of participants reported following dietary advice "very closely", while another </w:t>
      </w:r>
      <w:r w:rsidRPr="00210FE5">
        <w:rPr>
          <w:rStyle w:val="Strong"/>
          <w:b w:val="0"/>
          <w:bCs w:val="0"/>
        </w:rPr>
        <w:t>28.5%</w:t>
      </w:r>
      <w:r w:rsidRPr="00077581">
        <w:t xml:space="preserve"> did so "somewhat". A smaller group adhered only rarely (14.0%) or not at all (5.5%), indicating some variation in commitment, likely influenced by individual circumstances and support levels.</w:t>
      </w:r>
    </w:p>
    <w:p w14:paraId="2E9957C0" w14:textId="77777777" w:rsidR="00D81433" w:rsidRPr="00077581" w:rsidRDefault="00D81433" w:rsidP="00EF0802">
      <w:pPr>
        <w:pStyle w:val="NormalWeb"/>
        <w:spacing w:before="0" w:beforeAutospacing="0" w:after="160" w:afterAutospacing="0" w:line="360" w:lineRule="auto"/>
        <w:jc w:val="both"/>
      </w:pPr>
      <w:r w:rsidRPr="00077581">
        <w:lastRenderedPageBreak/>
        <w:t xml:space="preserve">Stress management habits also improved significantly, with </w:t>
      </w:r>
      <w:r w:rsidRPr="00210FE5">
        <w:rPr>
          <w:rStyle w:val="Strong"/>
          <w:b w:val="0"/>
          <w:bCs w:val="0"/>
        </w:rPr>
        <w:t>75.0%</w:t>
      </w:r>
      <w:r w:rsidRPr="00077581">
        <w:t xml:space="preserve"> of respondents indicating that they had actively changed their stress management routines post-intervention. Among these 150 participants, the most commonly adopted strategies included </w:t>
      </w:r>
      <w:r w:rsidRPr="00210FE5">
        <w:rPr>
          <w:rStyle w:val="Strong"/>
          <w:b w:val="0"/>
          <w:bCs w:val="0"/>
        </w:rPr>
        <w:t>meditation (75.3%)</w:t>
      </w:r>
      <w:r w:rsidRPr="00077581">
        <w:t xml:space="preserve">, </w:t>
      </w:r>
      <w:r w:rsidRPr="00CF2C0E">
        <w:rPr>
          <w:rStyle w:val="Strong"/>
          <w:b w:val="0"/>
          <w:bCs w:val="0"/>
        </w:rPr>
        <w:t>breathing exercises (74.7%)</w:t>
      </w:r>
      <w:r w:rsidRPr="00077581">
        <w:t xml:space="preserve">, and </w:t>
      </w:r>
      <w:r w:rsidRPr="00CF2C0E">
        <w:rPr>
          <w:rStyle w:val="Strong"/>
          <w:b w:val="0"/>
          <w:bCs w:val="0"/>
        </w:rPr>
        <w:t>mindfulness practices (66.0%)</w:t>
      </w:r>
      <w:r w:rsidRPr="00077581">
        <w:t xml:space="preserve">. Additionally, </w:t>
      </w:r>
      <w:r w:rsidRPr="00CF2C0E">
        <w:rPr>
          <w:rStyle w:val="Strong"/>
          <w:b w:val="0"/>
          <w:bCs w:val="0"/>
        </w:rPr>
        <w:t>60.7%</w:t>
      </w:r>
      <w:r w:rsidRPr="00077581">
        <w:t xml:space="preserve"> reported using other personalized methods such as journaling, music therapy, or </w:t>
      </w:r>
      <w:proofErr w:type="spellStart"/>
      <w:r w:rsidRPr="00077581">
        <w:t>counseling</w:t>
      </w:r>
      <w:proofErr w:type="spellEnd"/>
      <w:r w:rsidRPr="00077581">
        <w:t>.</w:t>
      </w:r>
    </w:p>
    <w:p w14:paraId="4BC82D1A" w14:textId="0ED76078" w:rsidR="00D81433" w:rsidRPr="00077581" w:rsidRDefault="00D81433" w:rsidP="00EF0802">
      <w:pPr>
        <w:pStyle w:val="NormalWeb"/>
        <w:spacing w:before="0" w:beforeAutospacing="0" w:after="160" w:afterAutospacing="0" w:line="360" w:lineRule="auto"/>
        <w:jc w:val="both"/>
      </w:pPr>
      <w:r w:rsidRPr="00077581">
        <w:t xml:space="preserve">Overall, </w:t>
      </w:r>
      <w:r w:rsidRPr="00CF2C0E">
        <w:rPr>
          <w:rStyle w:val="Strong"/>
          <w:b w:val="0"/>
          <w:bCs w:val="0"/>
        </w:rPr>
        <w:t>Table</w:t>
      </w:r>
      <w:r w:rsidRPr="00077581">
        <w:rPr>
          <w:rStyle w:val="Strong"/>
        </w:rPr>
        <w:t xml:space="preserve"> </w:t>
      </w:r>
      <w:r w:rsidRPr="00CF2C0E">
        <w:rPr>
          <w:rStyle w:val="Strong"/>
          <w:b w:val="0"/>
          <w:bCs w:val="0"/>
        </w:rPr>
        <w:t>4.13</w:t>
      </w:r>
      <w:r w:rsidRPr="00077581">
        <w:t xml:space="preserve"> provides strong evidence that the educational intervention not only raised awareness but also facilitated tangible </w:t>
      </w:r>
      <w:proofErr w:type="spellStart"/>
      <w:r w:rsidRPr="00077581">
        <w:t>behavioral</w:t>
      </w:r>
      <w:proofErr w:type="spellEnd"/>
      <w:r w:rsidRPr="00077581">
        <w:t xml:space="preserve"> change among a large proportion of the sample. The high adoption rates of core lifestyle strategies—particularly in diet, exercise, stress management, and adherence to medical guidance—affirm the program's success in promoting sustainable health practices among pregnant women at risk of thyroid and hypertensive disorders</w:t>
      </w:r>
      <w:r w:rsidR="00CC5373">
        <w:t xml:space="preserve"> </w:t>
      </w:r>
      <w:r w:rsidR="00CC5373">
        <w:fldChar w:fldCharType="begin" w:fldLock="1"/>
      </w:r>
      <w:r w:rsidR="00CC5373">
        <w:instrText>ADDIN CSL_CITATION {"citationItems":[{"id":"ITEM-1","itemData":{"DOI":"10.1016/j.jadohealth.2020.05.053","ISSN":"18791972","PMID":"32713740","abstract":"Purpose: The purpose of the study was to better understand the progressive development of health self-management among adolescents and emerging adults (AEAs) with chronic medical conditions in order to identify opportunities to prepare AEA for transition to adult-based care. Methods: Twenty-three AEA aged 17–20 years with renal, inflammatory bowel, or rheumatologic diseases, and their parents, completed individual semistructured interviews describing each AEA's health self-management. Self-Determination Theory was used to frame interview questions, including the constructs of competence, autonomy, and autonomy support. Transcripts were analyzed using directed content analysis. Results: Four themes emerged: Development of Competence in Self-Management; Autonomy: Motivations to Self-Manage; Ways Important Others Support or Hinder Independence; and Normal Adolescent Development. AEA's competency and autonomy increased as they progressed from lack of knowledge about self-management to having knowledge without doing tasks, and, ultimately, to independent completion of tasks. Motivations to self-manage included avoiding sickness/weakness and wanting to engage in activities. Parents and providers supported AEA's autonomy through teaching and transferring responsibility. Parental fear/lack of trust in AEA's ability to self-manage hindered development of AEA's autonomy, producing anxiety. Normal adolescent development impacted timing of self-management task mastery. Conclusions: As AEA gain competence in increasingly complex self-management tasks, they assume greater responsibility for managing their health. Competence and autonomy are facilitated by a feedback loop: AEA successful self-management increased parent trust, enabling the parent to transfer responsibility for more complex tasks. Conversely, parents' fear of the AEA doing wrong hinders transfer of responsibility, limiting competence and autonomy. Health-care providers play an important role in fostering autonomy.","author":[{"dropping-particle":"","family":"Lee","given":"Celine C.","non-dropping-particle":"","parse-names":false,"suffix":""},{"dropping-particle":"","family":"Enzler","given":"Cassandra J.","non-dropping-particle":"","parse-names":false,"suffix":""},{"dropping-particle":"","family":"Garland","given":"Beth H.","non-dropping-particle":"","parse-names":false,"suffix":""},{"dropping-particle":"","family":"Zimmerman","given":"Cortney J.","non-dropping-particle":"","parse-names":false,"suffix":""},{"dropping-particle":"","family":"Raphael","given":"Jean L.","non-dropping-particle":"","parse-names":false,"suffix":""},{"dropping-particle":"","family":"Hergenroeder","given":"Albert C.","non-dropping-particle":"","parse-names":false,"suffix":""},{"dropping-particle":"","family":"Wiemann","given":"Constance M.","non-dropping-particle":"","parse-names":false,"suffix":""}],"container-title":"Journal of Adolescent Health","id":"ITEM-1","issue":"2","issued":{"date-parts":[["2021"]]},"page":"394-402","publisher":"Elsevier Inc.","title":"The Development of Health Self-Management Among Adolescents With Chronic Conditions: An Application of Self-Determination Theory","type":"article-journal","volume":"68"},"uris":["http://www.mendeley.com/documents/?uuid=a44a1e89-cc1b-4c5d-9131-89d6765ea768"]},{"id":"ITEM-2","itemData":{"DOI":"10.1080/14767058.2019.1572737","ISSN":"14764954","PMID":"30704316","abstract":"Preeclampsia is a multisystemic disorder which accounts for the high prevalence of maternal and perinatal morbidity and mortality, especially in middle and low-income countries. Currently, the primary intervention is the urgent delivery of the fetus, hence it would be advantageous to identify those who are likely to develop preeclampsia and the maternal and fetal outcomes. However, an array of risk factors makes these challenging. This review explores the potentials of liver biomarkers in predicting the occurrence and outcome of preeclampsia, which could be beneficial in reducing the burden of the disease. Liver dysfunction in preeclampsia results in a severe condition, hence liver function tests are specific predictors of outcome.","author":[{"dropping-particle":"","family":"Alese","given":"Margaret Olutayo","non-dropping-particle":"","parse-names":false,"suffix":""},{"dropping-particle":"","family":"Moodley","given":"Jagidesa","non-dropping-particle":"","parse-names":false,"suffix":""},{"dropping-particle":"","family":"Naicker","given":"Thajasvarie","non-dropping-particle":"","parse-names":false,"suffix":""}],"container-title":"Journal of Maternal-Fetal and Neonatal Medicine","id":"ITEM-2","issue":"1","issued":{"date-parts":[["2021"]]},"page":"117-123","publisher":"Taylor &amp; Francis","title":"Preeclampsia and HELLP syndrome, the role of the liver","type":"article-journal","volume":"34"},"uris":["http://www.mendeley.com/documents/?uuid=df8cf962-3b0f-4eb6-981e-8a8dd0bafcb4"]}],"mendeley":{"formattedCitation":"(Alese et al., 2021; Lee et al., 2021)","plainTextFormattedCitation":"(Alese et al., 2021; Lee et al., 2021)","previouslyFormattedCitation":"(Alese et al., 2021; Lee et al., 2021)"},"properties":{"noteIndex":0},"schema":"https://github.com/citation-style-language/schema/raw/master/csl-citation.json"}</w:instrText>
      </w:r>
      <w:r w:rsidR="00CC5373">
        <w:fldChar w:fldCharType="separate"/>
      </w:r>
      <w:r w:rsidR="00CC5373" w:rsidRPr="00CC5373">
        <w:rPr>
          <w:noProof/>
        </w:rPr>
        <w:t>(Alese et al., 2021; Lee et al., 2021)</w:t>
      </w:r>
      <w:r w:rsidR="00CC5373">
        <w:fldChar w:fldCharType="end"/>
      </w:r>
      <w:r w:rsidRPr="00077581">
        <w:t>.</w:t>
      </w:r>
    </w:p>
    <w:p w14:paraId="59771BCE" w14:textId="77777777" w:rsidR="00D81433" w:rsidRPr="002F0B1C" w:rsidRDefault="00D81433" w:rsidP="00EF0802">
      <w:pPr>
        <w:pStyle w:val="Heading3"/>
        <w:spacing w:before="0" w:after="160" w:line="360" w:lineRule="auto"/>
        <w:jc w:val="both"/>
        <w:rPr>
          <w:rFonts w:ascii="Times New Roman" w:hAnsi="Times New Roman" w:cs="Times New Roman"/>
          <w:color w:val="156082" w:themeColor="accent1"/>
          <w:sz w:val="24"/>
          <w:szCs w:val="24"/>
        </w:rPr>
      </w:pPr>
      <w:r w:rsidRPr="002F0B1C">
        <w:rPr>
          <w:rStyle w:val="Strong"/>
          <w:rFonts w:ascii="Times New Roman" w:hAnsi="Times New Roman" w:cs="Times New Roman"/>
          <w:color w:val="156082" w:themeColor="accent1"/>
          <w:sz w:val="24"/>
          <w:szCs w:val="24"/>
        </w:rPr>
        <w:t>Table 4.13. Lifestyle Changes Post-Intervention – Frequency and Percentage</w:t>
      </w:r>
    </w:p>
    <w:tbl>
      <w:tblPr>
        <w:tblStyle w:val="TableGrid"/>
        <w:tblW w:w="0" w:type="auto"/>
        <w:tblLook w:val="04A0" w:firstRow="1" w:lastRow="0" w:firstColumn="1" w:lastColumn="0" w:noHBand="0" w:noVBand="1"/>
      </w:tblPr>
      <w:tblGrid>
        <w:gridCol w:w="3346"/>
        <w:gridCol w:w="1913"/>
        <w:gridCol w:w="1458"/>
        <w:gridCol w:w="1579"/>
      </w:tblGrid>
      <w:tr w:rsidR="00D81433" w:rsidRPr="00077581" w14:paraId="7BD75530" w14:textId="77777777" w:rsidTr="00E55E15">
        <w:tc>
          <w:tcPr>
            <w:tcW w:w="0" w:type="auto"/>
            <w:hideMark/>
          </w:tcPr>
          <w:p w14:paraId="4972941D"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Question</w:t>
            </w:r>
          </w:p>
        </w:tc>
        <w:tc>
          <w:tcPr>
            <w:tcW w:w="0" w:type="auto"/>
            <w:hideMark/>
          </w:tcPr>
          <w:p w14:paraId="4BA8F40D"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Response</w:t>
            </w:r>
          </w:p>
        </w:tc>
        <w:tc>
          <w:tcPr>
            <w:tcW w:w="0" w:type="auto"/>
            <w:hideMark/>
          </w:tcPr>
          <w:p w14:paraId="2BA7768F"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Frequency (f)</w:t>
            </w:r>
          </w:p>
        </w:tc>
        <w:tc>
          <w:tcPr>
            <w:tcW w:w="0" w:type="auto"/>
            <w:hideMark/>
          </w:tcPr>
          <w:p w14:paraId="527C0BA3"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Percentage (%)</w:t>
            </w:r>
          </w:p>
        </w:tc>
      </w:tr>
      <w:tr w:rsidR="00806BAD" w:rsidRPr="00077581" w14:paraId="674EE324" w14:textId="77777777" w:rsidTr="00E55E15">
        <w:tc>
          <w:tcPr>
            <w:tcW w:w="0" w:type="auto"/>
            <w:vMerge w:val="restart"/>
            <w:hideMark/>
          </w:tcPr>
          <w:p w14:paraId="0EEBFEA3" w14:textId="0FA881B3" w:rsidR="00806BAD" w:rsidRPr="00CF2C0E" w:rsidRDefault="00806BAD" w:rsidP="00EF0802">
            <w:pPr>
              <w:spacing w:line="360" w:lineRule="auto"/>
              <w:rPr>
                <w:rFonts w:ascii="Times New Roman" w:hAnsi="Times New Roman" w:cs="Times New Roman"/>
                <w:b/>
                <w:bCs/>
              </w:rPr>
            </w:pPr>
            <w:r w:rsidRPr="00CF2C0E">
              <w:rPr>
                <w:rStyle w:val="Strong"/>
                <w:rFonts w:ascii="Times New Roman" w:hAnsi="Times New Roman" w:cs="Times New Roman"/>
                <w:b w:val="0"/>
                <w:bCs w:val="0"/>
              </w:rPr>
              <w:t>Adopted lifestyle modifications?</w:t>
            </w:r>
          </w:p>
        </w:tc>
        <w:tc>
          <w:tcPr>
            <w:tcW w:w="0" w:type="auto"/>
            <w:hideMark/>
          </w:tcPr>
          <w:p w14:paraId="0E9471C9"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Yes</w:t>
            </w:r>
          </w:p>
        </w:tc>
        <w:tc>
          <w:tcPr>
            <w:tcW w:w="0" w:type="auto"/>
            <w:hideMark/>
          </w:tcPr>
          <w:p w14:paraId="6FDDD2D4"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170</w:t>
            </w:r>
          </w:p>
        </w:tc>
        <w:tc>
          <w:tcPr>
            <w:tcW w:w="0" w:type="auto"/>
            <w:hideMark/>
          </w:tcPr>
          <w:p w14:paraId="2BEE12AB"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85.0%</w:t>
            </w:r>
          </w:p>
        </w:tc>
      </w:tr>
      <w:tr w:rsidR="00806BAD" w:rsidRPr="00077581" w14:paraId="50A8CEBA" w14:textId="77777777" w:rsidTr="00E55E15">
        <w:tc>
          <w:tcPr>
            <w:tcW w:w="0" w:type="auto"/>
            <w:vMerge/>
            <w:hideMark/>
          </w:tcPr>
          <w:p w14:paraId="586CBEAF" w14:textId="77777777" w:rsidR="00806BAD" w:rsidRPr="00CF2C0E" w:rsidRDefault="00806BAD" w:rsidP="00EF0802">
            <w:pPr>
              <w:spacing w:line="360" w:lineRule="auto"/>
              <w:rPr>
                <w:rFonts w:ascii="Times New Roman" w:hAnsi="Times New Roman" w:cs="Times New Roman"/>
              </w:rPr>
            </w:pPr>
          </w:p>
        </w:tc>
        <w:tc>
          <w:tcPr>
            <w:tcW w:w="0" w:type="auto"/>
            <w:hideMark/>
          </w:tcPr>
          <w:p w14:paraId="5EDC1AE9"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No</w:t>
            </w:r>
          </w:p>
        </w:tc>
        <w:tc>
          <w:tcPr>
            <w:tcW w:w="0" w:type="auto"/>
            <w:hideMark/>
          </w:tcPr>
          <w:p w14:paraId="3D014698"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30</w:t>
            </w:r>
          </w:p>
        </w:tc>
        <w:tc>
          <w:tcPr>
            <w:tcW w:w="0" w:type="auto"/>
            <w:hideMark/>
          </w:tcPr>
          <w:p w14:paraId="74FE08E9"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15.0%</w:t>
            </w:r>
          </w:p>
        </w:tc>
      </w:tr>
      <w:tr w:rsidR="00806BAD" w:rsidRPr="00077581" w14:paraId="3B90F7D4" w14:textId="77777777" w:rsidTr="00E55E15">
        <w:tc>
          <w:tcPr>
            <w:tcW w:w="0" w:type="auto"/>
            <w:vMerge w:val="restart"/>
            <w:hideMark/>
          </w:tcPr>
          <w:p w14:paraId="770F879D" w14:textId="4AD4932E" w:rsidR="00806BAD" w:rsidRPr="00CF2C0E" w:rsidRDefault="00806BAD" w:rsidP="00EF0802">
            <w:pPr>
              <w:spacing w:line="360" w:lineRule="auto"/>
              <w:rPr>
                <w:rFonts w:ascii="Times New Roman" w:hAnsi="Times New Roman" w:cs="Times New Roman"/>
                <w:b/>
                <w:bCs/>
              </w:rPr>
            </w:pPr>
            <w:r w:rsidRPr="00CF2C0E">
              <w:rPr>
                <w:rStyle w:val="Strong"/>
                <w:rFonts w:ascii="Times New Roman" w:hAnsi="Times New Roman" w:cs="Times New Roman"/>
                <w:b w:val="0"/>
                <w:bCs w:val="0"/>
              </w:rPr>
              <w:t>If not/partially, why?</w:t>
            </w:r>
            <w:r w:rsidRPr="00CF2C0E">
              <w:rPr>
                <w:rFonts w:ascii="Times New Roman" w:hAnsi="Times New Roman" w:cs="Times New Roman"/>
                <w:b/>
                <w:bCs/>
              </w:rPr>
              <w:t xml:space="preserve"> </w:t>
            </w:r>
            <w:r w:rsidRPr="00CF2C0E">
              <w:rPr>
                <w:rFonts w:ascii="Times New Roman" w:hAnsi="Times New Roman" w:cs="Times New Roman"/>
              </w:rPr>
              <w:t>(n = 30)</w:t>
            </w:r>
          </w:p>
        </w:tc>
        <w:tc>
          <w:tcPr>
            <w:tcW w:w="0" w:type="auto"/>
            <w:hideMark/>
          </w:tcPr>
          <w:p w14:paraId="29D28E45"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Lack of time</w:t>
            </w:r>
          </w:p>
        </w:tc>
        <w:tc>
          <w:tcPr>
            <w:tcW w:w="0" w:type="auto"/>
            <w:hideMark/>
          </w:tcPr>
          <w:p w14:paraId="0DA8A6D7"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8</w:t>
            </w:r>
          </w:p>
        </w:tc>
        <w:tc>
          <w:tcPr>
            <w:tcW w:w="0" w:type="auto"/>
            <w:hideMark/>
          </w:tcPr>
          <w:p w14:paraId="1A153B4F"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26.7%</w:t>
            </w:r>
          </w:p>
        </w:tc>
      </w:tr>
      <w:tr w:rsidR="00806BAD" w:rsidRPr="00077581" w14:paraId="2BF4FB5A" w14:textId="77777777" w:rsidTr="00E55E15">
        <w:tc>
          <w:tcPr>
            <w:tcW w:w="0" w:type="auto"/>
            <w:vMerge/>
            <w:hideMark/>
          </w:tcPr>
          <w:p w14:paraId="43804759" w14:textId="77777777" w:rsidR="00806BAD" w:rsidRPr="00CF2C0E" w:rsidRDefault="00806BAD" w:rsidP="00EF0802">
            <w:pPr>
              <w:spacing w:line="360" w:lineRule="auto"/>
              <w:rPr>
                <w:rFonts w:ascii="Times New Roman" w:hAnsi="Times New Roman" w:cs="Times New Roman"/>
              </w:rPr>
            </w:pPr>
          </w:p>
        </w:tc>
        <w:tc>
          <w:tcPr>
            <w:tcW w:w="0" w:type="auto"/>
            <w:hideMark/>
          </w:tcPr>
          <w:p w14:paraId="2B3DF82D"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Inconvenient routine</w:t>
            </w:r>
          </w:p>
        </w:tc>
        <w:tc>
          <w:tcPr>
            <w:tcW w:w="0" w:type="auto"/>
            <w:hideMark/>
          </w:tcPr>
          <w:p w14:paraId="03669DD5"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10</w:t>
            </w:r>
          </w:p>
        </w:tc>
        <w:tc>
          <w:tcPr>
            <w:tcW w:w="0" w:type="auto"/>
            <w:hideMark/>
          </w:tcPr>
          <w:p w14:paraId="12C1B2CC"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33.3%</w:t>
            </w:r>
          </w:p>
        </w:tc>
      </w:tr>
      <w:tr w:rsidR="00806BAD" w:rsidRPr="00077581" w14:paraId="204AA6D6" w14:textId="77777777" w:rsidTr="00E55E15">
        <w:tc>
          <w:tcPr>
            <w:tcW w:w="0" w:type="auto"/>
            <w:vMerge/>
            <w:hideMark/>
          </w:tcPr>
          <w:p w14:paraId="705B6ADB" w14:textId="77777777" w:rsidR="00806BAD" w:rsidRPr="00CF2C0E" w:rsidRDefault="00806BAD" w:rsidP="00EF0802">
            <w:pPr>
              <w:spacing w:line="360" w:lineRule="auto"/>
              <w:rPr>
                <w:rFonts w:ascii="Times New Roman" w:hAnsi="Times New Roman" w:cs="Times New Roman"/>
              </w:rPr>
            </w:pPr>
          </w:p>
        </w:tc>
        <w:tc>
          <w:tcPr>
            <w:tcW w:w="0" w:type="auto"/>
            <w:hideMark/>
          </w:tcPr>
          <w:p w14:paraId="7E1F587A"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No perceived benefit</w:t>
            </w:r>
          </w:p>
        </w:tc>
        <w:tc>
          <w:tcPr>
            <w:tcW w:w="0" w:type="auto"/>
            <w:hideMark/>
          </w:tcPr>
          <w:p w14:paraId="13924984"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6</w:t>
            </w:r>
          </w:p>
        </w:tc>
        <w:tc>
          <w:tcPr>
            <w:tcW w:w="0" w:type="auto"/>
            <w:hideMark/>
          </w:tcPr>
          <w:p w14:paraId="6E1B16E8"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20.0%</w:t>
            </w:r>
          </w:p>
        </w:tc>
      </w:tr>
      <w:tr w:rsidR="00806BAD" w:rsidRPr="00077581" w14:paraId="641803B7" w14:textId="77777777" w:rsidTr="00E55E15">
        <w:tc>
          <w:tcPr>
            <w:tcW w:w="0" w:type="auto"/>
            <w:vMerge/>
            <w:hideMark/>
          </w:tcPr>
          <w:p w14:paraId="6AEF3096" w14:textId="77777777" w:rsidR="00806BAD" w:rsidRPr="00CF2C0E" w:rsidRDefault="00806BAD" w:rsidP="00EF0802">
            <w:pPr>
              <w:spacing w:line="360" w:lineRule="auto"/>
              <w:rPr>
                <w:rFonts w:ascii="Times New Roman" w:hAnsi="Times New Roman" w:cs="Times New Roman"/>
              </w:rPr>
            </w:pPr>
          </w:p>
        </w:tc>
        <w:tc>
          <w:tcPr>
            <w:tcW w:w="0" w:type="auto"/>
            <w:hideMark/>
          </w:tcPr>
          <w:p w14:paraId="7527EA51"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Other</w:t>
            </w:r>
          </w:p>
        </w:tc>
        <w:tc>
          <w:tcPr>
            <w:tcW w:w="0" w:type="auto"/>
            <w:hideMark/>
          </w:tcPr>
          <w:p w14:paraId="17552123"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6</w:t>
            </w:r>
          </w:p>
        </w:tc>
        <w:tc>
          <w:tcPr>
            <w:tcW w:w="0" w:type="auto"/>
            <w:hideMark/>
          </w:tcPr>
          <w:p w14:paraId="37E4EAFF"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20.0%</w:t>
            </w:r>
          </w:p>
        </w:tc>
      </w:tr>
      <w:tr w:rsidR="00806BAD" w:rsidRPr="00077581" w14:paraId="077136E2" w14:textId="77777777" w:rsidTr="00E55E15">
        <w:tc>
          <w:tcPr>
            <w:tcW w:w="0" w:type="auto"/>
            <w:vMerge w:val="restart"/>
            <w:hideMark/>
          </w:tcPr>
          <w:p w14:paraId="08535D79" w14:textId="442847E1" w:rsidR="00806BAD" w:rsidRPr="00077581" w:rsidRDefault="00806BAD" w:rsidP="00EF0802">
            <w:pPr>
              <w:spacing w:line="360" w:lineRule="auto"/>
              <w:rPr>
                <w:rFonts w:ascii="Times New Roman" w:hAnsi="Times New Roman" w:cs="Times New Roman"/>
              </w:rPr>
            </w:pPr>
            <w:r w:rsidRPr="00CF2C0E">
              <w:rPr>
                <w:rStyle w:val="Strong"/>
                <w:rFonts w:ascii="Times New Roman" w:hAnsi="Times New Roman" w:cs="Times New Roman"/>
                <w:b w:val="0"/>
                <w:bCs w:val="0"/>
              </w:rPr>
              <w:t>Lifestyle changes</w:t>
            </w:r>
            <w:r w:rsidRPr="00077581">
              <w:rPr>
                <w:rStyle w:val="Strong"/>
                <w:rFonts w:ascii="Times New Roman" w:hAnsi="Times New Roman" w:cs="Times New Roman"/>
              </w:rPr>
              <w:t xml:space="preserve"> </w:t>
            </w:r>
            <w:r w:rsidRPr="00CF2C0E">
              <w:rPr>
                <w:rStyle w:val="Strong"/>
                <w:rFonts w:ascii="Times New Roman" w:hAnsi="Times New Roman" w:cs="Times New Roman"/>
                <w:b w:val="0"/>
                <w:bCs w:val="0"/>
              </w:rPr>
              <w:t>implemented</w:t>
            </w:r>
            <w:r w:rsidRPr="00CF2C0E">
              <w:rPr>
                <w:rFonts w:ascii="Times New Roman" w:hAnsi="Times New Roman" w:cs="Times New Roman"/>
                <w:b/>
                <w:bCs/>
              </w:rPr>
              <w:t xml:space="preserve"> </w:t>
            </w:r>
            <w:r w:rsidRPr="00077581">
              <w:rPr>
                <w:rStyle w:val="Emphasis"/>
                <w:rFonts w:ascii="Times New Roman" w:hAnsi="Times New Roman" w:cs="Times New Roman"/>
              </w:rPr>
              <w:t>(multi-response)</w:t>
            </w:r>
          </w:p>
        </w:tc>
        <w:tc>
          <w:tcPr>
            <w:tcW w:w="0" w:type="auto"/>
            <w:hideMark/>
          </w:tcPr>
          <w:p w14:paraId="0135A435"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Diet</w:t>
            </w:r>
          </w:p>
        </w:tc>
        <w:tc>
          <w:tcPr>
            <w:tcW w:w="0" w:type="auto"/>
            <w:hideMark/>
          </w:tcPr>
          <w:p w14:paraId="01E9300B"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169</w:t>
            </w:r>
          </w:p>
        </w:tc>
        <w:tc>
          <w:tcPr>
            <w:tcW w:w="0" w:type="auto"/>
            <w:hideMark/>
          </w:tcPr>
          <w:p w14:paraId="69E4BE9B"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84.5%</w:t>
            </w:r>
          </w:p>
        </w:tc>
      </w:tr>
      <w:tr w:rsidR="00806BAD" w:rsidRPr="00077581" w14:paraId="41B87235" w14:textId="77777777" w:rsidTr="00E55E15">
        <w:tc>
          <w:tcPr>
            <w:tcW w:w="0" w:type="auto"/>
            <w:vMerge/>
            <w:hideMark/>
          </w:tcPr>
          <w:p w14:paraId="1D533CEB" w14:textId="77777777" w:rsidR="00806BAD" w:rsidRPr="00077581" w:rsidRDefault="00806BAD" w:rsidP="00EF0802">
            <w:pPr>
              <w:spacing w:line="360" w:lineRule="auto"/>
              <w:rPr>
                <w:rFonts w:ascii="Times New Roman" w:hAnsi="Times New Roman" w:cs="Times New Roman"/>
              </w:rPr>
            </w:pPr>
          </w:p>
        </w:tc>
        <w:tc>
          <w:tcPr>
            <w:tcW w:w="0" w:type="auto"/>
            <w:hideMark/>
          </w:tcPr>
          <w:p w14:paraId="1D54BB6B"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Exercise</w:t>
            </w:r>
          </w:p>
        </w:tc>
        <w:tc>
          <w:tcPr>
            <w:tcW w:w="0" w:type="auto"/>
            <w:hideMark/>
          </w:tcPr>
          <w:p w14:paraId="56A6CC9D"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133</w:t>
            </w:r>
          </w:p>
        </w:tc>
        <w:tc>
          <w:tcPr>
            <w:tcW w:w="0" w:type="auto"/>
            <w:hideMark/>
          </w:tcPr>
          <w:p w14:paraId="58048D95"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66.5%</w:t>
            </w:r>
          </w:p>
        </w:tc>
      </w:tr>
      <w:tr w:rsidR="00806BAD" w:rsidRPr="00077581" w14:paraId="012C9C92" w14:textId="77777777" w:rsidTr="00E55E15">
        <w:tc>
          <w:tcPr>
            <w:tcW w:w="0" w:type="auto"/>
            <w:vMerge/>
            <w:hideMark/>
          </w:tcPr>
          <w:p w14:paraId="5C02365E" w14:textId="77777777" w:rsidR="00806BAD" w:rsidRPr="00077581" w:rsidRDefault="00806BAD" w:rsidP="00EF0802">
            <w:pPr>
              <w:spacing w:line="360" w:lineRule="auto"/>
              <w:rPr>
                <w:rFonts w:ascii="Times New Roman" w:hAnsi="Times New Roman" w:cs="Times New Roman"/>
              </w:rPr>
            </w:pPr>
          </w:p>
        </w:tc>
        <w:tc>
          <w:tcPr>
            <w:tcW w:w="0" w:type="auto"/>
            <w:hideMark/>
          </w:tcPr>
          <w:p w14:paraId="5BEC8931"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Stress management</w:t>
            </w:r>
          </w:p>
        </w:tc>
        <w:tc>
          <w:tcPr>
            <w:tcW w:w="0" w:type="auto"/>
            <w:hideMark/>
          </w:tcPr>
          <w:p w14:paraId="1C57FCDD"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128</w:t>
            </w:r>
          </w:p>
        </w:tc>
        <w:tc>
          <w:tcPr>
            <w:tcW w:w="0" w:type="auto"/>
            <w:hideMark/>
          </w:tcPr>
          <w:p w14:paraId="768C5883"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64.0%</w:t>
            </w:r>
          </w:p>
        </w:tc>
      </w:tr>
      <w:tr w:rsidR="00806BAD" w:rsidRPr="00077581" w14:paraId="5D9303A1" w14:textId="77777777" w:rsidTr="00E55E15">
        <w:tc>
          <w:tcPr>
            <w:tcW w:w="0" w:type="auto"/>
            <w:vMerge/>
            <w:hideMark/>
          </w:tcPr>
          <w:p w14:paraId="277F2DA2" w14:textId="77777777" w:rsidR="00806BAD" w:rsidRPr="00077581" w:rsidRDefault="00806BAD" w:rsidP="00EF0802">
            <w:pPr>
              <w:spacing w:line="360" w:lineRule="auto"/>
              <w:rPr>
                <w:rFonts w:ascii="Times New Roman" w:hAnsi="Times New Roman" w:cs="Times New Roman"/>
              </w:rPr>
            </w:pPr>
          </w:p>
        </w:tc>
        <w:tc>
          <w:tcPr>
            <w:tcW w:w="0" w:type="auto"/>
            <w:hideMark/>
          </w:tcPr>
          <w:p w14:paraId="55067A37"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Medication adherence</w:t>
            </w:r>
          </w:p>
        </w:tc>
        <w:tc>
          <w:tcPr>
            <w:tcW w:w="0" w:type="auto"/>
            <w:hideMark/>
          </w:tcPr>
          <w:p w14:paraId="748B7791"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163</w:t>
            </w:r>
          </w:p>
        </w:tc>
        <w:tc>
          <w:tcPr>
            <w:tcW w:w="0" w:type="auto"/>
            <w:hideMark/>
          </w:tcPr>
          <w:p w14:paraId="2576E745"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81.5%</w:t>
            </w:r>
          </w:p>
        </w:tc>
      </w:tr>
      <w:tr w:rsidR="00806BAD" w:rsidRPr="00077581" w14:paraId="3394E6FE" w14:textId="77777777" w:rsidTr="00E55E15">
        <w:tc>
          <w:tcPr>
            <w:tcW w:w="0" w:type="auto"/>
            <w:vMerge/>
            <w:hideMark/>
          </w:tcPr>
          <w:p w14:paraId="6BFF0EDA" w14:textId="77777777" w:rsidR="00806BAD" w:rsidRPr="00077581" w:rsidRDefault="00806BAD" w:rsidP="00EF0802">
            <w:pPr>
              <w:spacing w:line="360" w:lineRule="auto"/>
              <w:rPr>
                <w:rFonts w:ascii="Times New Roman" w:hAnsi="Times New Roman" w:cs="Times New Roman"/>
              </w:rPr>
            </w:pPr>
          </w:p>
        </w:tc>
        <w:tc>
          <w:tcPr>
            <w:tcW w:w="0" w:type="auto"/>
            <w:hideMark/>
          </w:tcPr>
          <w:p w14:paraId="32E9B975"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Other</w:t>
            </w:r>
          </w:p>
        </w:tc>
        <w:tc>
          <w:tcPr>
            <w:tcW w:w="0" w:type="auto"/>
            <w:hideMark/>
          </w:tcPr>
          <w:p w14:paraId="4B7C8582"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161</w:t>
            </w:r>
          </w:p>
        </w:tc>
        <w:tc>
          <w:tcPr>
            <w:tcW w:w="0" w:type="auto"/>
            <w:hideMark/>
          </w:tcPr>
          <w:p w14:paraId="031ABB6D"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80.5%</w:t>
            </w:r>
          </w:p>
        </w:tc>
      </w:tr>
      <w:tr w:rsidR="00806BAD" w:rsidRPr="00077581" w14:paraId="6DCE2A2C" w14:textId="77777777" w:rsidTr="00E55E15">
        <w:tc>
          <w:tcPr>
            <w:tcW w:w="0" w:type="auto"/>
            <w:vMerge w:val="restart"/>
            <w:hideMark/>
          </w:tcPr>
          <w:p w14:paraId="726E600F" w14:textId="038E3E4D" w:rsidR="00806BAD" w:rsidRPr="00BF3C84" w:rsidRDefault="00806BAD" w:rsidP="00EF0802">
            <w:pPr>
              <w:spacing w:line="360" w:lineRule="auto"/>
              <w:rPr>
                <w:rFonts w:ascii="Times New Roman" w:hAnsi="Times New Roman" w:cs="Times New Roman"/>
                <w:b/>
                <w:bCs/>
              </w:rPr>
            </w:pPr>
            <w:r w:rsidRPr="00BF3C84">
              <w:rPr>
                <w:rStyle w:val="Strong"/>
                <w:rFonts w:ascii="Times New Roman" w:hAnsi="Times New Roman" w:cs="Times New Roman"/>
                <w:b w:val="0"/>
                <w:bCs w:val="0"/>
              </w:rPr>
              <w:t>Followed dietary advice</w:t>
            </w:r>
          </w:p>
        </w:tc>
        <w:tc>
          <w:tcPr>
            <w:tcW w:w="0" w:type="auto"/>
            <w:hideMark/>
          </w:tcPr>
          <w:p w14:paraId="0F6822BA"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Very closely</w:t>
            </w:r>
          </w:p>
        </w:tc>
        <w:tc>
          <w:tcPr>
            <w:tcW w:w="0" w:type="auto"/>
            <w:hideMark/>
          </w:tcPr>
          <w:p w14:paraId="2908F60A"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104</w:t>
            </w:r>
          </w:p>
        </w:tc>
        <w:tc>
          <w:tcPr>
            <w:tcW w:w="0" w:type="auto"/>
            <w:hideMark/>
          </w:tcPr>
          <w:p w14:paraId="57D3A783"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52.0%</w:t>
            </w:r>
          </w:p>
        </w:tc>
      </w:tr>
      <w:tr w:rsidR="00806BAD" w:rsidRPr="00077581" w14:paraId="1A2B622B" w14:textId="77777777" w:rsidTr="00E55E15">
        <w:tc>
          <w:tcPr>
            <w:tcW w:w="0" w:type="auto"/>
            <w:vMerge/>
            <w:hideMark/>
          </w:tcPr>
          <w:p w14:paraId="1934D52B" w14:textId="77777777" w:rsidR="00806BAD" w:rsidRPr="00077581" w:rsidRDefault="00806BAD" w:rsidP="00EF0802">
            <w:pPr>
              <w:spacing w:line="360" w:lineRule="auto"/>
              <w:rPr>
                <w:rFonts w:ascii="Times New Roman" w:hAnsi="Times New Roman" w:cs="Times New Roman"/>
              </w:rPr>
            </w:pPr>
          </w:p>
        </w:tc>
        <w:tc>
          <w:tcPr>
            <w:tcW w:w="0" w:type="auto"/>
            <w:hideMark/>
          </w:tcPr>
          <w:p w14:paraId="1AE29DC7"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Somewhat</w:t>
            </w:r>
          </w:p>
        </w:tc>
        <w:tc>
          <w:tcPr>
            <w:tcW w:w="0" w:type="auto"/>
            <w:hideMark/>
          </w:tcPr>
          <w:p w14:paraId="02CB95E4"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57</w:t>
            </w:r>
          </w:p>
        </w:tc>
        <w:tc>
          <w:tcPr>
            <w:tcW w:w="0" w:type="auto"/>
            <w:hideMark/>
          </w:tcPr>
          <w:p w14:paraId="574200F4"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28.5%</w:t>
            </w:r>
          </w:p>
        </w:tc>
      </w:tr>
      <w:tr w:rsidR="00806BAD" w:rsidRPr="00077581" w14:paraId="22E5208B" w14:textId="77777777" w:rsidTr="00E55E15">
        <w:tc>
          <w:tcPr>
            <w:tcW w:w="0" w:type="auto"/>
            <w:vMerge/>
            <w:hideMark/>
          </w:tcPr>
          <w:p w14:paraId="0D61C7B8" w14:textId="77777777" w:rsidR="00806BAD" w:rsidRPr="00077581" w:rsidRDefault="00806BAD" w:rsidP="00EF0802">
            <w:pPr>
              <w:spacing w:line="360" w:lineRule="auto"/>
              <w:rPr>
                <w:rFonts w:ascii="Times New Roman" w:hAnsi="Times New Roman" w:cs="Times New Roman"/>
              </w:rPr>
            </w:pPr>
          </w:p>
        </w:tc>
        <w:tc>
          <w:tcPr>
            <w:tcW w:w="0" w:type="auto"/>
            <w:hideMark/>
          </w:tcPr>
          <w:p w14:paraId="7B3784E1"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Rarely</w:t>
            </w:r>
          </w:p>
        </w:tc>
        <w:tc>
          <w:tcPr>
            <w:tcW w:w="0" w:type="auto"/>
            <w:hideMark/>
          </w:tcPr>
          <w:p w14:paraId="1BF19DEE"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28</w:t>
            </w:r>
          </w:p>
        </w:tc>
        <w:tc>
          <w:tcPr>
            <w:tcW w:w="0" w:type="auto"/>
            <w:hideMark/>
          </w:tcPr>
          <w:p w14:paraId="1F448669"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14.0%</w:t>
            </w:r>
          </w:p>
        </w:tc>
      </w:tr>
      <w:tr w:rsidR="00806BAD" w:rsidRPr="00077581" w14:paraId="75DF568D" w14:textId="77777777" w:rsidTr="00E55E15">
        <w:tc>
          <w:tcPr>
            <w:tcW w:w="0" w:type="auto"/>
            <w:vMerge/>
            <w:hideMark/>
          </w:tcPr>
          <w:p w14:paraId="4B1E4964" w14:textId="77777777" w:rsidR="00806BAD" w:rsidRPr="00077581" w:rsidRDefault="00806BAD" w:rsidP="00EF0802">
            <w:pPr>
              <w:spacing w:line="360" w:lineRule="auto"/>
              <w:rPr>
                <w:rFonts w:ascii="Times New Roman" w:hAnsi="Times New Roman" w:cs="Times New Roman"/>
              </w:rPr>
            </w:pPr>
          </w:p>
        </w:tc>
        <w:tc>
          <w:tcPr>
            <w:tcW w:w="0" w:type="auto"/>
            <w:hideMark/>
          </w:tcPr>
          <w:p w14:paraId="63F25373"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Not at all</w:t>
            </w:r>
          </w:p>
        </w:tc>
        <w:tc>
          <w:tcPr>
            <w:tcW w:w="0" w:type="auto"/>
            <w:hideMark/>
          </w:tcPr>
          <w:p w14:paraId="62783F9D"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11</w:t>
            </w:r>
          </w:p>
        </w:tc>
        <w:tc>
          <w:tcPr>
            <w:tcW w:w="0" w:type="auto"/>
            <w:hideMark/>
          </w:tcPr>
          <w:p w14:paraId="3A2D45E6"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5.5%</w:t>
            </w:r>
          </w:p>
        </w:tc>
      </w:tr>
      <w:tr w:rsidR="00806BAD" w:rsidRPr="00077581" w14:paraId="5FF4ED5D" w14:textId="77777777" w:rsidTr="00E55E15">
        <w:tc>
          <w:tcPr>
            <w:tcW w:w="0" w:type="auto"/>
            <w:vMerge w:val="restart"/>
            <w:hideMark/>
          </w:tcPr>
          <w:p w14:paraId="140862CD" w14:textId="698EC62F" w:rsidR="00806BAD" w:rsidRPr="00BF3C84" w:rsidRDefault="00806BAD" w:rsidP="00EF0802">
            <w:pPr>
              <w:spacing w:line="360" w:lineRule="auto"/>
              <w:rPr>
                <w:rFonts w:ascii="Times New Roman" w:hAnsi="Times New Roman" w:cs="Times New Roman"/>
                <w:b/>
                <w:bCs/>
              </w:rPr>
            </w:pPr>
            <w:r w:rsidRPr="00BF3C84">
              <w:rPr>
                <w:rStyle w:val="Strong"/>
                <w:rFonts w:ascii="Times New Roman" w:hAnsi="Times New Roman" w:cs="Times New Roman"/>
                <w:b w:val="0"/>
                <w:bCs w:val="0"/>
              </w:rPr>
              <w:t>Changed stress management habits?</w:t>
            </w:r>
          </w:p>
        </w:tc>
        <w:tc>
          <w:tcPr>
            <w:tcW w:w="0" w:type="auto"/>
            <w:hideMark/>
          </w:tcPr>
          <w:p w14:paraId="20C30474"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Yes</w:t>
            </w:r>
          </w:p>
        </w:tc>
        <w:tc>
          <w:tcPr>
            <w:tcW w:w="0" w:type="auto"/>
            <w:hideMark/>
          </w:tcPr>
          <w:p w14:paraId="748E8F88"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150</w:t>
            </w:r>
          </w:p>
        </w:tc>
        <w:tc>
          <w:tcPr>
            <w:tcW w:w="0" w:type="auto"/>
            <w:hideMark/>
          </w:tcPr>
          <w:p w14:paraId="1C2559DB"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75.0%</w:t>
            </w:r>
          </w:p>
        </w:tc>
      </w:tr>
      <w:tr w:rsidR="00806BAD" w:rsidRPr="00077581" w14:paraId="755B9903" w14:textId="77777777" w:rsidTr="00E55E15">
        <w:tc>
          <w:tcPr>
            <w:tcW w:w="0" w:type="auto"/>
            <w:vMerge/>
            <w:hideMark/>
          </w:tcPr>
          <w:p w14:paraId="5242FB93" w14:textId="77777777" w:rsidR="00806BAD" w:rsidRPr="00077581" w:rsidRDefault="00806BAD" w:rsidP="00EF0802">
            <w:pPr>
              <w:spacing w:line="360" w:lineRule="auto"/>
              <w:rPr>
                <w:rFonts w:ascii="Times New Roman" w:hAnsi="Times New Roman" w:cs="Times New Roman"/>
              </w:rPr>
            </w:pPr>
          </w:p>
        </w:tc>
        <w:tc>
          <w:tcPr>
            <w:tcW w:w="0" w:type="auto"/>
            <w:hideMark/>
          </w:tcPr>
          <w:p w14:paraId="6EBA1ABB"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No</w:t>
            </w:r>
          </w:p>
        </w:tc>
        <w:tc>
          <w:tcPr>
            <w:tcW w:w="0" w:type="auto"/>
            <w:hideMark/>
          </w:tcPr>
          <w:p w14:paraId="74A05A16"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50</w:t>
            </w:r>
          </w:p>
        </w:tc>
        <w:tc>
          <w:tcPr>
            <w:tcW w:w="0" w:type="auto"/>
            <w:hideMark/>
          </w:tcPr>
          <w:p w14:paraId="46ACFC65"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25.0%</w:t>
            </w:r>
          </w:p>
        </w:tc>
      </w:tr>
      <w:tr w:rsidR="00806BAD" w:rsidRPr="00077581" w14:paraId="4E475ABC" w14:textId="77777777" w:rsidTr="00E55E15">
        <w:tc>
          <w:tcPr>
            <w:tcW w:w="0" w:type="auto"/>
            <w:vMerge w:val="restart"/>
            <w:hideMark/>
          </w:tcPr>
          <w:p w14:paraId="5609FEA0" w14:textId="2501CF09" w:rsidR="00806BAD" w:rsidRPr="00077581" w:rsidRDefault="00806BAD" w:rsidP="00EF0802">
            <w:pPr>
              <w:spacing w:line="360" w:lineRule="auto"/>
              <w:rPr>
                <w:rFonts w:ascii="Times New Roman" w:hAnsi="Times New Roman" w:cs="Times New Roman"/>
              </w:rPr>
            </w:pPr>
            <w:r w:rsidRPr="00BF3C84">
              <w:rPr>
                <w:rStyle w:val="Strong"/>
                <w:rFonts w:ascii="Times New Roman" w:hAnsi="Times New Roman" w:cs="Times New Roman"/>
                <w:b w:val="0"/>
                <w:bCs w:val="0"/>
              </w:rPr>
              <w:t>Stress management method used</w:t>
            </w:r>
            <w:r w:rsidRPr="00077581">
              <w:rPr>
                <w:rFonts w:ascii="Times New Roman" w:hAnsi="Times New Roman" w:cs="Times New Roman"/>
              </w:rPr>
              <w:t xml:space="preserve"> </w:t>
            </w:r>
            <w:r w:rsidRPr="00077581">
              <w:rPr>
                <w:rStyle w:val="Emphasis"/>
                <w:rFonts w:ascii="Times New Roman" w:hAnsi="Times New Roman" w:cs="Times New Roman"/>
              </w:rPr>
              <w:t>(multi-response)</w:t>
            </w:r>
          </w:p>
        </w:tc>
        <w:tc>
          <w:tcPr>
            <w:tcW w:w="0" w:type="auto"/>
            <w:hideMark/>
          </w:tcPr>
          <w:p w14:paraId="587A27C0"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Meditation</w:t>
            </w:r>
          </w:p>
        </w:tc>
        <w:tc>
          <w:tcPr>
            <w:tcW w:w="0" w:type="auto"/>
            <w:hideMark/>
          </w:tcPr>
          <w:p w14:paraId="6153D29B"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113</w:t>
            </w:r>
          </w:p>
        </w:tc>
        <w:tc>
          <w:tcPr>
            <w:tcW w:w="0" w:type="auto"/>
            <w:hideMark/>
          </w:tcPr>
          <w:p w14:paraId="67C366B0"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75.3% (of 150)</w:t>
            </w:r>
          </w:p>
        </w:tc>
      </w:tr>
      <w:tr w:rsidR="00806BAD" w:rsidRPr="00077581" w14:paraId="0B61AB91" w14:textId="77777777" w:rsidTr="00E55E15">
        <w:tc>
          <w:tcPr>
            <w:tcW w:w="0" w:type="auto"/>
            <w:vMerge/>
            <w:hideMark/>
          </w:tcPr>
          <w:p w14:paraId="2270AE3F" w14:textId="77777777" w:rsidR="00806BAD" w:rsidRPr="00077581" w:rsidRDefault="00806BAD" w:rsidP="00EF0802">
            <w:pPr>
              <w:spacing w:line="360" w:lineRule="auto"/>
              <w:rPr>
                <w:rFonts w:ascii="Times New Roman" w:hAnsi="Times New Roman" w:cs="Times New Roman"/>
              </w:rPr>
            </w:pPr>
          </w:p>
        </w:tc>
        <w:tc>
          <w:tcPr>
            <w:tcW w:w="0" w:type="auto"/>
            <w:hideMark/>
          </w:tcPr>
          <w:p w14:paraId="57D97975"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Breathing</w:t>
            </w:r>
          </w:p>
        </w:tc>
        <w:tc>
          <w:tcPr>
            <w:tcW w:w="0" w:type="auto"/>
            <w:hideMark/>
          </w:tcPr>
          <w:p w14:paraId="4D155DC9"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112</w:t>
            </w:r>
          </w:p>
        </w:tc>
        <w:tc>
          <w:tcPr>
            <w:tcW w:w="0" w:type="auto"/>
            <w:hideMark/>
          </w:tcPr>
          <w:p w14:paraId="47BBD185"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74.7% (of 150)</w:t>
            </w:r>
          </w:p>
        </w:tc>
      </w:tr>
      <w:tr w:rsidR="00806BAD" w:rsidRPr="00077581" w14:paraId="3DE89716" w14:textId="77777777" w:rsidTr="00E55E15">
        <w:tc>
          <w:tcPr>
            <w:tcW w:w="0" w:type="auto"/>
            <w:vMerge/>
            <w:hideMark/>
          </w:tcPr>
          <w:p w14:paraId="3CFFA1C2" w14:textId="77777777" w:rsidR="00806BAD" w:rsidRPr="00077581" w:rsidRDefault="00806BAD" w:rsidP="00EF0802">
            <w:pPr>
              <w:spacing w:line="360" w:lineRule="auto"/>
              <w:rPr>
                <w:rFonts w:ascii="Times New Roman" w:hAnsi="Times New Roman" w:cs="Times New Roman"/>
              </w:rPr>
            </w:pPr>
          </w:p>
        </w:tc>
        <w:tc>
          <w:tcPr>
            <w:tcW w:w="0" w:type="auto"/>
            <w:hideMark/>
          </w:tcPr>
          <w:p w14:paraId="35ED5F47"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Mindfulness</w:t>
            </w:r>
          </w:p>
        </w:tc>
        <w:tc>
          <w:tcPr>
            <w:tcW w:w="0" w:type="auto"/>
            <w:hideMark/>
          </w:tcPr>
          <w:p w14:paraId="6E6CEB6D"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99</w:t>
            </w:r>
          </w:p>
        </w:tc>
        <w:tc>
          <w:tcPr>
            <w:tcW w:w="0" w:type="auto"/>
            <w:hideMark/>
          </w:tcPr>
          <w:p w14:paraId="63909D1F"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66.0% (of 150)</w:t>
            </w:r>
          </w:p>
        </w:tc>
      </w:tr>
      <w:tr w:rsidR="00806BAD" w:rsidRPr="00077581" w14:paraId="1D25525E" w14:textId="77777777" w:rsidTr="00E55E15">
        <w:tc>
          <w:tcPr>
            <w:tcW w:w="0" w:type="auto"/>
            <w:vMerge/>
            <w:hideMark/>
          </w:tcPr>
          <w:p w14:paraId="1EF90541" w14:textId="77777777" w:rsidR="00806BAD" w:rsidRPr="00077581" w:rsidRDefault="00806BAD" w:rsidP="00EF0802">
            <w:pPr>
              <w:spacing w:line="360" w:lineRule="auto"/>
              <w:rPr>
                <w:rFonts w:ascii="Times New Roman" w:hAnsi="Times New Roman" w:cs="Times New Roman"/>
              </w:rPr>
            </w:pPr>
          </w:p>
        </w:tc>
        <w:tc>
          <w:tcPr>
            <w:tcW w:w="0" w:type="auto"/>
            <w:hideMark/>
          </w:tcPr>
          <w:p w14:paraId="524B556B"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Other</w:t>
            </w:r>
          </w:p>
        </w:tc>
        <w:tc>
          <w:tcPr>
            <w:tcW w:w="0" w:type="auto"/>
            <w:hideMark/>
          </w:tcPr>
          <w:p w14:paraId="2F18DCAA"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91</w:t>
            </w:r>
          </w:p>
        </w:tc>
        <w:tc>
          <w:tcPr>
            <w:tcW w:w="0" w:type="auto"/>
            <w:hideMark/>
          </w:tcPr>
          <w:p w14:paraId="67D623B9" w14:textId="77777777" w:rsidR="00806BAD" w:rsidRPr="00077581" w:rsidRDefault="00806BAD" w:rsidP="00EF0802">
            <w:pPr>
              <w:spacing w:line="360" w:lineRule="auto"/>
              <w:rPr>
                <w:rFonts w:ascii="Times New Roman" w:hAnsi="Times New Roman" w:cs="Times New Roman"/>
              </w:rPr>
            </w:pPr>
            <w:r w:rsidRPr="00077581">
              <w:rPr>
                <w:rFonts w:ascii="Times New Roman" w:hAnsi="Times New Roman" w:cs="Times New Roman"/>
              </w:rPr>
              <w:t>60.7% (of 150)</w:t>
            </w:r>
          </w:p>
        </w:tc>
      </w:tr>
    </w:tbl>
    <w:p w14:paraId="3BD591AD" w14:textId="77777777" w:rsidR="00D81433" w:rsidRPr="00077581" w:rsidRDefault="00D81433" w:rsidP="00EF0802">
      <w:pPr>
        <w:spacing w:line="360" w:lineRule="auto"/>
        <w:jc w:val="both"/>
        <w:rPr>
          <w:rFonts w:ascii="Times New Roman" w:hAnsi="Times New Roman" w:cs="Times New Roman"/>
        </w:rPr>
      </w:pPr>
    </w:p>
    <w:p w14:paraId="0B42762A" w14:textId="77777777" w:rsidR="00D81433" w:rsidRPr="00077581" w:rsidRDefault="00D81433" w:rsidP="00EF0802">
      <w:pPr>
        <w:pStyle w:val="Heading3"/>
        <w:spacing w:before="0" w:after="160" w:line="360" w:lineRule="auto"/>
        <w:jc w:val="both"/>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4.6 Clinical Indicators and Health Outcomes (Pre &amp; Post Intervention)</w:t>
      </w:r>
    </w:p>
    <w:p w14:paraId="0FBBD458" w14:textId="77777777" w:rsidR="00D81433" w:rsidRPr="00077581" w:rsidRDefault="00D81433" w:rsidP="00EF0802">
      <w:pPr>
        <w:pStyle w:val="NormalWeb"/>
        <w:spacing w:before="0" w:beforeAutospacing="0" w:after="160" w:afterAutospacing="0" w:line="360" w:lineRule="auto"/>
        <w:jc w:val="both"/>
      </w:pPr>
      <w:r w:rsidRPr="00077581">
        <w:t xml:space="preserve">The effectiveness of the lifestyle modification intervention was further evaluated by comparing key </w:t>
      </w:r>
      <w:r w:rsidRPr="00F11700">
        <w:rPr>
          <w:rStyle w:val="Strong"/>
          <w:b w:val="0"/>
          <w:bCs w:val="0"/>
        </w:rPr>
        <w:t>clinical indicators</w:t>
      </w:r>
      <w:r w:rsidRPr="00077581">
        <w:t xml:space="preserve"> before and after its implementation. These included thyroid hormone levels, blood pressure readings, </w:t>
      </w:r>
      <w:proofErr w:type="spellStart"/>
      <w:r w:rsidRPr="00077581">
        <w:t>glycemic</w:t>
      </w:r>
      <w:proofErr w:type="spellEnd"/>
      <w:r w:rsidRPr="00077581">
        <w:t xml:space="preserve"> control, and proteinuria status, providing an objective assessment of physiological outcomes alongside </w:t>
      </w:r>
      <w:proofErr w:type="spellStart"/>
      <w:r w:rsidRPr="00077581">
        <w:t>behavioral</w:t>
      </w:r>
      <w:proofErr w:type="spellEnd"/>
      <w:r w:rsidRPr="00077581">
        <w:t xml:space="preserve"> changes.</w:t>
      </w:r>
    </w:p>
    <w:p w14:paraId="33CDF874" w14:textId="77777777" w:rsidR="00D81433" w:rsidRPr="00077581" w:rsidRDefault="00D81433" w:rsidP="00EF0802">
      <w:pPr>
        <w:pStyle w:val="NormalWeb"/>
        <w:spacing w:before="0" w:beforeAutospacing="0" w:after="160" w:afterAutospacing="0" w:line="360" w:lineRule="auto"/>
        <w:jc w:val="both"/>
      </w:pPr>
      <w:r w:rsidRPr="00077581">
        <w:t xml:space="preserve">As outlined in </w:t>
      </w:r>
      <w:r w:rsidRPr="00F11700">
        <w:rPr>
          <w:rStyle w:val="Strong"/>
          <w:b w:val="0"/>
          <w:bCs w:val="0"/>
        </w:rPr>
        <w:t>Table 4.14</w:t>
      </w:r>
      <w:r w:rsidRPr="00077581">
        <w:t xml:space="preserve">, there were notable improvements in thyroid function parameters. The mean </w:t>
      </w:r>
      <w:r w:rsidRPr="00F11700">
        <w:rPr>
          <w:rStyle w:val="Strong"/>
          <w:b w:val="0"/>
          <w:bCs w:val="0"/>
        </w:rPr>
        <w:t>TSH level</w:t>
      </w:r>
      <w:r w:rsidRPr="00077581">
        <w:t xml:space="preserve"> decreased from </w:t>
      </w:r>
      <w:r w:rsidRPr="00F11700">
        <w:rPr>
          <w:rStyle w:val="Strong"/>
          <w:b w:val="0"/>
          <w:bCs w:val="0"/>
        </w:rPr>
        <w:t xml:space="preserve">4.8 ± 2.0 </w:t>
      </w:r>
      <w:proofErr w:type="spellStart"/>
      <w:r w:rsidRPr="00F11700">
        <w:rPr>
          <w:rStyle w:val="Strong"/>
          <w:b w:val="0"/>
          <w:bCs w:val="0"/>
        </w:rPr>
        <w:t>mIU</w:t>
      </w:r>
      <w:proofErr w:type="spellEnd"/>
      <w:r w:rsidRPr="00F11700">
        <w:rPr>
          <w:rStyle w:val="Strong"/>
          <w:b w:val="0"/>
          <w:bCs w:val="0"/>
        </w:rPr>
        <w:t>/L</w:t>
      </w:r>
      <w:r w:rsidRPr="00077581">
        <w:t xml:space="preserve"> at baseline to </w:t>
      </w:r>
      <w:r w:rsidRPr="00F11700">
        <w:rPr>
          <w:rStyle w:val="Strong"/>
          <w:b w:val="0"/>
          <w:bCs w:val="0"/>
        </w:rPr>
        <w:t xml:space="preserve">2.8 ± 1.5 </w:t>
      </w:r>
      <w:proofErr w:type="spellStart"/>
      <w:r w:rsidRPr="00F11700">
        <w:rPr>
          <w:rStyle w:val="Strong"/>
          <w:b w:val="0"/>
          <w:bCs w:val="0"/>
        </w:rPr>
        <w:t>mIU</w:t>
      </w:r>
      <w:proofErr w:type="spellEnd"/>
      <w:r w:rsidRPr="00F11700">
        <w:rPr>
          <w:rStyle w:val="Strong"/>
          <w:b w:val="0"/>
          <w:bCs w:val="0"/>
        </w:rPr>
        <w:t>/L</w:t>
      </w:r>
      <w:r w:rsidRPr="00077581">
        <w:t xml:space="preserve"> post-intervention, indicating improved thyroid regulation. Concurrently, </w:t>
      </w:r>
      <w:r w:rsidRPr="00F11700">
        <w:rPr>
          <w:rStyle w:val="Strong"/>
          <w:b w:val="0"/>
          <w:bCs w:val="0"/>
        </w:rPr>
        <w:t>Free T4</w:t>
      </w:r>
      <w:r w:rsidRPr="00077581">
        <w:t xml:space="preserve"> increased from </w:t>
      </w:r>
      <w:r w:rsidRPr="00F11700">
        <w:rPr>
          <w:rStyle w:val="Strong"/>
          <w:b w:val="0"/>
          <w:bCs w:val="0"/>
        </w:rPr>
        <w:t>0.9 ± 0.3 ng/dL</w:t>
      </w:r>
      <w:r w:rsidRPr="00F11700">
        <w:rPr>
          <w:b/>
          <w:bCs/>
        </w:rPr>
        <w:t xml:space="preserve"> </w:t>
      </w:r>
      <w:r w:rsidRPr="00F11700">
        <w:t>to</w:t>
      </w:r>
      <w:r w:rsidRPr="00F11700">
        <w:rPr>
          <w:b/>
          <w:bCs/>
        </w:rPr>
        <w:t xml:space="preserve"> </w:t>
      </w:r>
      <w:r w:rsidRPr="00F11700">
        <w:rPr>
          <w:rStyle w:val="Strong"/>
          <w:b w:val="0"/>
          <w:bCs w:val="0"/>
        </w:rPr>
        <w:t>1.2 ± 0.2 ng/dL</w:t>
      </w:r>
      <w:r w:rsidRPr="00077581">
        <w:t xml:space="preserve">, and </w:t>
      </w:r>
      <w:r w:rsidRPr="00F11700">
        <w:rPr>
          <w:rStyle w:val="Strong"/>
          <w:b w:val="0"/>
          <w:bCs w:val="0"/>
        </w:rPr>
        <w:t>Free T3</w:t>
      </w:r>
      <w:r w:rsidRPr="00077581">
        <w:t xml:space="preserve"> rose from </w:t>
      </w:r>
      <w:r w:rsidRPr="00F11700">
        <w:rPr>
          <w:rStyle w:val="Strong"/>
          <w:b w:val="0"/>
          <w:bCs w:val="0"/>
        </w:rPr>
        <w:t xml:space="preserve">2.3 ± 0.6 </w:t>
      </w:r>
      <w:proofErr w:type="spellStart"/>
      <w:r w:rsidRPr="00F11700">
        <w:rPr>
          <w:rStyle w:val="Strong"/>
          <w:b w:val="0"/>
          <w:bCs w:val="0"/>
        </w:rPr>
        <w:t>pg</w:t>
      </w:r>
      <w:proofErr w:type="spellEnd"/>
      <w:r w:rsidRPr="00F11700">
        <w:rPr>
          <w:rStyle w:val="Strong"/>
          <w:b w:val="0"/>
          <w:bCs w:val="0"/>
        </w:rPr>
        <w:t>/mL</w:t>
      </w:r>
      <w:r w:rsidRPr="00077581">
        <w:t xml:space="preserve"> to </w:t>
      </w:r>
      <w:r w:rsidRPr="00F11700">
        <w:rPr>
          <w:rStyle w:val="Strong"/>
          <w:b w:val="0"/>
          <w:bCs w:val="0"/>
        </w:rPr>
        <w:t xml:space="preserve">2.8 ± 0.5 </w:t>
      </w:r>
      <w:proofErr w:type="spellStart"/>
      <w:r w:rsidRPr="00F11700">
        <w:rPr>
          <w:rStyle w:val="Strong"/>
          <w:b w:val="0"/>
          <w:bCs w:val="0"/>
        </w:rPr>
        <w:t>pg</w:t>
      </w:r>
      <w:proofErr w:type="spellEnd"/>
      <w:r w:rsidRPr="00F11700">
        <w:rPr>
          <w:rStyle w:val="Strong"/>
          <w:b w:val="0"/>
          <w:bCs w:val="0"/>
        </w:rPr>
        <w:t>/mL</w:t>
      </w:r>
      <w:r w:rsidRPr="00077581">
        <w:t xml:space="preserve">, all suggesting a trend toward euthyroid status. These changes imply that both education and </w:t>
      </w:r>
      <w:proofErr w:type="spellStart"/>
      <w:r w:rsidRPr="00077581">
        <w:t>behavior</w:t>
      </w:r>
      <w:proofErr w:type="spellEnd"/>
      <w:r w:rsidRPr="00077581">
        <w:t>-based interventions may have contributed to better endocrine outcomes.</w:t>
      </w:r>
    </w:p>
    <w:p w14:paraId="12D10EB7" w14:textId="26804B3C" w:rsidR="00F33AC4" w:rsidRPr="00077581" w:rsidRDefault="00D81433" w:rsidP="00EF0802">
      <w:pPr>
        <w:pStyle w:val="NormalWeb"/>
        <w:spacing w:before="0" w:beforeAutospacing="0" w:after="160" w:afterAutospacing="0" w:line="360" w:lineRule="auto"/>
        <w:jc w:val="both"/>
      </w:pPr>
      <w:r w:rsidRPr="00077581">
        <w:t xml:space="preserve">Blood pressure measurements also demonstrated substantial improvements. The mean </w:t>
      </w:r>
      <w:r w:rsidRPr="00F11700">
        <w:rPr>
          <w:rStyle w:val="Strong"/>
          <w:b w:val="0"/>
          <w:bCs w:val="0"/>
        </w:rPr>
        <w:t>systolic</w:t>
      </w:r>
      <w:r w:rsidRPr="00077581">
        <w:rPr>
          <w:rStyle w:val="Strong"/>
        </w:rPr>
        <w:t xml:space="preserve"> </w:t>
      </w:r>
      <w:r w:rsidRPr="00F11700">
        <w:rPr>
          <w:rStyle w:val="Strong"/>
          <w:b w:val="0"/>
          <w:bCs w:val="0"/>
        </w:rPr>
        <w:t>blood pressure</w:t>
      </w:r>
      <w:r w:rsidRPr="00077581">
        <w:t xml:space="preserve"> decreased from </w:t>
      </w:r>
      <w:r w:rsidRPr="00F11700">
        <w:rPr>
          <w:rStyle w:val="Strong"/>
          <w:b w:val="0"/>
          <w:bCs w:val="0"/>
        </w:rPr>
        <w:t>132 ± 15 mmHg</w:t>
      </w:r>
      <w:r w:rsidRPr="00077581">
        <w:t xml:space="preserve"> to </w:t>
      </w:r>
      <w:r w:rsidRPr="00F11700">
        <w:rPr>
          <w:rStyle w:val="Strong"/>
          <w:b w:val="0"/>
          <w:bCs w:val="0"/>
        </w:rPr>
        <w:t>120 ± 12 mmHg</w:t>
      </w:r>
      <w:r w:rsidRPr="00077581">
        <w:t xml:space="preserve">, and </w:t>
      </w:r>
      <w:r w:rsidRPr="00F11700">
        <w:rPr>
          <w:rStyle w:val="Strong"/>
          <w:b w:val="0"/>
          <w:bCs w:val="0"/>
        </w:rPr>
        <w:t>diastolic pressure</w:t>
      </w:r>
      <w:r w:rsidRPr="00077581">
        <w:t xml:space="preserve"> declined from </w:t>
      </w:r>
      <w:r w:rsidRPr="00F11700">
        <w:rPr>
          <w:rStyle w:val="Strong"/>
          <w:b w:val="0"/>
          <w:bCs w:val="0"/>
        </w:rPr>
        <w:t>85 ± 10 mmHg</w:t>
      </w:r>
      <w:r w:rsidRPr="00F11700">
        <w:rPr>
          <w:b/>
          <w:bCs/>
        </w:rPr>
        <w:t xml:space="preserve"> </w:t>
      </w:r>
      <w:r w:rsidRPr="00F11700">
        <w:t>to</w:t>
      </w:r>
      <w:r w:rsidRPr="00F11700">
        <w:rPr>
          <w:b/>
          <w:bCs/>
        </w:rPr>
        <w:t xml:space="preserve"> </w:t>
      </w:r>
      <w:r w:rsidRPr="00F11700">
        <w:rPr>
          <w:rStyle w:val="Strong"/>
          <w:b w:val="0"/>
          <w:bCs w:val="0"/>
        </w:rPr>
        <w:t>78 ± 9 mmHg</w:t>
      </w:r>
      <w:r w:rsidRPr="00077581">
        <w:t xml:space="preserve">. This reduction is clinically significant, especially given the heightened risk hypertensive disorders pose during pregnancy. Similarly, </w:t>
      </w:r>
      <w:proofErr w:type="spellStart"/>
      <w:r w:rsidRPr="00077581">
        <w:t>glycemic</w:t>
      </w:r>
      <w:proofErr w:type="spellEnd"/>
      <w:r w:rsidRPr="00077581">
        <w:t xml:space="preserve"> control improved, with </w:t>
      </w:r>
      <w:r w:rsidRPr="00F33AC4">
        <w:rPr>
          <w:rStyle w:val="Strong"/>
          <w:b w:val="0"/>
          <w:bCs w:val="0"/>
        </w:rPr>
        <w:t>fasting</w:t>
      </w:r>
      <w:r w:rsidRPr="00077581">
        <w:rPr>
          <w:rStyle w:val="Strong"/>
        </w:rPr>
        <w:t xml:space="preserve"> </w:t>
      </w:r>
      <w:r w:rsidRPr="00F33AC4">
        <w:rPr>
          <w:rStyle w:val="Strong"/>
          <w:b w:val="0"/>
          <w:bCs w:val="0"/>
        </w:rPr>
        <w:t>blood</w:t>
      </w:r>
      <w:r w:rsidRPr="00077581">
        <w:rPr>
          <w:rStyle w:val="Strong"/>
        </w:rPr>
        <w:t xml:space="preserve"> </w:t>
      </w:r>
      <w:r w:rsidRPr="00F33AC4">
        <w:rPr>
          <w:rStyle w:val="Strong"/>
          <w:b w:val="0"/>
          <w:bCs w:val="0"/>
        </w:rPr>
        <w:t>sugar</w:t>
      </w:r>
      <w:r w:rsidRPr="00077581">
        <w:t xml:space="preserve"> </w:t>
      </w:r>
      <w:r w:rsidRPr="00077581">
        <w:lastRenderedPageBreak/>
        <w:t xml:space="preserve">dropping from </w:t>
      </w:r>
      <w:r w:rsidRPr="00F33AC4">
        <w:rPr>
          <w:rStyle w:val="Strong"/>
          <w:b w:val="0"/>
          <w:bCs w:val="0"/>
        </w:rPr>
        <w:t>102</w:t>
      </w:r>
      <w:r w:rsidRPr="00077581">
        <w:rPr>
          <w:rStyle w:val="Strong"/>
        </w:rPr>
        <w:t xml:space="preserve"> ± </w:t>
      </w:r>
      <w:r w:rsidRPr="00F33AC4">
        <w:rPr>
          <w:rStyle w:val="Strong"/>
          <w:b w:val="0"/>
          <w:bCs w:val="0"/>
        </w:rPr>
        <w:t>18</w:t>
      </w:r>
      <w:r w:rsidRPr="00077581">
        <w:rPr>
          <w:rStyle w:val="Strong"/>
        </w:rPr>
        <w:t xml:space="preserve"> </w:t>
      </w:r>
      <w:r w:rsidRPr="00F33AC4">
        <w:rPr>
          <w:rStyle w:val="Strong"/>
          <w:b w:val="0"/>
          <w:bCs w:val="0"/>
        </w:rPr>
        <w:t>mg</w:t>
      </w:r>
      <w:r w:rsidRPr="00077581">
        <w:rPr>
          <w:rStyle w:val="Strong"/>
        </w:rPr>
        <w:t>/</w:t>
      </w:r>
      <w:r w:rsidRPr="00F33AC4">
        <w:rPr>
          <w:rStyle w:val="Strong"/>
          <w:b w:val="0"/>
          <w:bCs w:val="0"/>
        </w:rPr>
        <w:t>dL</w:t>
      </w:r>
      <w:r w:rsidRPr="00077581">
        <w:t xml:space="preserve"> to </w:t>
      </w:r>
      <w:r w:rsidRPr="00F33AC4">
        <w:rPr>
          <w:rStyle w:val="Strong"/>
          <w:b w:val="0"/>
          <w:bCs w:val="0"/>
        </w:rPr>
        <w:t>91 ± 15 mg/dL</w:t>
      </w:r>
      <w:r w:rsidRPr="00077581">
        <w:t xml:space="preserve">, and </w:t>
      </w:r>
      <w:r w:rsidRPr="00F33AC4">
        <w:rPr>
          <w:rStyle w:val="Strong"/>
          <w:b w:val="0"/>
          <w:bCs w:val="0"/>
        </w:rPr>
        <w:t>random blood sugar</w:t>
      </w:r>
      <w:r w:rsidRPr="00077581">
        <w:t xml:space="preserve"> declining from </w:t>
      </w:r>
      <w:r w:rsidRPr="00F33AC4">
        <w:rPr>
          <w:rStyle w:val="Strong"/>
          <w:b w:val="0"/>
          <w:bCs w:val="0"/>
        </w:rPr>
        <w:t>145 ± 25 mg/dL</w:t>
      </w:r>
      <w:r w:rsidRPr="00077581">
        <w:t xml:space="preserve"> to </w:t>
      </w:r>
      <w:r w:rsidRPr="00F33AC4">
        <w:rPr>
          <w:rStyle w:val="Strong"/>
          <w:b w:val="0"/>
          <w:bCs w:val="0"/>
        </w:rPr>
        <w:t>130 ± 22 mg/dL</w:t>
      </w:r>
      <w:r w:rsidRPr="00077581">
        <w:t>, potentially lowering the risk of gestational diabetes and related complications.</w:t>
      </w:r>
    </w:p>
    <w:p w14:paraId="36DC5490" w14:textId="77777777" w:rsidR="00D81433" w:rsidRPr="00077581" w:rsidRDefault="00D81433" w:rsidP="00EF0802">
      <w:pPr>
        <w:pStyle w:val="Heading3"/>
        <w:spacing w:before="0" w:after="160" w:line="360" w:lineRule="auto"/>
        <w:jc w:val="both"/>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Table 4.14. Pre/Post Comparison of Clinical Parameters (Mean ± SD)</w:t>
      </w:r>
    </w:p>
    <w:tbl>
      <w:tblPr>
        <w:tblStyle w:val="TableGrid"/>
        <w:tblW w:w="5000" w:type="pct"/>
        <w:tblLook w:val="04A0" w:firstRow="1" w:lastRow="0" w:firstColumn="1" w:lastColumn="0" w:noHBand="0" w:noVBand="1"/>
      </w:tblPr>
      <w:tblGrid>
        <w:gridCol w:w="3362"/>
        <w:gridCol w:w="2422"/>
        <w:gridCol w:w="2512"/>
      </w:tblGrid>
      <w:tr w:rsidR="00D81433" w:rsidRPr="00077581" w14:paraId="409BA584" w14:textId="77777777" w:rsidTr="00E55E15">
        <w:tc>
          <w:tcPr>
            <w:tcW w:w="2026" w:type="pct"/>
            <w:hideMark/>
          </w:tcPr>
          <w:p w14:paraId="3DA4EEDB"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Parameter</w:t>
            </w:r>
          </w:p>
        </w:tc>
        <w:tc>
          <w:tcPr>
            <w:tcW w:w="1460" w:type="pct"/>
            <w:hideMark/>
          </w:tcPr>
          <w:p w14:paraId="7B6C1987"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Pre-Test Mean ± SD</w:t>
            </w:r>
          </w:p>
        </w:tc>
        <w:tc>
          <w:tcPr>
            <w:tcW w:w="1514" w:type="pct"/>
            <w:hideMark/>
          </w:tcPr>
          <w:p w14:paraId="7D1C454D"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Post-Test Mean ± SD</w:t>
            </w:r>
          </w:p>
        </w:tc>
      </w:tr>
      <w:tr w:rsidR="00D81433" w:rsidRPr="00077581" w14:paraId="44ED828F" w14:textId="77777777" w:rsidTr="00E55E15">
        <w:tc>
          <w:tcPr>
            <w:tcW w:w="2026" w:type="pct"/>
            <w:hideMark/>
          </w:tcPr>
          <w:p w14:paraId="2E298D4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TSH (</w:t>
            </w:r>
            <w:proofErr w:type="spellStart"/>
            <w:r w:rsidRPr="00077581">
              <w:rPr>
                <w:rFonts w:ascii="Times New Roman" w:hAnsi="Times New Roman" w:cs="Times New Roman"/>
              </w:rPr>
              <w:t>mIU</w:t>
            </w:r>
            <w:proofErr w:type="spellEnd"/>
            <w:r w:rsidRPr="00077581">
              <w:rPr>
                <w:rFonts w:ascii="Times New Roman" w:hAnsi="Times New Roman" w:cs="Times New Roman"/>
              </w:rPr>
              <w:t>/L)</w:t>
            </w:r>
          </w:p>
        </w:tc>
        <w:tc>
          <w:tcPr>
            <w:tcW w:w="1460" w:type="pct"/>
            <w:hideMark/>
          </w:tcPr>
          <w:p w14:paraId="0B1C90FE"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4.8 ± 2.0</w:t>
            </w:r>
          </w:p>
        </w:tc>
        <w:tc>
          <w:tcPr>
            <w:tcW w:w="1514" w:type="pct"/>
            <w:hideMark/>
          </w:tcPr>
          <w:p w14:paraId="61F3115A"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2.8 ± 1.5</w:t>
            </w:r>
          </w:p>
        </w:tc>
      </w:tr>
      <w:tr w:rsidR="00D81433" w:rsidRPr="00077581" w14:paraId="2D9DE0C0" w14:textId="77777777" w:rsidTr="00E55E15">
        <w:tc>
          <w:tcPr>
            <w:tcW w:w="2026" w:type="pct"/>
            <w:hideMark/>
          </w:tcPr>
          <w:p w14:paraId="66B6921F"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Free T4 (ng/dL)</w:t>
            </w:r>
          </w:p>
        </w:tc>
        <w:tc>
          <w:tcPr>
            <w:tcW w:w="1460" w:type="pct"/>
            <w:hideMark/>
          </w:tcPr>
          <w:p w14:paraId="051097DE"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0.9 ± 0.3</w:t>
            </w:r>
          </w:p>
        </w:tc>
        <w:tc>
          <w:tcPr>
            <w:tcW w:w="1514" w:type="pct"/>
            <w:hideMark/>
          </w:tcPr>
          <w:p w14:paraId="689EC2A3"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1.2 ± 0.2</w:t>
            </w:r>
          </w:p>
        </w:tc>
      </w:tr>
      <w:tr w:rsidR="00D81433" w:rsidRPr="00077581" w14:paraId="434F6A36" w14:textId="77777777" w:rsidTr="00E55E15">
        <w:tc>
          <w:tcPr>
            <w:tcW w:w="2026" w:type="pct"/>
            <w:hideMark/>
          </w:tcPr>
          <w:p w14:paraId="1CC3F10E"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Free T3 (</w:t>
            </w:r>
            <w:proofErr w:type="spellStart"/>
            <w:r w:rsidRPr="00077581">
              <w:rPr>
                <w:rFonts w:ascii="Times New Roman" w:hAnsi="Times New Roman" w:cs="Times New Roman"/>
              </w:rPr>
              <w:t>pg</w:t>
            </w:r>
            <w:proofErr w:type="spellEnd"/>
            <w:r w:rsidRPr="00077581">
              <w:rPr>
                <w:rFonts w:ascii="Times New Roman" w:hAnsi="Times New Roman" w:cs="Times New Roman"/>
              </w:rPr>
              <w:t>/mL)</w:t>
            </w:r>
          </w:p>
        </w:tc>
        <w:tc>
          <w:tcPr>
            <w:tcW w:w="1460" w:type="pct"/>
            <w:hideMark/>
          </w:tcPr>
          <w:p w14:paraId="24036E9E"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2.3 ± 0.6</w:t>
            </w:r>
          </w:p>
        </w:tc>
        <w:tc>
          <w:tcPr>
            <w:tcW w:w="1514" w:type="pct"/>
            <w:hideMark/>
          </w:tcPr>
          <w:p w14:paraId="32B776A5"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2.8 ± 0.5</w:t>
            </w:r>
          </w:p>
        </w:tc>
      </w:tr>
      <w:tr w:rsidR="00D81433" w:rsidRPr="00077581" w14:paraId="4A82B2B6" w14:textId="77777777" w:rsidTr="00E55E15">
        <w:tc>
          <w:tcPr>
            <w:tcW w:w="2026" w:type="pct"/>
            <w:hideMark/>
          </w:tcPr>
          <w:p w14:paraId="58AA846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Systolic BP (mmHg)</w:t>
            </w:r>
          </w:p>
        </w:tc>
        <w:tc>
          <w:tcPr>
            <w:tcW w:w="1460" w:type="pct"/>
            <w:hideMark/>
          </w:tcPr>
          <w:p w14:paraId="20A5C3F3"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132 ± 15</w:t>
            </w:r>
          </w:p>
        </w:tc>
        <w:tc>
          <w:tcPr>
            <w:tcW w:w="1514" w:type="pct"/>
            <w:hideMark/>
          </w:tcPr>
          <w:p w14:paraId="125B100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120 ± 12</w:t>
            </w:r>
          </w:p>
        </w:tc>
      </w:tr>
      <w:tr w:rsidR="00D81433" w:rsidRPr="00077581" w14:paraId="74E3699F" w14:textId="77777777" w:rsidTr="00E55E15">
        <w:tc>
          <w:tcPr>
            <w:tcW w:w="2026" w:type="pct"/>
            <w:hideMark/>
          </w:tcPr>
          <w:p w14:paraId="130EC59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Diastolic BP (mmHg)</w:t>
            </w:r>
          </w:p>
        </w:tc>
        <w:tc>
          <w:tcPr>
            <w:tcW w:w="1460" w:type="pct"/>
            <w:hideMark/>
          </w:tcPr>
          <w:p w14:paraId="38BFD52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85 ± 10</w:t>
            </w:r>
          </w:p>
        </w:tc>
        <w:tc>
          <w:tcPr>
            <w:tcW w:w="1514" w:type="pct"/>
            <w:hideMark/>
          </w:tcPr>
          <w:p w14:paraId="3262019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78 ± 9</w:t>
            </w:r>
          </w:p>
        </w:tc>
      </w:tr>
      <w:tr w:rsidR="00D81433" w:rsidRPr="00077581" w14:paraId="1EB295DB" w14:textId="77777777" w:rsidTr="00E55E15">
        <w:tc>
          <w:tcPr>
            <w:tcW w:w="2026" w:type="pct"/>
            <w:hideMark/>
          </w:tcPr>
          <w:p w14:paraId="5357F75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Fasting Blood Sugar (mg/dL)</w:t>
            </w:r>
          </w:p>
        </w:tc>
        <w:tc>
          <w:tcPr>
            <w:tcW w:w="1460" w:type="pct"/>
            <w:hideMark/>
          </w:tcPr>
          <w:p w14:paraId="70B7B052"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102 ± 18</w:t>
            </w:r>
          </w:p>
        </w:tc>
        <w:tc>
          <w:tcPr>
            <w:tcW w:w="1514" w:type="pct"/>
            <w:hideMark/>
          </w:tcPr>
          <w:p w14:paraId="51F42815"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91 ± 15</w:t>
            </w:r>
          </w:p>
        </w:tc>
      </w:tr>
      <w:tr w:rsidR="00D81433" w:rsidRPr="00077581" w14:paraId="6837B683" w14:textId="77777777" w:rsidTr="00E55E15">
        <w:tc>
          <w:tcPr>
            <w:tcW w:w="2026" w:type="pct"/>
            <w:hideMark/>
          </w:tcPr>
          <w:p w14:paraId="442BBF6F"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Random Blood Sugar (mg/dL)</w:t>
            </w:r>
          </w:p>
        </w:tc>
        <w:tc>
          <w:tcPr>
            <w:tcW w:w="1460" w:type="pct"/>
            <w:hideMark/>
          </w:tcPr>
          <w:p w14:paraId="5D5BED19"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145 ± 25</w:t>
            </w:r>
          </w:p>
        </w:tc>
        <w:tc>
          <w:tcPr>
            <w:tcW w:w="1514" w:type="pct"/>
            <w:hideMark/>
          </w:tcPr>
          <w:p w14:paraId="2AA3C7E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130 ± 22</w:t>
            </w:r>
          </w:p>
        </w:tc>
      </w:tr>
    </w:tbl>
    <w:p w14:paraId="0A3BE0A0" w14:textId="77777777" w:rsidR="00D81433" w:rsidRPr="00077581" w:rsidRDefault="00D81433" w:rsidP="00CC5373">
      <w:pPr>
        <w:pStyle w:val="NormalWeb"/>
        <w:spacing w:before="240" w:beforeAutospacing="0" w:after="160" w:afterAutospacing="0" w:line="360" w:lineRule="auto"/>
        <w:jc w:val="both"/>
      </w:pPr>
      <w:r w:rsidRPr="00077581">
        <w:t xml:space="preserve">Proteinuria, an important indicator of renal strain or preeclampsia risk, also showed encouraging trends. As per </w:t>
      </w:r>
      <w:r w:rsidRPr="009D52A7">
        <w:rPr>
          <w:rStyle w:val="Strong"/>
          <w:b w:val="0"/>
          <w:bCs w:val="0"/>
        </w:rPr>
        <w:t>Table 4.15</w:t>
      </w:r>
      <w:r w:rsidRPr="00077581">
        <w:t xml:space="preserve">, the percentage of participants with </w:t>
      </w:r>
      <w:r w:rsidRPr="009D52A7">
        <w:rPr>
          <w:rStyle w:val="Strong"/>
          <w:b w:val="0"/>
          <w:bCs w:val="0"/>
        </w:rPr>
        <w:t>positive urine protein</w:t>
      </w:r>
      <w:r w:rsidRPr="00077581">
        <w:t xml:space="preserve"> decreased markedly from </w:t>
      </w:r>
      <w:r w:rsidRPr="009D52A7">
        <w:rPr>
          <w:rStyle w:val="Strong"/>
          <w:b w:val="0"/>
          <w:bCs w:val="0"/>
        </w:rPr>
        <w:t>30.0% to 10.0%</w:t>
      </w:r>
      <w:r w:rsidRPr="00077581">
        <w:t xml:space="preserve">, while those testing </w:t>
      </w:r>
      <w:r w:rsidRPr="009D52A7">
        <w:rPr>
          <w:rStyle w:val="Strong"/>
          <w:b w:val="0"/>
          <w:bCs w:val="0"/>
        </w:rPr>
        <w:t>negative</w:t>
      </w:r>
      <w:r w:rsidRPr="00077581">
        <w:t xml:space="preserve"> increased from </w:t>
      </w:r>
      <w:r w:rsidRPr="009D52A7">
        <w:rPr>
          <w:rStyle w:val="Strong"/>
          <w:b w:val="0"/>
          <w:bCs w:val="0"/>
        </w:rPr>
        <w:t>70.0% to 90.0%</w:t>
      </w:r>
      <w:r w:rsidRPr="00077581">
        <w:t xml:space="preserve"> post-intervention. These findings suggest improved renal outcomes and reduced pregnancy complications.</w:t>
      </w:r>
    </w:p>
    <w:p w14:paraId="3625037D" w14:textId="77777777" w:rsidR="00D81433" w:rsidRPr="00077581" w:rsidRDefault="00D81433" w:rsidP="00EF0802">
      <w:pPr>
        <w:pStyle w:val="Heading3"/>
        <w:spacing w:before="0" w:after="160" w:line="360" w:lineRule="auto"/>
        <w:jc w:val="both"/>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Table 4.15. Urine Protein Status (Pre &amp; Post)</w:t>
      </w:r>
    </w:p>
    <w:tbl>
      <w:tblPr>
        <w:tblStyle w:val="TableGrid"/>
        <w:tblW w:w="5000" w:type="pct"/>
        <w:tblLook w:val="04A0" w:firstRow="1" w:lastRow="0" w:firstColumn="1" w:lastColumn="0" w:noHBand="0" w:noVBand="1"/>
      </w:tblPr>
      <w:tblGrid>
        <w:gridCol w:w="2324"/>
        <w:gridCol w:w="1370"/>
        <w:gridCol w:w="1531"/>
        <w:gridCol w:w="1455"/>
        <w:gridCol w:w="1616"/>
      </w:tblGrid>
      <w:tr w:rsidR="00D81433" w:rsidRPr="00077581" w14:paraId="718F276E" w14:textId="77777777" w:rsidTr="00E55E15">
        <w:tc>
          <w:tcPr>
            <w:tcW w:w="1400" w:type="pct"/>
            <w:hideMark/>
          </w:tcPr>
          <w:p w14:paraId="45039013"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Urine Protein Status</w:t>
            </w:r>
          </w:p>
        </w:tc>
        <w:tc>
          <w:tcPr>
            <w:tcW w:w="826" w:type="pct"/>
            <w:hideMark/>
          </w:tcPr>
          <w:p w14:paraId="34BB158D"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Pre-Test (f)</w:t>
            </w:r>
          </w:p>
        </w:tc>
        <w:tc>
          <w:tcPr>
            <w:tcW w:w="923" w:type="pct"/>
            <w:hideMark/>
          </w:tcPr>
          <w:p w14:paraId="0836843D"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Pre-Test (%)</w:t>
            </w:r>
          </w:p>
        </w:tc>
        <w:tc>
          <w:tcPr>
            <w:tcW w:w="877" w:type="pct"/>
            <w:hideMark/>
          </w:tcPr>
          <w:p w14:paraId="2E7BCC9D"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Post-Test (f)</w:t>
            </w:r>
          </w:p>
        </w:tc>
        <w:tc>
          <w:tcPr>
            <w:tcW w:w="974" w:type="pct"/>
            <w:hideMark/>
          </w:tcPr>
          <w:p w14:paraId="5E655C34"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Post-Test (%)</w:t>
            </w:r>
          </w:p>
        </w:tc>
      </w:tr>
      <w:tr w:rsidR="00D81433" w:rsidRPr="00077581" w14:paraId="69BAE0AD" w14:textId="77777777" w:rsidTr="00E55E15">
        <w:tc>
          <w:tcPr>
            <w:tcW w:w="1400" w:type="pct"/>
            <w:hideMark/>
          </w:tcPr>
          <w:p w14:paraId="1BE8A06C"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Positive (+)</w:t>
            </w:r>
          </w:p>
        </w:tc>
        <w:tc>
          <w:tcPr>
            <w:tcW w:w="826" w:type="pct"/>
            <w:hideMark/>
          </w:tcPr>
          <w:p w14:paraId="465F13A5"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60</w:t>
            </w:r>
          </w:p>
        </w:tc>
        <w:tc>
          <w:tcPr>
            <w:tcW w:w="923" w:type="pct"/>
            <w:hideMark/>
          </w:tcPr>
          <w:p w14:paraId="4881749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30.0%</w:t>
            </w:r>
          </w:p>
        </w:tc>
        <w:tc>
          <w:tcPr>
            <w:tcW w:w="877" w:type="pct"/>
            <w:hideMark/>
          </w:tcPr>
          <w:p w14:paraId="2961871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20</w:t>
            </w:r>
          </w:p>
        </w:tc>
        <w:tc>
          <w:tcPr>
            <w:tcW w:w="974" w:type="pct"/>
            <w:hideMark/>
          </w:tcPr>
          <w:p w14:paraId="1D8746FC"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10.0%</w:t>
            </w:r>
          </w:p>
        </w:tc>
      </w:tr>
      <w:tr w:rsidR="00D81433" w:rsidRPr="00077581" w14:paraId="3A92BCE0" w14:textId="77777777" w:rsidTr="00E55E15">
        <w:tc>
          <w:tcPr>
            <w:tcW w:w="1400" w:type="pct"/>
            <w:hideMark/>
          </w:tcPr>
          <w:p w14:paraId="414A305A"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Negative (–)</w:t>
            </w:r>
          </w:p>
        </w:tc>
        <w:tc>
          <w:tcPr>
            <w:tcW w:w="826" w:type="pct"/>
            <w:hideMark/>
          </w:tcPr>
          <w:p w14:paraId="562DCEE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140</w:t>
            </w:r>
          </w:p>
        </w:tc>
        <w:tc>
          <w:tcPr>
            <w:tcW w:w="923" w:type="pct"/>
            <w:hideMark/>
          </w:tcPr>
          <w:p w14:paraId="366838F5"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70.0%</w:t>
            </w:r>
          </w:p>
        </w:tc>
        <w:tc>
          <w:tcPr>
            <w:tcW w:w="877" w:type="pct"/>
            <w:hideMark/>
          </w:tcPr>
          <w:p w14:paraId="575DE732"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180</w:t>
            </w:r>
          </w:p>
        </w:tc>
        <w:tc>
          <w:tcPr>
            <w:tcW w:w="974" w:type="pct"/>
            <w:hideMark/>
          </w:tcPr>
          <w:p w14:paraId="487B3AFC"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90.0%</w:t>
            </w:r>
          </w:p>
        </w:tc>
      </w:tr>
    </w:tbl>
    <w:p w14:paraId="1AFE0C80" w14:textId="22D2FE83" w:rsidR="00325B52" w:rsidRPr="00077581" w:rsidRDefault="00D81433" w:rsidP="00CC5373">
      <w:pPr>
        <w:pStyle w:val="NormalWeb"/>
        <w:spacing w:before="240" w:beforeAutospacing="0" w:after="0" w:afterAutospacing="0" w:line="360" w:lineRule="auto"/>
        <w:jc w:val="both"/>
      </w:pPr>
      <w:r w:rsidRPr="00077581">
        <w:t xml:space="preserve">Medication use patterns also shifted. According to </w:t>
      </w:r>
      <w:r w:rsidRPr="00325B52">
        <w:rPr>
          <w:rStyle w:val="Strong"/>
          <w:b w:val="0"/>
          <w:bCs w:val="0"/>
        </w:rPr>
        <w:t>Table 4.16</w:t>
      </w:r>
      <w:r w:rsidRPr="00077581">
        <w:t xml:space="preserve">, the number of participants on thyroid or antihypertensive medications decreased slightly from </w:t>
      </w:r>
      <w:r w:rsidRPr="00325B52">
        <w:rPr>
          <w:rStyle w:val="Strong"/>
          <w:b w:val="0"/>
          <w:bCs w:val="0"/>
        </w:rPr>
        <w:t>80 (40.0%)</w:t>
      </w:r>
      <w:r w:rsidRPr="00077581">
        <w:t xml:space="preserve"> to </w:t>
      </w:r>
      <w:r w:rsidRPr="00325B52">
        <w:rPr>
          <w:rStyle w:val="Strong"/>
          <w:b w:val="0"/>
          <w:bCs w:val="0"/>
        </w:rPr>
        <w:t>70 (35.0%)</w:t>
      </w:r>
      <w:r w:rsidRPr="00325B52">
        <w:rPr>
          <w:b/>
          <w:bCs/>
        </w:rPr>
        <w:t xml:space="preserve">, </w:t>
      </w:r>
      <w:r w:rsidRPr="00077581">
        <w:t xml:space="preserve">while those not requiring medication increased from </w:t>
      </w:r>
      <w:r w:rsidRPr="00325B52">
        <w:rPr>
          <w:rStyle w:val="Strong"/>
          <w:b w:val="0"/>
          <w:bCs w:val="0"/>
        </w:rPr>
        <w:t>120 (60.0%)</w:t>
      </w:r>
      <w:r w:rsidRPr="00077581">
        <w:t xml:space="preserve"> to </w:t>
      </w:r>
      <w:r w:rsidRPr="00325B52">
        <w:rPr>
          <w:rStyle w:val="Strong"/>
          <w:b w:val="0"/>
          <w:bCs w:val="0"/>
        </w:rPr>
        <w:t>130 (65.0%)</w:t>
      </w:r>
      <w:r w:rsidRPr="00325B52">
        <w:t>.</w:t>
      </w:r>
      <w:r w:rsidRPr="00077581">
        <w:t xml:space="preserve"> This may indicate that lifestyle changes helped reduce the need for pharmacological intervention. </w:t>
      </w:r>
    </w:p>
    <w:p w14:paraId="18516509" w14:textId="77777777" w:rsidR="00D81433" w:rsidRPr="00077581" w:rsidRDefault="00D81433" w:rsidP="00EF0802">
      <w:pPr>
        <w:pStyle w:val="Heading3"/>
        <w:spacing w:before="0" w:after="160" w:line="360" w:lineRule="auto"/>
        <w:jc w:val="both"/>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Table 4.16. On Thyroid/BP Medication (Pre &amp; Post)</w:t>
      </w:r>
    </w:p>
    <w:tbl>
      <w:tblPr>
        <w:tblStyle w:val="TableGrid"/>
        <w:tblW w:w="5000" w:type="pct"/>
        <w:tblLook w:val="04A0" w:firstRow="1" w:lastRow="0" w:firstColumn="1" w:lastColumn="0" w:noHBand="0" w:noVBand="1"/>
      </w:tblPr>
      <w:tblGrid>
        <w:gridCol w:w="1329"/>
        <w:gridCol w:w="1580"/>
        <w:gridCol w:w="1792"/>
        <w:gridCol w:w="1692"/>
        <w:gridCol w:w="1903"/>
      </w:tblGrid>
      <w:tr w:rsidR="00D81433" w:rsidRPr="00077581" w14:paraId="34ED8597" w14:textId="77777777" w:rsidTr="00E55E15">
        <w:tc>
          <w:tcPr>
            <w:tcW w:w="779" w:type="pct"/>
            <w:hideMark/>
          </w:tcPr>
          <w:p w14:paraId="059DC1F2"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Response</w:t>
            </w:r>
          </w:p>
        </w:tc>
        <w:tc>
          <w:tcPr>
            <w:tcW w:w="926" w:type="pct"/>
            <w:hideMark/>
          </w:tcPr>
          <w:p w14:paraId="102612D2"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Pre-Test (f)</w:t>
            </w:r>
          </w:p>
        </w:tc>
        <w:tc>
          <w:tcPr>
            <w:tcW w:w="1050" w:type="pct"/>
            <w:hideMark/>
          </w:tcPr>
          <w:p w14:paraId="1FACB4B8"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Pre-Test (%)</w:t>
            </w:r>
          </w:p>
        </w:tc>
        <w:tc>
          <w:tcPr>
            <w:tcW w:w="992" w:type="pct"/>
            <w:hideMark/>
          </w:tcPr>
          <w:p w14:paraId="3F9DB3B0"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Post-Test (f)</w:t>
            </w:r>
          </w:p>
        </w:tc>
        <w:tc>
          <w:tcPr>
            <w:tcW w:w="1115" w:type="pct"/>
            <w:hideMark/>
          </w:tcPr>
          <w:p w14:paraId="20032D4C"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Post-Test (%)</w:t>
            </w:r>
          </w:p>
        </w:tc>
      </w:tr>
      <w:tr w:rsidR="00D81433" w:rsidRPr="00077581" w14:paraId="01CC0678" w14:textId="77777777" w:rsidTr="00E55E15">
        <w:tc>
          <w:tcPr>
            <w:tcW w:w="779" w:type="pct"/>
            <w:hideMark/>
          </w:tcPr>
          <w:p w14:paraId="172AC88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Yes</w:t>
            </w:r>
          </w:p>
        </w:tc>
        <w:tc>
          <w:tcPr>
            <w:tcW w:w="926" w:type="pct"/>
            <w:hideMark/>
          </w:tcPr>
          <w:p w14:paraId="5F5C82C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80</w:t>
            </w:r>
          </w:p>
        </w:tc>
        <w:tc>
          <w:tcPr>
            <w:tcW w:w="1050" w:type="pct"/>
            <w:hideMark/>
          </w:tcPr>
          <w:p w14:paraId="7B11863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40.0%</w:t>
            </w:r>
          </w:p>
        </w:tc>
        <w:tc>
          <w:tcPr>
            <w:tcW w:w="992" w:type="pct"/>
            <w:hideMark/>
          </w:tcPr>
          <w:p w14:paraId="6A571D8F"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70</w:t>
            </w:r>
          </w:p>
        </w:tc>
        <w:tc>
          <w:tcPr>
            <w:tcW w:w="1115" w:type="pct"/>
            <w:hideMark/>
          </w:tcPr>
          <w:p w14:paraId="2B15E3AC"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35.0%</w:t>
            </w:r>
          </w:p>
        </w:tc>
      </w:tr>
      <w:tr w:rsidR="00D81433" w:rsidRPr="00077581" w14:paraId="64B180CB" w14:textId="77777777" w:rsidTr="00E55E15">
        <w:tc>
          <w:tcPr>
            <w:tcW w:w="779" w:type="pct"/>
            <w:hideMark/>
          </w:tcPr>
          <w:p w14:paraId="0B20D9E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No</w:t>
            </w:r>
          </w:p>
        </w:tc>
        <w:tc>
          <w:tcPr>
            <w:tcW w:w="926" w:type="pct"/>
            <w:hideMark/>
          </w:tcPr>
          <w:p w14:paraId="065512A6"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120</w:t>
            </w:r>
          </w:p>
        </w:tc>
        <w:tc>
          <w:tcPr>
            <w:tcW w:w="1050" w:type="pct"/>
            <w:hideMark/>
          </w:tcPr>
          <w:p w14:paraId="08B92199"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60.0%</w:t>
            </w:r>
          </w:p>
        </w:tc>
        <w:tc>
          <w:tcPr>
            <w:tcW w:w="992" w:type="pct"/>
            <w:hideMark/>
          </w:tcPr>
          <w:p w14:paraId="414A90C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130</w:t>
            </w:r>
          </w:p>
        </w:tc>
        <w:tc>
          <w:tcPr>
            <w:tcW w:w="1115" w:type="pct"/>
            <w:hideMark/>
          </w:tcPr>
          <w:p w14:paraId="649FE217"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65.0%</w:t>
            </w:r>
          </w:p>
        </w:tc>
      </w:tr>
    </w:tbl>
    <w:p w14:paraId="02838B52" w14:textId="77777777" w:rsidR="00D81433" w:rsidRPr="00077581" w:rsidRDefault="00D81433" w:rsidP="00EF0802">
      <w:pPr>
        <w:pStyle w:val="NormalWeb"/>
        <w:spacing w:before="0" w:beforeAutospacing="0" w:after="160" w:afterAutospacing="0" w:line="360" w:lineRule="auto"/>
        <w:jc w:val="both"/>
      </w:pPr>
      <w:r w:rsidRPr="00077581">
        <w:lastRenderedPageBreak/>
        <w:t xml:space="preserve">Furthermore, as shown in </w:t>
      </w:r>
      <w:r w:rsidRPr="000565F2">
        <w:rPr>
          <w:rStyle w:val="Strong"/>
          <w:b w:val="0"/>
          <w:bCs w:val="0"/>
        </w:rPr>
        <w:t>Table 4.17</w:t>
      </w:r>
      <w:r w:rsidRPr="00077581">
        <w:t xml:space="preserve">, only </w:t>
      </w:r>
      <w:r w:rsidRPr="000565F2">
        <w:rPr>
          <w:rStyle w:val="Strong"/>
          <w:b w:val="0"/>
          <w:bCs w:val="0"/>
        </w:rPr>
        <w:t>25.0%</w:t>
      </w:r>
      <w:r w:rsidRPr="00077581">
        <w:t xml:space="preserve"> of participants reported a change in medication dosage post-intervention, with </w:t>
      </w:r>
      <w:r w:rsidRPr="00DC2130">
        <w:rPr>
          <w:rStyle w:val="Strong"/>
          <w:b w:val="0"/>
          <w:bCs w:val="0"/>
        </w:rPr>
        <w:t>75.0%</w:t>
      </w:r>
      <w:r w:rsidRPr="00077581">
        <w:t xml:space="preserve"> maintaining their original regimen, implying relative stability or improvement in clinical condition following the intervention.</w:t>
      </w:r>
    </w:p>
    <w:p w14:paraId="0B848290" w14:textId="77777777" w:rsidR="00D81433" w:rsidRPr="00077581" w:rsidRDefault="00D81433" w:rsidP="00EF0802">
      <w:pPr>
        <w:pStyle w:val="Heading3"/>
        <w:spacing w:before="0" w:after="160" w:line="360" w:lineRule="auto"/>
        <w:jc w:val="both"/>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Table 4.17. Any Change in Medication Dose Advised (Post-Test Only)</w:t>
      </w:r>
    </w:p>
    <w:tbl>
      <w:tblPr>
        <w:tblStyle w:val="TableGrid"/>
        <w:tblW w:w="5000" w:type="pct"/>
        <w:tblLook w:val="04A0" w:firstRow="1" w:lastRow="0" w:firstColumn="1" w:lastColumn="0" w:noHBand="0" w:noVBand="1"/>
      </w:tblPr>
      <w:tblGrid>
        <w:gridCol w:w="1528"/>
        <w:gridCol w:w="2084"/>
        <w:gridCol w:w="2343"/>
        <w:gridCol w:w="2341"/>
      </w:tblGrid>
      <w:tr w:rsidR="00EF0A62" w:rsidRPr="00077581" w14:paraId="3D70A432" w14:textId="77777777" w:rsidTr="00EF0A62">
        <w:tc>
          <w:tcPr>
            <w:tcW w:w="921" w:type="pct"/>
            <w:hideMark/>
          </w:tcPr>
          <w:p w14:paraId="75918383" w14:textId="77777777" w:rsidR="00EF0A62" w:rsidRPr="00077581" w:rsidRDefault="00EF0A62" w:rsidP="00EF0802">
            <w:pPr>
              <w:spacing w:line="360" w:lineRule="auto"/>
              <w:rPr>
                <w:rFonts w:ascii="Times New Roman" w:hAnsi="Times New Roman" w:cs="Times New Roman"/>
                <w:b/>
                <w:bCs/>
              </w:rPr>
            </w:pPr>
            <w:r w:rsidRPr="00077581">
              <w:rPr>
                <w:rStyle w:val="Strong"/>
                <w:rFonts w:ascii="Times New Roman" w:hAnsi="Times New Roman" w:cs="Times New Roman"/>
              </w:rPr>
              <w:t>Response</w:t>
            </w:r>
          </w:p>
        </w:tc>
        <w:tc>
          <w:tcPr>
            <w:tcW w:w="1256" w:type="pct"/>
            <w:hideMark/>
          </w:tcPr>
          <w:p w14:paraId="6A6F2812" w14:textId="77777777" w:rsidR="00EF0A62" w:rsidRPr="00077581" w:rsidRDefault="00EF0A62" w:rsidP="00EF0802">
            <w:pPr>
              <w:spacing w:line="360" w:lineRule="auto"/>
              <w:rPr>
                <w:rFonts w:ascii="Times New Roman" w:hAnsi="Times New Roman" w:cs="Times New Roman"/>
                <w:b/>
                <w:bCs/>
              </w:rPr>
            </w:pPr>
            <w:r w:rsidRPr="00077581">
              <w:rPr>
                <w:rStyle w:val="Strong"/>
                <w:rFonts w:ascii="Times New Roman" w:hAnsi="Times New Roman" w:cs="Times New Roman"/>
              </w:rPr>
              <w:t>Frequency (f)</w:t>
            </w:r>
          </w:p>
        </w:tc>
        <w:tc>
          <w:tcPr>
            <w:tcW w:w="1412" w:type="pct"/>
          </w:tcPr>
          <w:p w14:paraId="58F90CFD" w14:textId="77777777" w:rsidR="00EF0A62" w:rsidRPr="00077581" w:rsidRDefault="00EF0A62" w:rsidP="00EF0802">
            <w:pPr>
              <w:spacing w:line="360" w:lineRule="auto"/>
              <w:rPr>
                <w:rStyle w:val="Strong"/>
                <w:rFonts w:ascii="Times New Roman" w:hAnsi="Times New Roman" w:cs="Times New Roman"/>
              </w:rPr>
            </w:pPr>
          </w:p>
        </w:tc>
        <w:tc>
          <w:tcPr>
            <w:tcW w:w="1411" w:type="pct"/>
            <w:hideMark/>
          </w:tcPr>
          <w:p w14:paraId="45613665" w14:textId="7A02D02B" w:rsidR="00EF0A62" w:rsidRPr="00077581" w:rsidRDefault="00EF0A62" w:rsidP="00EF0802">
            <w:pPr>
              <w:spacing w:line="360" w:lineRule="auto"/>
              <w:rPr>
                <w:rFonts w:ascii="Times New Roman" w:hAnsi="Times New Roman" w:cs="Times New Roman"/>
                <w:b/>
                <w:bCs/>
              </w:rPr>
            </w:pPr>
            <w:r w:rsidRPr="00077581">
              <w:rPr>
                <w:rStyle w:val="Strong"/>
                <w:rFonts w:ascii="Times New Roman" w:hAnsi="Times New Roman" w:cs="Times New Roman"/>
              </w:rPr>
              <w:t>Percentage (%)</w:t>
            </w:r>
          </w:p>
        </w:tc>
      </w:tr>
      <w:tr w:rsidR="00EF0A62" w:rsidRPr="00077581" w14:paraId="437BB654" w14:textId="77777777" w:rsidTr="00EF0A62">
        <w:tc>
          <w:tcPr>
            <w:tcW w:w="921" w:type="pct"/>
            <w:hideMark/>
          </w:tcPr>
          <w:p w14:paraId="2557F466" w14:textId="77777777" w:rsidR="00EF0A62" w:rsidRPr="00077581" w:rsidRDefault="00EF0A62" w:rsidP="00EF0802">
            <w:pPr>
              <w:spacing w:line="360" w:lineRule="auto"/>
              <w:rPr>
                <w:rFonts w:ascii="Times New Roman" w:hAnsi="Times New Roman" w:cs="Times New Roman"/>
              </w:rPr>
            </w:pPr>
            <w:r w:rsidRPr="00077581">
              <w:rPr>
                <w:rFonts w:ascii="Times New Roman" w:hAnsi="Times New Roman" w:cs="Times New Roman"/>
              </w:rPr>
              <w:t>Yes</w:t>
            </w:r>
          </w:p>
        </w:tc>
        <w:tc>
          <w:tcPr>
            <w:tcW w:w="1256" w:type="pct"/>
            <w:hideMark/>
          </w:tcPr>
          <w:p w14:paraId="3A47A58D" w14:textId="77777777" w:rsidR="00EF0A62" w:rsidRPr="00077581" w:rsidRDefault="00EF0A62" w:rsidP="00EF0802">
            <w:pPr>
              <w:spacing w:line="360" w:lineRule="auto"/>
              <w:rPr>
                <w:rFonts w:ascii="Times New Roman" w:hAnsi="Times New Roman" w:cs="Times New Roman"/>
              </w:rPr>
            </w:pPr>
            <w:r w:rsidRPr="00077581">
              <w:rPr>
                <w:rFonts w:ascii="Times New Roman" w:hAnsi="Times New Roman" w:cs="Times New Roman"/>
              </w:rPr>
              <w:t>50</w:t>
            </w:r>
          </w:p>
        </w:tc>
        <w:tc>
          <w:tcPr>
            <w:tcW w:w="1412" w:type="pct"/>
          </w:tcPr>
          <w:p w14:paraId="32186440" w14:textId="77777777" w:rsidR="00EF0A62" w:rsidRPr="00077581" w:rsidRDefault="00EF0A62" w:rsidP="00EF0802">
            <w:pPr>
              <w:spacing w:line="360" w:lineRule="auto"/>
              <w:rPr>
                <w:rFonts w:ascii="Times New Roman" w:hAnsi="Times New Roman" w:cs="Times New Roman"/>
              </w:rPr>
            </w:pPr>
          </w:p>
        </w:tc>
        <w:tc>
          <w:tcPr>
            <w:tcW w:w="1411" w:type="pct"/>
            <w:hideMark/>
          </w:tcPr>
          <w:p w14:paraId="69A6EA69" w14:textId="65741A0D" w:rsidR="00EF0A62" w:rsidRPr="00077581" w:rsidRDefault="00EF0A62" w:rsidP="00EF0802">
            <w:pPr>
              <w:spacing w:line="360" w:lineRule="auto"/>
              <w:rPr>
                <w:rFonts w:ascii="Times New Roman" w:hAnsi="Times New Roman" w:cs="Times New Roman"/>
              </w:rPr>
            </w:pPr>
            <w:r w:rsidRPr="00077581">
              <w:rPr>
                <w:rFonts w:ascii="Times New Roman" w:hAnsi="Times New Roman" w:cs="Times New Roman"/>
              </w:rPr>
              <w:t>25.0%</w:t>
            </w:r>
          </w:p>
        </w:tc>
      </w:tr>
      <w:tr w:rsidR="00EF0A62" w:rsidRPr="00077581" w14:paraId="0C5C3F9F" w14:textId="77777777" w:rsidTr="00EF0A62">
        <w:tc>
          <w:tcPr>
            <w:tcW w:w="921" w:type="pct"/>
            <w:hideMark/>
          </w:tcPr>
          <w:p w14:paraId="7C0E9BD7" w14:textId="77777777" w:rsidR="00EF0A62" w:rsidRPr="00077581" w:rsidRDefault="00EF0A62" w:rsidP="00EF0802">
            <w:pPr>
              <w:spacing w:line="360" w:lineRule="auto"/>
              <w:rPr>
                <w:rFonts w:ascii="Times New Roman" w:hAnsi="Times New Roman" w:cs="Times New Roman"/>
              </w:rPr>
            </w:pPr>
            <w:r w:rsidRPr="00077581">
              <w:rPr>
                <w:rFonts w:ascii="Times New Roman" w:hAnsi="Times New Roman" w:cs="Times New Roman"/>
              </w:rPr>
              <w:t>No</w:t>
            </w:r>
          </w:p>
        </w:tc>
        <w:tc>
          <w:tcPr>
            <w:tcW w:w="1256" w:type="pct"/>
            <w:hideMark/>
          </w:tcPr>
          <w:p w14:paraId="577D7373" w14:textId="77777777" w:rsidR="00EF0A62" w:rsidRPr="00077581" w:rsidRDefault="00EF0A62" w:rsidP="00EF0802">
            <w:pPr>
              <w:spacing w:line="360" w:lineRule="auto"/>
              <w:rPr>
                <w:rFonts w:ascii="Times New Roman" w:hAnsi="Times New Roman" w:cs="Times New Roman"/>
              </w:rPr>
            </w:pPr>
            <w:r w:rsidRPr="00077581">
              <w:rPr>
                <w:rFonts w:ascii="Times New Roman" w:hAnsi="Times New Roman" w:cs="Times New Roman"/>
              </w:rPr>
              <w:t>150</w:t>
            </w:r>
          </w:p>
        </w:tc>
        <w:tc>
          <w:tcPr>
            <w:tcW w:w="1412" w:type="pct"/>
          </w:tcPr>
          <w:p w14:paraId="3AD80AF1" w14:textId="77777777" w:rsidR="00EF0A62" w:rsidRPr="00077581" w:rsidRDefault="00EF0A62" w:rsidP="00EF0802">
            <w:pPr>
              <w:spacing w:line="360" w:lineRule="auto"/>
              <w:rPr>
                <w:rFonts w:ascii="Times New Roman" w:hAnsi="Times New Roman" w:cs="Times New Roman"/>
              </w:rPr>
            </w:pPr>
          </w:p>
        </w:tc>
        <w:tc>
          <w:tcPr>
            <w:tcW w:w="1411" w:type="pct"/>
            <w:hideMark/>
          </w:tcPr>
          <w:p w14:paraId="02C2F5CC" w14:textId="6CCACAEE" w:rsidR="00EF0A62" w:rsidRPr="00077581" w:rsidRDefault="00EF0A62" w:rsidP="00EF0802">
            <w:pPr>
              <w:spacing w:line="360" w:lineRule="auto"/>
              <w:rPr>
                <w:rFonts w:ascii="Times New Roman" w:hAnsi="Times New Roman" w:cs="Times New Roman"/>
              </w:rPr>
            </w:pPr>
            <w:r w:rsidRPr="00077581">
              <w:rPr>
                <w:rFonts w:ascii="Times New Roman" w:hAnsi="Times New Roman" w:cs="Times New Roman"/>
              </w:rPr>
              <w:t>75.0%</w:t>
            </w:r>
          </w:p>
        </w:tc>
      </w:tr>
    </w:tbl>
    <w:p w14:paraId="6B636957" w14:textId="77777777" w:rsidR="00CC5373" w:rsidRDefault="00CC5373" w:rsidP="00EF0802">
      <w:pPr>
        <w:pStyle w:val="NormalWeb"/>
        <w:spacing w:before="0" w:beforeAutospacing="0" w:after="160" w:afterAutospacing="0" w:line="360" w:lineRule="auto"/>
        <w:jc w:val="both"/>
      </w:pPr>
    </w:p>
    <w:p w14:paraId="32BA55CF" w14:textId="30DA55E2" w:rsidR="00D81433" w:rsidRPr="00077581" w:rsidRDefault="00D81433" w:rsidP="00EF0802">
      <w:pPr>
        <w:pStyle w:val="NormalWeb"/>
        <w:spacing w:before="0" w:beforeAutospacing="0" w:after="160" w:afterAutospacing="0" w:line="360" w:lineRule="auto"/>
        <w:jc w:val="both"/>
      </w:pPr>
      <w:r w:rsidRPr="00077581">
        <w:t xml:space="preserve">In summary, the data from </w:t>
      </w:r>
      <w:r w:rsidRPr="00DC2130">
        <w:rPr>
          <w:rStyle w:val="Strong"/>
          <w:b w:val="0"/>
          <w:bCs w:val="0"/>
        </w:rPr>
        <w:t>Tables 4.14 to 4.17</w:t>
      </w:r>
      <w:r w:rsidRPr="00077581">
        <w:t xml:space="preserve"> demonstrate that the intervention yielded measurable health benefits, including better thyroid and blood pressure control, improved </w:t>
      </w:r>
      <w:proofErr w:type="spellStart"/>
      <w:r w:rsidRPr="00077581">
        <w:t>glycemic</w:t>
      </w:r>
      <w:proofErr w:type="spellEnd"/>
      <w:r w:rsidRPr="00077581">
        <w:t xml:space="preserve"> status, and reduced signs of renal distress</w:t>
      </w:r>
      <w:r w:rsidR="00CC5373">
        <w:t xml:space="preserve"> </w:t>
      </w:r>
      <w:r w:rsidR="00CC5373">
        <w:fldChar w:fldCharType="begin" w:fldLock="1"/>
      </w:r>
      <w:r w:rsidR="00CC5373">
        <w:instrText>ADDIN CSL_CITATION {"citationItems":[{"id":"ITEM-1","itemData":{"DOI":"10.1016/j.jacc.2020.08.014","ISSN":"15583597","PMID":"33004135","abstract":"Preeclampsia is a hypertensive disorder of pregnancy. It affects 2% to 8% of pregnancies worldwide and causes significant maternal and perinatal morbidity and mortality. Hypertension and proteinuria are the cornerstone of the disease, though systemic organ dysfunction may ensue. The clinical syndrome begins with abnormal placentation with subsequent release of antiangiogenic markers, mediated primarily by soluble fms-like tyrosine kinase-1 (sFlt-1) and soluble endoglin (sEng). High levels of sFlt-1 and sEng result in endothelial dysfunction, vasoconstriction, and immune dysregulation, which can negatively impact every maternal organ system and the fetus. This review comprehensively examines the pathogenesis of preeclampsia with a specific focus on the mechanisms underlying the clinical features. Delivery is the only definitive treatment. Low-dose aspirin is recommended for prophylaxis in high-risk populations. Other treatment options are limited. Additional research is needed to clarify the pathophysiology, and thus, identify potential therapeutic targets for improved treatment and, ultimately, outcomes of this prevalent disease.","author":[{"dropping-particle":"","family":"Ives","given":"Christopher W.","non-dropping-particle":"","parse-names":false,"suffix":""},{"dropping-particle":"","family":"Sinkey","given":"Rachel","non-dropping-particle":"","parse-names":false,"suffix":""},{"dropping-particle":"","family":"Rajapreyar","given":"Indranee","non-dropping-particle":"","parse-names":false,"suffix":""},{"dropping-particle":"","family":"Tita","given":"Alan T.N.","non-dropping-particle":"","parse-names":false,"suffix":""},{"dropping-particle":"","family":"Oparil","given":"Suzanne","non-dropping-particle":"","parse-names":false,"suffix":""}],"container-title":"Journal of the American College of Cardiology","id":"ITEM-1","issue":"14","issued":{"date-parts":[["2020"]]},"page":"1690-1702","title":"Preeclampsia—Pathophysiology and Clinical Presentations: JACC State-of-the-Art Review","type":"article-journal","volume":"76"},"uris":["http://www.mendeley.com/documents/?uuid=76507777-68e9-43aa-9f22-1cd924ac01b6"]},{"id":"ITEM-2","itemData":{"DOI":"10.1161/HYPERTENSIONAHA.121.17570","ISSN":"15244563","PMID":"34365809","abstract":"We evaluated the prevalence, awareness, treatment, and control of hypertension (defined as a systolic blood pressure [BP]) ≥140 mm Hg, diastolic BP ≥90 mm Hg, or a self-reported use of an antihypertensive agent) among US adults, stratified by race/ethnicity. This analysis included 16 531 nonpregnant US adults (≥18 years) in the three National Health and Nutrition Examination Survey cycles between 2013 and 2018. Race/ethnicity was defined by self-report as White, Black, Hispanic, Asian, or other Americans. Among 76 910 050 (74 449 985-79 370 115) US adults with hypertension, 48.6% (47.3%-49.8%, unadjusted) have controlled BP. When compared with BP control rates for White adults (49.0% [46.8%-51.2%], age-adjusted), BP control rates are lower in Black (39.2%, adjusted odds ratio [aOR], 0.71 [95% CI, 0.59-0.85], P&lt;0.001), Hispanic (40.0%, aOR, 0.71 [95% CI, 0.58-0.88], P=0.003), and Asian (37.8%, aOR, 0.68 [95% CI, 0.55-0.84], P=0.001) Americans. Black adults have higher hypertension prevalence (45.3% versus 31.4%, aOR, 2.24 [95% CI, 1.97-2.56], P&lt;0.001) but similar awareness and treatment rates as White adults. Hispanic adults have similar hypertension prevalence, but lower awareness (71.1% versus 79.1%, aOR, 0.72 [95% CI, 0.58-0.89], P=0.005) and treatment rates (60.5% versus 67.3%, aOR, 0.78 [95% CI, 0.66-0.94], P=0.010) than White adults. Asian adults have similar hypertension prevalence, lower awareness (72.5% versus 79.1%, aOR, 0.75 [95% CI, 0.58-0.97], P=0.038) but similar treatment rates. Black, Hispanic, and Asian Americans have different vulnerabilities in the hypertension control cascade of prevalence, awareness, treatment, and control. These differences can inform targeted public health efforts to promote health equity and reduce the burden of hypertension in the United States.","author":[{"dropping-particle":"","family":"Aggarwal","given":"Rahul","non-dropping-particle":"","parse-names":false,"suffix":""},{"dropping-particle":"","family":"Chiu","given":"Nicholas","non-dropping-particle":"","parse-names":false,"suffix":""},{"dropping-particle":"","family":"Wadhera","given":"Rishi K.","non-dropping-particle":"","parse-names":false,"suffix":""},{"dropping-particle":"","family":"Moran","given":"Andrew E.","non-dropping-particle":"","parse-names":false,"suffix":""},{"dropping-particle":"","family":"Raber","given":"Inbar","non-dropping-particle":"","parse-names":false,"suffix":""},{"dropping-particle":"","family":"Shen","given":"Changyu","non-dropping-particle":"","parse-names":false,"suffix":""},{"dropping-particle":"","family":"Yeh","given":"Robert W.","non-dropping-particle":"","parse-names":false,"suffix":""},{"dropping-particle":"","family":"Kazi","given":"Dhruv S.","non-dropping-particle":"","parse-names":false,"suffix":""}],"container-title":"Hypertension","id":"ITEM-2","issue":"6","issued":{"date-parts":[["2021"]]},"page":"1719-1726","title":"Racial/Ethnic Disparities in Hypertension Prevalence, Awareness, Treatment, and Control in the United States, 2013 to 2018","type":"article-journal","volume":"78"},"uris":["http://www.mendeley.com/documents/?uuid=f44a9fb6-4f32-453f-880b-60f1aaaffa79"]}],"mendeley":{"formattedCitation":"(Aggarwal et al., 2021; Ives et al., 2020)","plainTextFormattedCitation":"(Aggarwal et al., 2021; Ives et al., 2020)","previouslyFormattedCitation":"(Aggarwal et al., 2021; Ives et al., 2020)"},"properties":{"noteIndex":0},"schema":"https://github.com/citation-style-language/schema/raw/master/csl-citation.json"}</w:instrText>
      </w:r>
      <w:r w:rsidR="00CC5373">
        <w:fldChar w:fldCharType="separate"/>
      </w:r>
      <w:r w:rsidR="00CC5373" w:rsidRPr="00CC5373">
        <w:rPr>
          <w:noProof/>
        </w:rPr>
        <w:t>(Aggarwal et al., 2021; Ives et al., 2020)</w:t>
      </w:r>
      <w:r w:rsidR="00CC5373">
        <w:fldChar w:fldCharType="end"/>
      </w:r>
      <w:r w:rsidRPr="00077581">
        <w:t>. These outcomes reinforce the clinical relevance of integrating lifestyle education into routine antenatal care for high-risk pregnancies.</w:t>
      </w:r>
    </w:p>
    <w:p w14:paraId="4E092716" w14:textId="77777777" w:rsidR="00D81433" w:rsidRPr="00077581" w:rsidRDefault="00D81433" w:rsidP="00EF0802">
      <w:pPr>
        <w:spacing w:line="360" w:lineRule="auto"/>
        <w:jc w:val="both"/>
        <w:rPr>
          <w:rFonts w:ascii="Times New Roman" w:hAnsi="Times New Roman" w:cs="Times New Roman"/>
          <w:b/>
          <w:bCs/>
          <w:i/>
          <w:iCs/>
        </w:rPr>
      </w:pPr>
      <w:bookmarkStart w:id="3" w:name="_Hlk201922751"/>
      <w:r w:rsidRPr="00077581">
        <w:rPr>
          <w:rFonts w:ascii="Times New Roman" w:hAnsi="Times New Roman" w:cs="Times New Roman"/>
          <w:b/>
          <w:bCs/>
          <w:i/>
          <w:iCs/>
        </w:rPr>
        <w:t>Testing of Hypothesis 4 (H4): Wilcoxon Signed-Rank Test and McNemar’s Test Results on lifestyle practices of pregnant women before and after the intervention.</w:t>
      </w:r>
    </w:p>
    <w:p w14:paraId="502D6416" w14:textId="77777777" w:rsidR="00D81433" w:rsidRPr="004749E3" w:rsidRDefault="00D81433" w:rsidP="00EF0802">
      <w:pPr>
        <w:spacing w:line="360" w:lineRule="auto"/>
        <w:jc w:val="both"/>
        <w:rPr>
          <w:rFonts w:ascii="Times New Roman" w:eastAsia="Times New Roman" w:hAnsi="Times New Roman" w:cs="Times New Roman"/>
          <w:kern w:val="0"/>
          <w:lang w:eastAsia="en-IN"/>
          <w14:ligatures w14:val="none"/>
        </w:rPr>
      </w:pPr>
      <w:r w:rsidRPr="004749E3">
        <w:rPr>
          <w:rFonts w:ascii="Times New Roman" w:eastAsia="Times New Roman" w:hAnsi="Times New Roman" w:cs="Times New Roman"/>
          <w:kern w:val="0"/>
          <w:lang w:eastAsia="en-IN"/>
          <w14:ligatures w14:val="none"/>
        </w:rPr>
        <w:t xml:space="preserve">To determine </w:t>
      </w:r>
      <w:r w:rsidRPr="00CC5373">
        <w:rPr>
          <w:rFonts w:ascii="Times New Roman" w:eastAsia="Times New Roman" w:hAnsi="Times New Roman" w:cs="Times New Roman"/>
          <w:kern w:val="0"/>
          <w:lang w:eastAsia="en-IN"/>
          <w14:ligatures w14:val="none"/>
        </w:rPr>
        <w:t>whether the lifestyle education intervention had a significant impact on the prevention and management of thyroid dysfunction and hypertension among pregnant women, Hypothesis 4 was tested using a combination of statistical methods tailored to the nature of the data. These included the paired t-test for continuous variables (e.g., blood pressure, thyroid hormones), McNemar’s Test for binary clinical outcomes (e.g., medication use, proteinuria), and the Wilcoxon Signed-Rank Test for ordinal or Likert-based measures (e.</w:t>
      </w:r>
      <w:r w:rsidRPr="004749E3">
        <w:rPr>
          <w:rFonts w:ascii="Times New Roman" w:eastAsia="Times New Roman" w:hAnsi="Times New Roman" w:cs="Times New Roman"/>
          <w:kern w:val="0"/>
          <w:lang w:eastAsia="en-IN"/>
          <w14:ligatures w14:val="none"/>
        </w:rPr>
        <w:t>g., satisfaction, perceived impact).</w:t>
      </w:r>
    </w:p>
    <w:p w14:paraId="78658BD0" w14:textId="77777777" w:rsidR="00D81433" w:rsidRPr="00077581" w:rsidRDefault="00D81433" w:rsidP="00EF0802">
      <w:pPr>
        <w:spacing w:line="360" w:lineRule="auto"/>
        <w:jc w:val="both"/>
        <w:rPr>
          <w:rFonts w:ascii="Times New Roman" w:eastAsia="Times New Roman" w:hAnsi="Times New Roman" w:cs="Times New Roman"/>
          <w:kern w:val="0"/>
          <w:lang w:eastAsia="en-IN"/>
          <w14:ligatures w14:val="none"/>
        </w:rPr>
      </w:pPr>
      <w:r w:rsidRPr="004749E3">
        <w:rPr>
          <w:rFonts w:ascii="Times New Roman" w:eastAsia="Times New Roman" w:hAnsi="Times New Roman" w:cs="Times New Roman"/>
          <w:kern w:val="0"/>
          <w:lang w:eastAsia="en-IN"/>
          <w14:ligatures w14:val="none"/>
        </w:rPr>
        <w:t>The hypotheses were stated as:</w:t>
      </w:r>
    </w:p>
    <w:p w14:paraId="6AB19303" w14:textId="77777777" w:rsidR="00D81433" w:rsidRPr="00077581" w:rsidRDefault="00D81433" w:rsidP="00EF0802">
      <w:pPr>
        <w:spacing w:line="360" w:lineRule="auto"/>
        <w:jc w:val="both"/>
        <w:rPr>
          <w:rFonts w:ascii="Times New Roman" w:hAnsi="Times New Roman" w:cs="Times New Roman"/>
        </w:rPr>
      </w:pPr>
      <w:r w:rsidRPr="00077581">
        <w:rPr>
          <w:rStyle w:val="Strong"/>
          <w:rFonts w:ascii="Times New Roman" w:hAnsi="Times New Roman" w:cs="Times New Roman"/>
        </w:rPr>
        <w:t xml:space="preserve">Null Hypothesis (H01): </w:t>
      </w:r>
      <w:r w:rsidRPr="00077581">
        <w:rPr>
          <w:rFonts w:ascii="Times New Roman" w:hAnsi="Times New Roman" w:cs="Times New Roman"/>
          <w:i/>
          <w:iCs/>
        </w:rPr>
        <w:t>There is no significant impact of educating and making pregnant women aware of lifestyle modifications on the prevention of thyroid and hypertension</w:t>
      </w:r>
      <w:r w:rsidRPr="00077581">
        <w:rPr>
          <w:rFonts w:ascii="Times New Roman" w:hAnsi="Times New Roman" w:cs="Times New Roman"/>
        </w:rPr>
        <w:t>.</w:t>
      </w:r>
    </w:p>
    <w:p w14:paraId="3961BC06" w14:textId="77777777" w:rsidR="00D81433" w:rsidRPr="00077581" w:rsidRDefault="00D81433" w:rsidP="00EF0802">
      <w:pPr>
        <w:pStyle w:val="Heading4"/>
        <w:spacing w:before="0" w:after="160" w:line="360" w:lineRule="auto"/>
        <w:jc w:val="both"/>
        <w:rPr>
          <w:rFonts w:ascii="Times New Roman" w:hAnsi="Times New Roman" w:cs="Times New Roman"/>
          <w:color w:val="auto"/>
        </w:rPr>
      </w:pPr>
      <w:r w:rsidRPr="00077581">
        <w:rPr>
          <w:rStyle w:val="Strong"/>
          <w:rFonts w:ascii="Times New Roman" w:hAnsi="Times New Roman" w:cs="Times New Roman"/>
          <w:color w:val="auto"/>
        </w:rPr>
        <w:lastRenderedPageBreak/>
        <w:t xml:space="preserve">Alternate Hypothesis (H01): </w:t>
      </w:r>
      <w:r w:rsidRPr="00077581">
        <w:rPr>
          <w:rFonts w:ascii="Times New Roman" w:hAnsi="Times New Roman" w:cs="Times New Roman"/>
          <w:color w:val="auto"/>
        </w:rPr>
        <w:t>There is no significant impact of educating and making pregnant women aware of lifestyle modifications on the prevention of thyroid and hypertension.</w:t>
      </w:r>
      <w:r w:rsidRPr="00077581">
        <w:rPr>
          <w:rFonts w:ascii="Times New Roman" w:hAnsi="Times New Roman" w:cs="Times New Roman"/>
          <w:color w:val="auto"/>
        </w:rPr>
        <w:br/>
      </w:r>
      <w:bookmarkEnd w:id="3"/>
      <w:r w:rsidRPr="00077581">
        <w:rPr>
          <w:rStyle w:val="Strong"/>
          <w:rFonts w:ascii="Times New Roman" w:hAnsi="Times New Roman" w:cs="Times New Roman"/>
          <w:color w:val="auto"/>
        </w:rPr>
        <w:t>A. Clinical Outcomes – Paired t-Test (Continuous Variables)</w:t>
      </w:r>
    </w:p>
    <w:p w14:paraId="4F4BAF62" w14:textId="6F78086C" w:rsidR="00EF0802" w:rsidRPr="00CC5373" w:rsidRDefault="00D81433" w:rsidP="00CC5373">
      <w:pPr>
        <w:pStyle w:val="NormalWeb"/>
        <w:spacing w:before="0" w:beforeAutospacing="0" w:after="160" w:afterAutospacing="0" w:line="360" w:lineRule="auto"/>
        <w:jc w:val="both"/>
        <w:rPr>
          <w:rStyle w:val="Strong"/>
          <w:b w:val="0"/>
          <w:bCs w:val="0"/>
        </w:rPr>
      </w:pPr>
      <w:r w:rsidRPr="00077581">
        <w:t xml:space="preserve">As reported in </w:t>
      </w:r>
      <w:r w:rsidRPr="00BB71C2">
        <w:rPr>
          <w:rStyle w:val="Strong"/>
          <w:b w:val="0"/>
          <w:bCs w:val="0"/>
        </w:rPr>
        <w:t>Table 4.18</w:t>
      </w:r>
      <w:r w:rsidRPr="00077581">
        <w:t xml:space="preserve">, all clinical parameters showed statistically significant improvements post-intervention. For instance, </w:t>
      </w:r>
      <w:r w:rsidRPr="00BB71C2">
        <w:rPr>
          <w:rStyle w:val="Strong"/>
          <w:b w:val="0"/>
          <w:bCs w:val="0"/>
        </w:rPr>
        <w:t>TSH</w:t>
      </w:r>
      <w:r w:rsidRPr="00077581">
        <w:rPr>
          <w:rStyle w:val="Strong"/>
        </w:rPr>
        <w:t xml:space="preserve"> </w:t>
      </w:r>
      <w:r w:rsidRPr="00BB71C2">
        <w:rPr>
          <w:rStyle w:val="Strong"/>
          <w:b w:val="0"/>
          <w:bCs w:val="0"/>
        </w:rPr>
        <w:t>levels</w:t>
      </w:r>
      <w:r w:rsidRPr="00077581">
        <w:t xml:space="preserve"> decreased from </w:t>
      </w:r>
      <w:r w:rsidRPr="00BB71C2">
        <w:rPr>
          <w:rStyle w:val="Strong"/>
          <w:b w:val="0"/>
          <w:bCs w:val="0"/>
        </w:rPr>
        <w:t xml:space="preserve">4.85 ± 2.00 </w:t>
      </w:r>
      <w:proofErr w:type="spellStart"/>
      <w:r w:rsidRPr="00BB71C2">
        <w:rPr>
          <w:rStyle w:val="Strong"/>
          <w:b w:val="0"/>
          <w:bCs w:val="0"/>
        </w:rPr>
        <w:t>mIU</w:t>
      </w:r>
      <w:proofErr w:type="spellEnd"/>
      <w:r w:rsidRPr="00BB71C2">
        <w:rPr>
          <w:rStyle w:val="Strong"/>
          <w:b w:val="0"/>
          <w:bCs w:val="0"/>
        </w:rPr>
        <w:t>/L</w:t>
      </w:r>
      <w:r w:rsidRPr="00077581">
        <w:t xml:space="preserve"> to </w:t>
      </w:r>
      <w:r w:rsidRPr="00BB71C2">
        <w:rPr>
          <w:rStyle w:val="Strong"/>
          <w:b w:val="0"/>
          <w:bCs w:val="0"/>
        </w:rPr>
        <w:t xml:space="preserve">2.77 ± 1.47 </w:t>
      </w:r>
      <w:proofErr w:type="spellStart"/>
      <w:r w:rsidRPr="00BB71C2">
        <w:rPr>
          <w:rStyle w:val="Strong"/>
          <w:b w:val="0"/>
          <w:bCs w:val="0"/>
        </w:rPr>
        <w:t>mIU</w:t>
      </w:r>
      <w:proofErr w:type="spellEnd"/>
      <w:r w:rsidRPr="00BB71C2">
        <w:rPr>
          <w:rStyle w:val="Strong"/>
          <w:b w:val="0"/>
          <w:bCs w:val="0"/>
        </w:rPr>
        <w:t>/L</w:t>
      </w:r>
      <w:r w:rsidRPr="00BB71C2">
        <w:t>,</w:t>
      </w:r>
      <w:r w:rsidRPr="00077581">
        <w:t xml:space="preserve"> with a </w:t>
      </w:r>
      <w:r w:rsidRPr="00BB71C2">
        <w:rPr>
          <w:rStyle w:val="Strong"/>
          <w:b w:val="0"/>
          <w:bCs w:val="0"/>
        </w:rPr>
        <w:t>t-value of 11.29</w:t>
      </w:r>
      <w:r w:rsidRPr="00077581">
        <w:t xml:space="preserve"> and </w:t>
      </w:r>
      <w:r w:rsidRPr="00BB71C2">
        <w:rPr>
          <w:rStyle w:val="Strong"/>
          <w:b w:val="0"/>
          <w:bCs w:val="0"/>
        </w:rPr>
        <w:t>p &lt; 0.0001</w:t>
      </w:r>
      <w:r w:rsidRPr="00077581">
        <w:t xml:space="preserve">. Similarly, </w:t>
      </w:r>
      <w:r w:rsidRPr="00BB71C2">
        <w:rPr>
          <w:rStyle w:val="Strong"/>
          <w:b w:val="0"/>
          <w:bCs w:val="0"/>
        </w:rPr>
        <w:t>Free T4 and Free T3 levels</w:t>
      </w:r>
      <w:r w:rsidRPr="00077581">
        <w:t xml:space="preserve"> increased significantly (p &lt; 0.0001), suggesting better thyroid function regulation. Blood pressure values also improved, with </w:t>
      </w:r>
      <w:r w:rsidRPr="00BB71C2">
        <w:rPr>
          <w:rStyle w:val="Strong"/>
          <w:b w:val="0"/>
          <w:bCs w:val="0"/>
        </w:rPr>
        <w:t>systolic BP</w:t>
      </w:r>
      <w:r w:rsidRPr="00077581">
        <w:t xml:space="preserve"> dropping from </w:t>
      </w:r>
      <w:r w:rsidRPr="00BB71C2">
        <w:rPr>
          <w:rStyle w:val="Strong"/>
          <w:b w:val="0"/>
          <w:bCs w:val="0"/>
        </w:rPr>
        <w:t>131.65 to 120.04 mmHg</w:t>
      </w:r>
      <w:r w:rsidRPr="00077581">
        <w:t xml:space="preserve"> and </w:t>
      </w:r>
      <w:r w:rsidRPr="00BB71C2">
        <w:rPr>
          <w:rStyle w:val="Strong"/>
          <w:b w:val="0"/>
          <w:bCs w:val="0"/>
        </w:rPr>
        <w:t>diastolic BP</w:t>
      </w:r>
      <w:r w:rsidRPr="00077581">
        <w:t xml:space="preserve"> from </w:t>
      </w:r>
      <w:r w:rsidRPr="00BB71C2">
        <w:rPr>
          <w:rStyle w:val="Strong"/>
          <w:b w:val="0"/>
          <w:bCs w:val="0"/>
        </w:rPr>
        <w:t>84.94 to 77.97 mmHg</w:t>
      </w:r>
      <w:r w:rsidRPr="00BB71C2">
        <w:rPr>
          <w:b/>
          <w:bCs/>
        </w:rPr>
        <w:t>,</w:t>
      </w:r>
      <w:r w:rsidRPr="00077581">
        <w:t xml:space="preserve"> both showing highly significant t-values (13.65 and 12.34, respectively). Blood glucose levels, both fasting and random, decreased significantly as well, supporting improved </w:t>
      </w:r>
      <w:proofErr w:type="spellStart"/>
      <w:r w:rsidRPr="00077581">
        <w:t>glycemic</w:t>
      </w:r>
      <w:proofErr w:type="spellEnd"/>
      <w:r w:rsidRPr="00077581">
        <w:t xml:space="preserve"> control. These findings confirm a clinically meaningful impact of the intervention on physiological health indicators</w:t>
      </w:r>
      <w:r w:rsidR="00CC5373">
        <w:t xml:space="preserve"> </w:t>
      </w:r>
      <w:r w:rsidR="00CC5373">
        <w:fldChar w:fldCharType="begin" w:fldLock="1"/>
      </w:r>
      <w:r w:rsidR="00CC5373">
        <w:instrText>ADDIN CSL_CITATION {"citationItems":[{"id":"ITEM-1","itemData":{"DOI":"10.1080/14767058.2019.1686474","ISSN":"14764954","PMID":"31736380","abstract":"Background: Preeclampsia is a pregnancy disorder that increases the risk of prenatal and maternal complications. Therefore, prevention of preeclampsia requires identifying its preventable risk factors such as dietary patterns. Objective: This study aimed to investigate the relationship between the major dietary patterns and preeclampsia. Study design: In this case–control study, the dietary patterns of a total of 510 pregnant women were investigated. Data on their dietary intake, sociodemographics, and daily physical activity levels were collected using a 198 item semi-quantitative food frequency questionnaire, a sociodemographic questionnaire, and a physical activity questionnaire, respectively. To identify the major dietary patterns and to model the relationship between dietary patterns and preeclampsia, factor analysis and unconditional logistic regression were employed, respectively. The three major dietary patterns identified were as follows: healthy dietary pattern (i.e. high in fruits, low-fat dairy, dried fruits, nuts, vegetables, fruit juice, liquid oil, and tomatoes), western dietary pattern (i.e. high in red meat, processed meat, fried potatoes, and pickles), and Iranian traditional dietary pattern (i.e. high in eggs, potatoes, and legumes). Results: After adjustment for confounding factors, we found that with an increase in the healthy dietary pattern score, the odds of preeclampsia were reduced to 87.5% (OR = 0.125, 95%CI: 0.070–0.221, p &lt;.001); with an increase in the western dietary pattern score, the odds of preeclampsia were increased 5.99 times (OR = 5.99, 95%CI: 3.414–10.53, p &lt;.001); and with an increase in the Iranian traditional dietary pattern score, the odds of preeclampsia were reduced to 81.7% (OR = 0.183, 95%CI: 0.109–0.308, p &lt;.001). Conclusion: The findings showed that the western dietary pattern had a direct relationship and the healthy and Iranian traditional patterns had a reverse relationship with preeclampsia.","author":[{"dropping-particle":"","family":"Abbasi","given":"Reza","non-dropping-particle":"","parse-names":false,"suffix":""},{"dropping-particle":"","family":"Bakhshimoghaddam","given":"Farnush","non-dropping-particle":"","parse-names":false,"suffix":""},{"dropping-particle":"","family":"Alizadeh","given":"Mohammad","non-dropping-particle":"","parse-names":false,"suffix":""}],"container-title":"Journal of Maternal-Fetal and Neonatal Medicine","id":"ITEM-1","issue":"21","issued":{"date-parts":[["2021"]]},"page":"3529-3536","publisher":"Taylor &amp; Francis","title":"Major dietary patterns in relation to preeclampsia among Iranian pregnant women: a case–control study","type":"article-journal","volume":"34"},"uris":["http://www.mendeley.com/documents/?uuid=ba084fcb-bc71-4c22-8fa6-a1965164620d"]}],"mendeley":{"formattedCitation":"(Abbasi et al., 2021)","plainTextFormattedCitation":"(Abbasi et al., 2021)","previouslyFormattedCitation":"(Abbasi et al., 2021)"},"properties":{"noteIndex":0},"schema":"https://github.com/citation-style-language/schema/raw/master/csl-citation.json"}</w:instrText>
      </w:r>
      <w:r w:rsidR="00CC5373">
        <w:fldChar w:fldCharType="separate"/>
      </w:r>
      <w:r w:rsidR="00CC5373" w:rsidRPr="00CC5373">
        <w:rPr>
          <w:noProof/>
        </w:rPr>
        <w:t>(Abbasi et al., 2021)</w:t>
      </w:r>
      <w:r w:rsidR="00CC5373">
        <w:fldChar w:fldCharType="end"/>
      </w:r>
      <w:r w:rsidRPr="00077581">
        <w:t>.</w:t>
      </w:r>
    </w:p>
    <w:p w14:paraId="6FA834EE" w14:textId="666BC404" w:rsidR="00D81433" w:rsidRPr="00077581" w:rsidRDefault="00D81433" w:rsidP="00EF0802">
      <w:pPr>
        <w:pStyle w:val="Heading3"/>
        <w:spacing w:before="0" w:after="160" w:line="360" w:lineRule="auto"/>
        <w:jc w:val="both"/>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Table 4.18. Paired t-Test Results (Continuous Clinical Parameters)</w:t>
      </w:r>
    </w:p>
    <w:tbl>
      <w:tblPr>
        <w:tblStyle w:val="TableGrid"/>
        <w:tblW w:w="0" w:type="auto"/>
        <w:tblLook w:val="04A0" w:firstRow="1" w:lastRow="0" w:firstColumn="1" w:lastColumn="0" w:noHBand="0" w:noVBand="1"/>
      </w:tblPr>
      <w:tblGrid>
        <w:gridCol w:w="1973"/>
        <w:gridCol w:w="1472"/>
        <w:gridCol w:w="1527"/>
        <w:gridCol w:w="869"/>
        <w:gridCol w:w="1012"/>
        <w:gridCol w:w="1443"/>
      </w:tblGrid>
      <w:tr w:rsidR="00D81433" w:rsidRPr="00077581" w14:paraId="33DE3055" w14:textId="77777777" w:rsidTr="00E55E15">
        <w:tc>
          <w:tcPr>
            <w:tcW w:w="0" w:type="auto"/>
            <w:hideMark/>
          </w:tcPr>
          <w:p w14:paraId="23038539"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Parameter</w:t>
            </w:r>
          </w:p>
        </w:tc>
        <w:tc>
          <w:tcPr>
            <w:tcW w:w="0" w:type="auto"/>
            <w:hideMark/>
          </w:tcPr>
          <w:p w14:paraId="591AB1CC"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Pre Mean ± SD</w:t>
            </w:r>
          </w:p>
        </w:tc>
        <w:tc>
          <w:tcPr>
            <w:tcW w:w="0" w:type="auto"/>
            <w:hideMark/>
          </w:tcPr>
          <w:p w14:paraId="7023D3FF"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Post Mean ± SD</w:t>
            </w:r>
          </w:p>
        </w:tc>
        <w:tc>
          <w:tcPr>
            <w:tcW w:w="0" w:type="auto"/>
            <w:hideMark/>
          </w:tcPr>
          <w:p w14:paraId="2988C544"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t-value</w:t>
            </w:r>
          </w:p>
        </w:tc>
        <w:tc>
          <w:tcPr>
            <w:tcW w:w="0" w:type="auto"/>
            <w:hideMark/>
          </w:tcPr>
          <w:p w14:paraId="7F047D45"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p-value</w:t>
            </w:r>
          </w:p>
        </w:tc>
        <w:tc>
          <w:tcPr>
            <w:tcW w:w="0" w:type="auto"/>
            <w:hideMark/>
          </w:tcPr>
          <w:p w14:paraId="6A46A96A"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Significant?</w:t>
            </w:r>
          </w:p>
        </w:tc>
      </w:tr>
      <w:tr w:rsidR="00D81433" w:rsidRPr="00077581" w14:paraId="3FD350B2" w14:textId="77777777" w:rsidTr="00E55E15">
        <w:tc>
          <w:tcPr>
            <w:tcW w:w="0" w:type="auto"/>
            <w:hideMark/>
          </w:tcPr>
          <w:p w14:paraId="6DF10B23"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TSH (</w:t>
            </w:r>
            <w:proofErr w:type="spellStart"/>
            <w:r w:rsidRPr="00077581">
              <w:rPr>
                <w:rFonts w:ascii="Times New Roman" w:hAnsi="Times New Roman" w:cs="Times New Roman"/>
              </w:rPr>
              <w:t>mIU</w:t>
            </w:r>
            <w:proofErr w:type="spellEnd"/>
            <w:r w:rsidRPr="00077581">
              <w:rPr>
                <w:rFonts w:ascii="Times New Roman" w:hAnsi="Times New Roman" w:cs="Times New Roman"/>
              </w:rPr>
              <w:t>/L)</w:t>
            </w:r>
          </w:p>
        </w:tc>
        <w:tc>
          <w:tcPr>
            <w:tcW w:w="0" w:type="auto"/>
            <w:hideMark/>
          </w:tcPr>
          <w:p w14:paraId="53452AE2"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4.85 ± 2.00</w:t>
            </w:r>
          </w:p>
        </w:tc>
        <w:tc>
          <w:tcPr>
            <w:tcW w:w="0" w:type="auto"/>
            <w:hideMark/>
          </w:tcPr>
          <w:p w14:paraId="1F8B12F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2.77 ± 1.47</w:t>
            </w:r>
          </w:p>
        </w:tc>
        <w:tc>
          <w:tcPr>
            <w:tcW w:w="0" w:type="auto"/>
            <w:hideMark/>
          </w:tcPr>
          <w:p w14:paraId="35637907"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11.29</w:t>
            </w:r>
          </w:p>
        </w:tc>
        <w:tc>
          <w:tcPr>
            <w:tcW w:w="0" w:type="auto"/>
            <w:hideMark/>
          </w:tcPr>
          <w:p w14:paraId="4426DF9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&lt;0.0001</w:t>
            </w:r>
          </w:p>
        </w:tc>
        <w:tc>
          <w:tcPr>
            <w:tcW w:w="0" w:type="auto"/>
            <w:hideMark/>
          </w:tcPr>
          <w:p w14:paraId="225C0909"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Yes</w:t>
            </w:r>
          </w:p>
        </w:tc>
      </w:tr>
      <w:tr w:rsidR="00D81433" w:rsidRPr="00077581" w14:paraId="28245E27" w14:textId="77777777" w:rsidTr="00E55E15">
        <w:tc>
          <w:tcPr>
            <w:tcW w:w="0" w:type="auto"/>
            <w:hideMark/>
          </w:tcPr>
          <w:p w14:paraId="28CB9FDF"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Free T4 (ng/dL)</w:t>
            </w:r>
          </w:p>
        </w:tc>
        <w:tc>
          <w:tcPr>
            <w:tcW w:w="0" w:type="auto"/>
            <w:hideMark/>
          </w:tcPr>
          <w:p w14:paraId="26C0F45F"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0.90 ± 0.30</w:t>
            </w:r>
          </w:p>
        </w:tc>
        <w:tc>
          <w:tcPr>
            <w:tcW w:w="0" w:type="auto"/>
            <w:hideMark/>
          </w:tcPr>
          <w:p w14:paraId="536BA97E"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1.21 ± 0.20</w:t>
            </w:r>
          </w:p>
        </w:tc>
        <w:tc>
          <w:tcPr>
            <w:tcW w:w="0" w:type="auto"/>
            <w:hideMark/>
          </w:tcPr>
          <w:p w14:paraId="64521D77"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-13.52</w:t>
            </w:r>
          </w:p>
        </w:tc>
        <w:tc>
          <w:tcPr>
            <w:tcW w:w="0" w:type="auto"/>
            <w:hideMark/>
          </w:tcPr>
          <w:p w14:paraId="3D413E2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&lt;0.0001</w:t>
            </w:r>
          </w:p>
        </w:tc>
        <w:tc>
          <w:tcPr>
            <w:tcW w:w="0" w:type="auto"/>
            <w:hideMark/>
          </w:tcPr>
          <w:p w14:paraId="0AF9B1B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Yes</w:t>
            </w:r>
          </w:p>
        </w:tc>
      </w:tr>
      <w:tr w:rsidR="00D81433" w:rsidRPr="00077581" w14:paraId="211317FA" w14:textId="77777777" w:rsidTr="00E55E15">
        <w:tc>
          <w:tcPr>
            <w:tcW w:w="0" w:type="auto"/>
            <w:hideMark/>
          </w:tcPr>
          <w:p w14:paraId="163CC46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Free T3 (</w:t>
            </w:r>
            <w:proofErr w:type="spellStart"/>
            <w:r w:rsidRPr="00077581">
              <w:rPr>
                <w:rFonts w:ascii="Times New Roman" w:hAnsi="Times New Roman" w:cs="Times New Roman"/>
              </w:rPr>
              <w:t>pg</w:t>
            </w:r>
            <w:proofErr w:type="spellEnd"/>
            <w:r w:rsidRPr="00077581">
              <w:rPr>
                <w:rFonts w:ascii="Times New Roman" w:hAnsi="Times New Roman" w:cs="Times New Roman"/>
              </w:rPr>
              <w:t>/mL)</w:t>
            </w:r>
          </w:p>
        </w:tc>
        <w:tc>
          <w:tcPr>
            <w:tcW w:w="0" w:type="auto"/>
            <w:hideMark/>
          </w:tcPr>
          <w:p w14:paraId="3446784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2.27 ± 0.60</w:t>
            </w:r>
          </w:p>
        </w:tc>
        <w:tc>
          <w:tcPr>
            <w:tcW w:w="0" w:type="auto"/>
            <w:hideMark/>
          </w:tcPr>
          <w:p w14:paraId="0E81411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2.79 ± 0.50</w:t>
            </w:r>
          </w:p>
        </w:tc>
        <w:tc>
          <w:tcPr>
            <w:tcW w:w="0" w:type="auto"/>
            <w:hideMark/>
          </w:tcPr>
          <w:p w14:paraId="0FAAEE85"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-13.61</w:t>
            </w:r>
          </w:p>
        </w:tc>
        <w:tc>
          <w:tcPr>
            <w:tcW w:w="0" w:type="auto"/>
            <w:hideMark/>
          </w:tcPr>
          <w:p w14:paraId="2B8D0BA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&lt;0.0001</w:t>
            </w:r>
          </w:p>
        </w:tc>
        <w:tc>
          <w:tcPr>
            <w:tcW w:w="0" w:type="auto"/>
            <w:hideMark/>
          </w:tcPr>
          <w:p w14:paraId="5D04ED5E"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Yes</w:t>
            </w:r>
          </w:p>
        </w:tc>
      </w:tr>
      <w:tr w:rsidR="00D81433" w:rsidRPr="00077581" w14:paraId="1EA5ED27" w14:textId="77777777" w:rsidTr="00E55E15">
        <w:tc>
          <w:tcPr>
            <w:tcW w:w="0" w:type="auto"/>
            <w:hideMark/>
          </w:tcPr>
          <w:p w14:paraId="748B89B7"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Systolic BP (mmHg)</w:t>
            </w:r>
          </w:p>
        </w:tc>
        <w:tc>
          <w:tcPr>
            <w:tcW w:w="0" w:type="auto"/>
            <w:hideMark/>
          </w:tcPr>
          <w:p w14:paraId="282F1EA7"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131.65 ± 14.71</w:t>
            </w:r>
          </w:p>
        </w:tc>
        <w:tc>
          <w:tcPr>
            <w:tcW w:w="0" w:type="auto"/>
            <w:hideMark/>
          </w:tcPr>
          <w:p w14:paraId="32B7B92C"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120.04 ± 11.98</w:t>
            </w:r>
          </w:p>
        </w:tc>
        <w:tc>
          <w:tcPr>
            <w:tcW w:w="0" w:type="auto"/>
            <w:hideMark/>
          </w:tcPr>
          <w:p w14:paraId="4D4791EB"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13.65</w:t>
            </w:r>
          </w:p>
        </w:tc>
        <w:tc>
          <w:tcPr>
            <w:tcW w:w="0" w:type="auto"/>
            <w:hideMark/>
          </w:tcPr>
          <w:p w14:paraId="4DB5C26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&lt;0.0001</w:t>
            </w:r>
          </w:p>
        </w:tc>
        <w:tc>
          <w:tcPr>
            <w:tcW w:w="0" w:type="auto"/>
            <w:hideMark/>
          </w:tcPr>
          <w:p w14:paraId="50EFE80C"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Yes</w:t>
            </w:r>
          </w:p>
        </w:tc>
      </w:tr>
      <w:tr w:rsidR="00D81433" w:rsidRPr="00077581" w14:paraId="3BB2FFBE" w14:textId="77777777" w:rsidTr="00E55E15">
        <w:tc>
          <w:tcPr>
            <w:tcW w:w="0" w:type="auto"/>
            <w:hideMark/>
          </w:tcPr>
          <w:p w14:paraId="5E87AE02"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Diastolic BP (mmHg)</w:t>
            </w:r>
          </w:p>
        </w:tc>
        <w:tc>
          <w:tcPr>
            <w:tcW w:w="0" w:type="auto"/>
            <w:hideMark/>
          </w:tcPr>
          <w:p w14:paraId="162B6F73"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84.94 ± 9.63</w:t>
            </w:r>
          </w:p>
        </w:tc>
        <w:tc>
          <w:tcPr>
            <w:tcW w:w="0" w:type="auto"/>
            <w:hideMark/>
          </w:tcPr>
          <w:p w14:paraId="1B5F57C3"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77.97 ± 9.14</w:t>
            </w:r>
          </w:p>
        </w:tc>
        <w:tc>
          <w:tcPr>
            <w:tcW w:w="0" w:type="auto"/>
            <w:hideMark/>
          </w:tcPr>
          <w:p w14:paraId="33B6842B"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12.34</w:t>
            </w:r>
          </w:p>
        </w:tc>
        <w:tc>
          <w:tcPr>
            <w:tcW w:w="0" w:type="auto"/>
            <w:hideMark/>
          </w:tcPr>
          <w:p w14:paraId="7BF94587"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&lt;0.0001</w:t>
            </w:r>
          </w:p>
        </w:tc>
        <w:tc>
          <w:tcPr>
            <w:tcW w:w="0" w:type="auto"/>
            <w:hideMark/>
          </w:tcPr>
          <w:p w14:paraId="24ED391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Yes</w:t>
            </w:r>
          </w:p>
        </w:tc>
      </w:tr>
      <w:tr w:rsidR="00D81433" w:rsidRPr="00077581" w14:paraId="70ADC0B9" w14:textId="77777777" w:rsidTr="00E55E15">
        <w:tc>
          <w:tcPr>
            <w:tcW w:w="0" w:type="auto"/>
            <w:hideMark/>
          </w:tcPr>
          <w:p w14:paraId="5D09E933"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Fasting Blood Sugar</w:t>
            </w:r>
          </w:p>
        </w:tc>
        <w:tc>
          <w:tcPr>
            <w:tcW w:w="0" w:type="auto"/>
            <w:hideMark/>
          </w:tcPr>
          <w:p w14:paraId="604426D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102.58 ± 17.44</w:t>
            </w:r>
          </w:p>
        </w:tc>
        <w:tc>
          <w:tcPr>
            <w:tcW w:w="0" w:type="auto"/>
            <w:hideMark/>
          </w:tcPr>
          <w:p w14:paraId="3191D8DF"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91.47 ± 15.09</w:t>
            </w:r>
          </w:p>
        </w:tc>
        <w:tc>
          <w:tcPr>
            <w:tcW w:w="0" w:type="auto"/>
            <w:hideMark/>
          </w:tcPr>
          <w:p w14:paraId="4339BEA6"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10.96</w:t>
            </w:r>
          </w:p>
        </w:tc>
        <w:tc>
          <w:tcPr>
            <w:tcW w:w="0" w:type="auto"/>
            <w:hideMark/>
          </w:tcPr>
          <w:p w14:paraId="1953C5C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&lt;0.0001</w:t>
            </w:r>
          </w:p>
        </w:tc>
        <w:tc>
          <w:tcPr>
            <w:tcW w:w="0" w:type="auto"/>
            <w:hideMark/>
          </w:tcPr>
          <w:p w14:paraId="3DD6B36A"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Yes</w:t>
            </w:r>
          </w:p>
        </w:tc>
      </w:tr>
      <w:tr w:rsidR="00D81433" w:rsidRPr="00077581" w14:paraId="4A61A245" w14:textId="77777777" w:rsidTr="00E55E15">
        <w:tc>
          <w:tcPr>
            <w:tcW w:w="0" w:type="auto"/>
            <w:hideMark/>
          </w:tcPr>
          <w:p w14:paraId="54C7638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Random Blood Sugar</w:t>
            </w:r>
          </w:p>
        </w:tc>
        <w:tc>
          <w:tcPr>
            <w:tcW w:w="0" w:type="auto"/>
            <w:hideMark/>
          </w:tcPr>
          <w:p w14:paraId="004228A9"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145.44 ± 25.43</w:t>
            </w:r>
          </w:p>
        </w:tc>
        <w:tc>
          <w:tcPr>
            <w:tcW w:w="0" w:type="auto"/>
            <w:hideMark/>
          </w:tcPr>
          <w:p w14:paraId="051E7D1E"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129.94 ± 21.64</w:t>
            </w:r>
          </w:p>
        </w:tc>
        <w:tc>
          <w:tcPr>
            <w:tcW w:w="0" w:type="auto"/>
            <w:hideMark/>
          </w:tcPr>
          <w:p w14:paraId="7DB29155"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12.10</w:t>
            </w:r>
          </w:p>
        </w:tc>
        <w:tc>
          <w:tcPr>
            <w:tcW w:w="0" w:type="auto"/>
            <w:hideMark/>
          </w:tcPr>
          <w:p w14:paraId="467E634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&lt;0.0001</w:t>
            </w:r>
          </w:p>
        </w:tc>
        <w:tc>
          <w:tcPr>
            <w:tcW w:w="0" w:type="auto"/>
            <w:hideMark/>
          </w:tcPr>
          <w:p w14:paraId="79B25B33"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Yes</w:t>
            </w:r>
          </w:p>
        </w:tc>
      </w:tr>
    </w:tbl>
    <w:p w14:paraId="1E9B1CE4" w14:textId="77777777" w:rsidR="00D81433" w:rsidRPr="00077581" w:rsidRDefault="00D81433" w:rsidP="00EF0802">
      <w:pPr>
        <w:spacing w:line="360" w:lineRule="auto"/>
        <w:jc w:val="both"/>
        <w:rPr>
          <w:rStyle w:val="Strong"/>
          <w:rFonts w:ascii="Times New Roman" w:hAnsi="Times New Roman" w:cs="Times New Roman"/>
          <w:b w:val="0"/>
          <w:bCs w:val="0"/>
        </w:rPr>
      </w:pPr>
    </w:p>
    <w:p w14:paraId="3FB018EA" w14:textId="77777777" w:rsidR="00D81433" w:rsidRPr="00077581" w:rsidRDefault="00D81433" w:rsidP="00EF0802">
      <w:pPr>
        <w:pStyle w:val="Heading4"/>
        <w:spacing w:before="0" w:after="160" w:line="360" w:lineRule="auto"/>
        <w:jc w:val="both"/>
        <w:rPr>
          <w:rFonts w:ascii="Times New Roman" w:hAnsi="Times New Roman" w:cs="Times New Roman"/>
          <w:color w:val="auto"/>
        </w:rPr>
      </w:pPr>
      <w:r w:rsidRPr="00077581">
        <w:rPr>
          <w:rStyle w:val="Strong"/>
          <w:rFonts w:ascii="Times New Roman" w:hAnsi="Times New Roman" w:cs="Times New Roman"/>
          <w:color w:val="auto"/>
        </w:rPr>
        <w:lastRenderedPageBreak/>
        <w:t>B. Binary Outcomes – McNemar’s Test</w:t>
      </w:r>
    </w:p>
    <w:p w14:paraId="61B8AACA" w14:textId="77777777" w:rsidR="00D81433" w:rsidRPr="00077581" w:rsidRDefault="00D81433" w:rsidP="00EF0802">
      <w:pPr>
        <w:pStyle w:val="NormalWeb"/>
        <w:spacing w:before="0" w:beforeAutospacing="0" w:after="160" w:afterAutospacing="0" w:line="360" w:lineRule="auto"/>
        <w:jc w:val="both"/>
        <w:rPr>
          <w:rStyle w:val="Strong"/>
          <w:b w:val="0"/>
          <w:bCs w:val="0"/>
        </w:rPr>
      </w:pPr>
      <w:r w:rsidRPr="00077581">
        <w:t xml:space="preserve">Binary clinical variables were assessed using </w:t>
      </w:r>
      <w:r w:rsidRPr="00267064">
        <w:rPr>
          <w:rStyle w:val="Strong"/>
          <w:b w:val="0"/>
          <w:bCs w:val="0"/>
        </w:rPr>
        <w:t>McNemar’s Test</w:t>
      </w:r>
      <w:r w:rsidRPr="00077581">
        <w:t xml:space="preserve">, as shown in </w:t>
      </w:r>
      <w:r w:rsidRPr="00267064">
        <w:rPr>
          <w:rStyle w:val="Strong"/>
          <w:b w:val="0"/>
          <w:bCs w:val="0"/>
        </w:rPr>
        <w:t>Table</w:t>
      </w:r>
      <w:r w:rsidRPr="00077581">
        <w:rPr>
          <w:rStyle w:val="Strong"/>
        </w:rPr>
        <w:t xml:space="preserve"> </w:t>
      </w:r>
      <w:r w:rsidRPr="00267064">
        <w:rPr>
          <w:rStyle w:val="Strong"/>
          <w:b w:val="0"/>
          <w:bCs w:val="0"/>
        </w:rPr>
        <w:t>4.19</w:t>
      </w:r>
      <w:r w:rsidRPr="00077581">
        <w:t xml:space="preserve">. There was a significant reduction in the number of participants with </w:t>
      </w:r>
      <w:r w:rsidRPr="00267064">
        <w:rPr>
          <w:rStyle w:val="Strong"/>
          <w:b w:val="0"/>
          <w:bCs w:val="0"/>
        </w:rPr>
        <w:t>positive urine protein</w:t>
      </w:r>
      <w:r w:rsidRPr="00077581">
        <w:t xml:space="preserve"> results. Specifically, 42 participants transitioned from positive to negative status, while only 2 shifted from negative to positive, yielding a </w:t>
      </w:r>
      <w:r w:rsidRPr="00267064">
        <w:rPr>
          <w:rStyle w:val="Strong"/>
          <w:b w:val="0"/>
          <w:bCs w:val="0"/>
        </w:rPr>
        <w:t>Chi² of 35.28 and p &lt; 0.0001</w:t>
      </w:r>
      <w:r w:rsidRPr="00077581">
        <w:t xml:space="preserve">, indicating a significant improvement in renal function markers. Furthermore, a modest but statistically significant shift was observed in </w:t>
      </w:r>
      <w:r w:rsidRPr="00267064">
        <w:rPr>
          <w:rStyle w:val="Strong"/>
          <w:b w:val="0"/>
          <w:bCs w:val="0"/>
        </w:rPr>
        <w:t>medication use</w:t>
      </w:r>
      <w:r w:rsidRPr="00077581">
        <w:t>, where 20 participants discontinued medications and only 10 initiated new use post-intervention (</w:t>
      </w:r>
      <w:r w:rsidRPr="00267064">
        <w:rPr>
          <w:rStyle w:val="Strong"/>
          <w:b w:val="0"/>
          <w:bCs w:val="0"/>
        </w:rPr>
        <w:t>Chi² = 6.67, p = 0.0098</w:t>
      </w:r>
      <w:r w:rsidRPr="00077581">
        <w:t>). This suggests that for many, lifestyle improvements may have reduced the need for pharmacological management.</w:t>
      </w:r>
    </w:p>
    <w:p w14:paraId="047CE2CD" w14:textId="77777777" w:rsidR="00D81433" w:rsidRPr="00077581" w:rsidRDefault="00D81433" w:rsidP="00EF0802">
      <w:pPr>
        <w:spacing w:line="360" w:lineRule="auto"/>
        <w:jc w:val="both"/>
        <w:rPr>
          <w:rFonts w:ascii="Times New Roman" w:hAnsi="Times New Roman" w:cs="Times New Roman"/>
        </w:rPr>
      </w:pPr>
      <w:r w:rsidRPr="00077581">
        <w:rPr>
          <w:rStyle w:val="Strong"/>
          <w:rFonts w:ascii="Times New Roman" w:hAnsi="Times New Roman" w:cs="Times New Roman"/>
        </w:rPr>
        <w:t>Table 4.19. McNemar’s Test Results (Binary Clinical Parameters)</w:t>
      </w:r>
    </w:p>
    <w:tbl>
      <w:tblPr>
        <w:tblStyle w:val="TableGrid"/>
        <w:tblW w:w="0" w:type="auto"/>
        <w:tblLook w:val="04A0" w:firstRow="1" w:lastRow="0" w:firstColumn="1" w:lastColumn="0" w:noHBand="0" w:noVBand="1"/>
      </w:tblPr>
      <w:tblGrid>
        <w:gridCol w:w="1498"/>
        <w:gridCol w:w="3587"/>
        <w:gridCol w:w="756"/>
        <w:gridCol w:w="1012"/>
        <w:gridCol w:w="1443"/>
      </w:tblGrid>
      <w:tr w:rsidR="00D81433" w:rsidRPr="00077581" w14:paraId="1A541A0F" w14:textId="77777777" w:rsidTr="00E55E15">
        <w:tc>
          <w:tcPr>
            <w:tcW w:w="0" w:type="auto"/>
            <w:hideMark/>
          </w:tcPr>
          <w:p w14:paraId="461576AA"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Variable</w:t>
            </w:r>
          </w:p>
        </w:tc>
        <w:tc>
          <w:tcPr>
            <w:tcW w:w="0" w:type="auto"/>
            <w:hideMark/>
          </w:tcPr>
          <w:p w14:paraId="40762755"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Pre → Post Categories</w:t>
            </w:r>
          </w:p>
        </w:tc>
        <w:tc>
          <w:tcPr>
            <w:tcW w:w="0" w:type="auto"/>
            <w:hideMark/>
          </w:tcPr>
          <w:p w14:paraId="0FCFBDFA"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Chi²</w:t>
            </w:r>
          </w:p>
        </w:tc>
        <w:tc>
          <w:tcPr>
            <w:tcW w:w="0" w:type="auto"/>
            <w:hideMark/>
          </w:tcPr>
          <w:p w14:paraId="2FB7C7FC"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p-value</w:t>
            </w:r>
          </w:p>
        </w:tc>
        <w:tc>
          <w:tcPr>
            <w:tcW w:w="0" w:type="auto"/>
            <w:hideMark/>
          </w:tcPr>
          <w:p w14:paraId="387FCFCF"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Significant?</w:t>
            </w:r>
          </w:p>
        </w:tc>
      </w:tr>
      <w:tr w:rsidR="00D81433" w:rsidRPr="00077581" w14:paraId="558F3BD3" w14:textId="77777777" w:rsidTr="00E55E15">
        <w:tc>
          <w:tcPr>
            <w:tcW w:w="0" w:type="auto"/>
            <w:hideMark/>
          </w:tcPr>
          <w:p w14:paraId="27786D7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Urine Protein</w:t>
            </w:r>
          </w:p>
        </w:tc>
        <w:tc>
          <w:tcPr>
            <w:tcW w:w="0" w:type="auto"/>
            <w:hideMark/>
          </w:tcPr>
          <w:p w14:paraId="520C5B07"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 → +, + → –, – → +, – → –] = [18, 42, 2, 138]</w:t>
            </w:r>
          </w:p>
        </w:tc>
        <w:tc>
          <w:tcPr>
            <w:tcW w:w="0" w:type="auto"/>
            <w:hideMark/>
          </w:tcPr>
          <w:p w14:paraId="3F0CEB7E"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35.28</w:t>
            </w:r>
          </w:p>
        </w:tc>
        <w:tc>
          <w:tcPr>
            <w:tcW w:w="0" w:type="auto"/>
            <w:hideMark/>
          </w:tcPr>
          <w:p w14:paraId="6DB3135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&lt;0.0001</w:t>
            </w:r>
          </w:p>
        </w:tc>
        <w:tc>
          <w:tcPr>
            <w:tcW w:w="0" w:type="auto"/>
            <w:hideMark/>
          </w:tcPr>
          <w:p w14:paraId="09F9F74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Yes</w:t>
            </w:r>
          </w:p>
        </w:tc>
      </w:tr>
      <w:tr w:rsidR="00D81433" w:rsidRPr="00077581" w14:paraId="10EBB6E0" w14:textId="77777777" w:rsidTr="00E55E15">
        <w:tc>
          <w:tcPr>
            <w:tcW w:w="0" w:type="auto"/>
            <w:hideMark/>
          </w:tcPr>
          <w:p w14:paraId="72F6E4DE"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Medication Use</w:t>
            </w:r>
          </w:p>
        </w:tc>
        <w:tc>
          <w:tcPr>
            <w:tcW w:w="0" w:type="auto"/>
            <w:hideMark/>
          </w:tcPr>
          <w:p w14:paraId="04B702FA"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 xml:space="preserve">[Yes → Yes, </w:t>
            </w:r>
            <w:proofErr w:type="gramStart"/>
            <w:r w:rsidRPr="00077581">
              <w:rPr>
                <w:rFonts w:ascii="Times New Roman" w:hAnsi="Times New Roman" w:cs="Times New Roman"/>
              </w:rPr>
              <w:t>Yes</w:t>
            </w:r>
            <w:proofErr w:type="gramEnd"/>
            <w:r w:rsidRPr="00077581">
              <w:rPr>
                <w:rFonts w:ascii="Times New Roman" w:hAnsi="Times New Roman" w:cs="Times New Roman"/>
              </w:rPr>
              <w:t xml:space="preserve"> → No, No → Yes, No → No] = [60, 20, 10, 110]</w:t>
            </w:r>
          </w:p>
        </w:tc>
        <w:tc>
          <w:tcPr>
            <w:tcW w:w="0" w:type="auto"/>
            <w:hideMark/>
          </w:tcPr>
          <w:p w14:paraId="7BF9DAB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6.67</w:t>
            </w:r>
          </w:p>
        </w:tc>
        <w:tc>
          <w:tcPr>
            <w:tcW w:w="0" w:type="auto"/>
            <w:hideMark/>
          </w:tcPr>
          <w:p w14:paraId="3B4819D6"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0.0098</w:t>
            </w:r>
          </w:p>
        </w:tc>
        <w:tc>
          <w:tcPr>
            <w:tcW w:w="0" w:type="auto"/>
            <w:hideMark/>
          </w:tcPr>
          <w:p w14:paraId="5813F6B1"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Yes</w:t>
            </w:r>
          </w:p>
        </w:tc>
      </w:tr>
    </w:tbl>
    <w:p w14:paraId="4373724A" w14:textId="77777777" w:rsidR="00CC5373" w:rsidRDefault="00CC5373" w:rsidP="00EF0802">
      <w:pPr>
        <w:pStyle w:val="Heading4"/>
        <w:spacing w:before="0" w:after="160" w:line="360" w:lineRule="auto"/>
        <w:rPr>
          <w:rStyle w:val="Strong"/>
          <w:rFonts w:ascii="Times New Roman" w:hAnsi="Times New Roman" w:cs="Times New Roman"/>
          <w:color w:val="auto"/>
        </w:rPr>
      </w:pPr>
    </w:p>
    <w:p w14:paraId="727B4BBE" w14:textId="1DE3B3BF" w:rsidR="00D81433" w:rsidRPr="00077581" w:rsidRDefault="00D81433" w:rsidP="00EF0802">
      <w:pPr>
        <w:pStyle w:val="Heading4"/>
        <w:spacing w:before="0" w:after="160" w:line="360" w:lineRule="auto"/>
        <w:rPr>
          <w:rFonts w:ascii="Times New Roman" w:hAnsi="Times New Roman" w:cs="Times New Roman"/>
          <w:color w:val="auto"/>
        </w:rPr>
      </w:pPr>
      <w:r w:rsidRPr="00077581">
        <w:rPr>
          <w:rStyle w:val="Strong"/>
          <w:rFonts w:ascii="Times New Roman" w:hAnsi="Times New Roman" w:cs="Times New Roman"/>
          <w:color w:val="auto"/>
        </w:rPr>
        <w:t>C. Ordinal Responses – Wilcoxon Signed-Rank Test</w:t>
      </w:r>
    </w:p>
    <w:p w14:paraId="7F15AEA2" w14:textId="25414F84" w:rsidR="00D81433" w:rsidRPr="00077581" w:rsidRDefault="00D81433" w:rsidP="00EF0802">
      <w:pPr>
        <w:pStyle w:val="NormalWeb"/>
        <w:spacing w:before="0" w:beforeAutospacing="0" w:after="160" w:afterAutospacing="0" w:line="360" w:lineRule="auto"/>
        <w:jc w:val="both"/>
      </w:pPr>
      <w:r w:rsidRPr="00077581">
        <w:t xml:space="preserve">Subjective outcomes, including satisfaction and perceived impact of lifestyle changes, were </w:t>
      </w:r>
      <w:proofErr w:type="spellStart"/>
      <w:r w:rsidRPr="00077581">
        <w:t>analyzed</w:t>
      </w:r>
      <w:proofErr w:type="spellEnd"/>
      <w:r w:rsidRPr="00077581">
        <w:t xml:space="preserve"> using the </w:t>
      </w:r>
      <w:r w:rsidRPr="00267064">
        <w:rPr>
          <w:rStyle w:val="Strong"/>
          <w:b w:val="0"/>
          <w:bCs w:val="0"/>
        </w:rPr>
        <w:t>Wilcoxon Signed-Rank Test</w:t>
      </w:r>
      <w:r w:rsidRPr="00267064">
        <w:t>.</w:t>
      </w:r>
      <w:r w:rsidRPr="00267064">
        <w:rPr>
          <w:b/>
          <w:bCs/>
        </w:rPr>
        <w:t xml:space="preserve"> </w:t>
      </w:r>
      <w:r w:rsidRPr="00267064">
        <w:t>As shown in</w:t>
      </w:r>
      <w:r w:rsidRPr="00267064">
        <w:rPr>
          <w:b/>
          <w:bCs/>
        </w:rPr>
        <w:t xml:space="preserve"> </w:t>
      </w:r>
      <w:r w:rsidRPr="00267064">
        <w:rPr>
          <w:rStyle w:val="Strong"/>
          <w:b w:val="0"/>
          <w:bCs w:val="0"/>
        </w:rPr>
        <w:t>Table 4.20</w:t>
      </w:r>
      <w:r w:rsidRPr="00267064">
        <w:t>,</w:t>
      </w:r>
      <w:r w:rsidRPr="00077581">
        <w:t xml:space="preserve"> satisfaction scores significantly increased post-intervention </w:t>
      </w:r>
      <w:r w:rsidRPr="00267064">
        <w:rPr>
          <w:b/>
          <w:bCs/>
        </w:rPr>
        <w:t>(</w:t>
      </w:r>
      <w:r w:rsidRPr="00267064">
        <w:rPr>
          <w:rStyle w:val="Strong"/>
          <w:b w:val="0"/>
          <w:bCs w:val="0"/>
        </w:rPr>
        <w:t>Z = -9.21, p &lt; 0.001</w:t>
      </w:r>
      <w:r w:rsidRPr="00267064">
        <w:t>),</w:t>
      </w:r>
      <w:r w:rsidRPr="00077581">
        <w:t xml:space="preserve"> reflecting high participant approval of the program’s content and delivery. Similarly, participants reported a significant shift in their perceived understanding and application of lifestyle principles, with a </w:t>
      </w:r>
      <w:r w:rsidRPr="00926510">
        <w:rPr>
          <w:rStyle w:val="Strong"/>
          <w:b w:val="0"/>
          <w:bCs w:val="0"/>
        </w:rPr>
        <w:t>Z-value of -8.75 (p &lt; 0.001)</w:t>
      </w:r>
      <w:r w:rsidRPr="00077581">
        <w:t xml:space="preserve"> for perceived lifestyle impact. These results demonstrate not only </w:t>
      </w:r>
      <w:proofErr w:type="spellStart"/>
      <w:r w:rsidRPr="00077581">
        <w:t>behavioral</w:t>
      </w:r>
      <w:proofErr w:type="spellEnd"/>
      <w:r w:rsidRPr="00077581">
        <w:t xml:space="preserve"> and clinical improvements but also a positive psychological and attitudinal shift resulting from the intervention</w:t>
      </w:r>
      <w:r w:rsidR="00CC5373">
        <w:t xml:space="preserve"> </w:t>
      </w:r>
      <w:r w:rsidR="00CC5373">
        <w:fldChar w:fldCharType="begin" w:fldLock="1"/>
      </w:r>
      <w:r w:rsidR="00CC5373">
        <w:instrText>ADDIN CSL_CITATION {"citationItems":[{"id":"ITEM-1","itemData":{"DOI":"10.1080/14767058.2019.1572737","ISSN":"14764954","PMID":"30704316","abstract":"Preeclampsia is a multisystemic disorder which accounts for the high prevalence of maternal and perinatal morbidity and mortality, especially in middle and low-income countries. Currently, the primary intervention is the urgent delivery of the fetus, hence it would be advantageous to identify those who are likely to develop preeclampsia and the maternal and fetal outcomes. However, an array of risk factors makes these challenging. This review explores the potentials of liver biomarkers in predicting the occurrence and outcome of preeclampsia, which could be beneficial in reducing the burden of the disease. Liver dysfunction in preeclampsia results in a severe condition, hence liver function tests are specific predictors of outcome.","author":[{"dropping-particle":"","family":"Alese","given":"Margaret Olutayo","non-dropping-particle":"","parse-names":false,"suffix":""},{"dropping-particle":"","family":"Moodley","given":"Jagidesa","non-dropping-particle":"","parse-names":false,"suffix":""},{"dropping-particle":"","family":"Naicker","given":"Thajasvarie","non-dropping-particle":"","parse-names":false,"suffix":""}],"container-title":"Journal of Maternal-Fetal and Neonatal Medicine","id":"ITEM-1","issue":"1","issued":{"date-parts":[["2021"]]},"page":"117-123","publisher":"Taylor &amp; Francis","title":"Preeclampsia and HELLP syndrome, the role of the liver","type":"article-journal","volume":"34"},"uris":["http://www.mendeley.com/documents/?uuid=df8cf962-3b0f-4eb6-981e-8a8dd0bafcb4"]}],"mendeley":{"formattedCitation":"(Alese et al., 2021)","plainTextFormattedCitation":"(Alese et al., 2021)","previouslyFormattedCitation":"(Alese et al., 2021)"},"properties":{"noteIndex":0},"schema":"https://github.com/citation-style-language/schema/raw/master/csl-citation.json"}</w:instrText>
      </w:r>
      <w:r w:rsidR="00CC5373">
        <w:fldChar w:fldCharType="separate"/>
      </w:r>
      <w:r w:rsidR="00CC5373" w:rsidRPr="00CC5373">
        <w:rPr>
          <w:noProof/>
        </w:rPr>
        <w:t>(Alese et al., 2021)</w:t>
      </w:r>
      <w:r w:rsidR="00CC5373">
        <w:fldChar w:fldCharType="end"/>
      </w:r>
      <w:r w:rsidRPr="00077581">
        <w:t>.</w:t>
      </w:r>
    </w:p>
    <w:p w14:paraId="7DD96B5E" w14:textId="77777777" w:rsidR="00D81433" w:rsidRPr="00077581" w:rsidRDefault="00D81433" w:rsidP="00EF0802">
      <w:pPr>
        <w:pStyle w:val="Heading3"/>
        <w:spacing w:before="0" w:after="160" w:line="360" w:lineRule="auto"/>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Table 4.20. Wilcoxon Signed-Rank Test (Ordinal Measures)</w:t>
      </w:r>
    </w:p>
    <w:tbl>
      <w:tblPr>
        <w:tblStyle w:val="TableGrid"/>
        <w:tblW w:w="5000" w:type="pct"/>
        <w:tblLook w:val="04A0" w:firstRow="1" w:lastRow="0" w:firstColumn="1" w:lastColumn="0" w:noHBand="0" w:noVBand="1"/>
      </w:tblPr>
      <w:tblGrid>
        <w:gridCol w:w="2897"/>
        <w:gridCol w:w="1037"/>
        <w:gridCol w:w="1010"/>
        <w:gridCol w:w="3352"/>
      </w:tblGrid>
      <w:tr w:rsidR="00D81433" w:rsidRPr="00077581" w14:paraId="70B67C9D" w14:textId="77777777" w:rsidTr="00E55E15">
        <w:tc>
          <w:tcPr>
            <w:tcW w:w="1746" w:type="pct"/>
            <w:hideMark/>
          </w:tcPr>
          <w:p w14:paraId="18F8F25B"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Measure</w:t>
            </w:r>
          </w:p>
        </w:tc>
        <w:tc>
          <w:tcPr>
            <w:tcW w:w="625" w:type="pct"/>
            <w:hideMark/>
          </w:tcPr>
          <w:p w14:paraId="2176549E"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Z-value</w:t>
            </w:r>
          </w:p>
        </w:tc>
        <w:tc>
          <w:tcPr>
            <w:tcW w:w="609" w:type="pct"/>
            <w:hideMark/>
          </w:tcPr>
          <w:p w14:paraId="5398F6C8"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p-value</w:t>
            </w:r>
          </w:p>
        </w:tc>
        <w:tc>
          <w:tcPr>
            <w:tcW w:w="2021" w:type="pct"/>
            <w:hideMark/>
          </w:tcPr>
          <w:p w14:paraId="2E403824" w14:textId="77777777" w:rsidR="00D81433" w:rsidRPr="00077581" w:rsidRDefault="00D81433" w:rsidP="00EF0802">
            <w:pPr>
              <w:spacing w:line="360" w:lineRule="auto"/>
              <w:jc w:val="center"/>
              <w:rPr>
                <w:rFonts w:ascii="Times New Roman" w:hAnsi="Times New Roman" w:cs="Times New Roman"/>
                <w:b/>
                <w:bCs/>
              </w:rPr>
            </w:pPr>
            <w:r w:rsidRPr="00077581">
              <w:rPr>
                <w:rStyle w:val="Strong"/>
                <w:rFonts w:ascii="Times New Roman" w:hAnsi="Times New Roman" w:cs="Times New Roman"/>
              </w:rPr>
              <w:t>Interpretation</w:t>
            </w:r>
          </w:p>
        </w:tc>
      </w:tr>
      <w:tr w:rsidR="00D81433" w:rsidRPr="00077581" w14:paraId="4B0AD49B" w14:textId="77777777" w:rsidTr="00E55E15">
        <w:tc>
          <w:tcPr>
            <w:tcW w:w="1746" w:type="pct"/>
            <w:hideMark/>
          </w:tcPr>
          <w:p w14:paraId="23D79470"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Satisfaction Score</w:t>
            </w:r>
          </w:p>
        </w:tc>
        <w:tc>
          <w:tcPr>
            <w:tcW w:w="625" w:type="pct"/>
            <w:hideMark/>
          </w:tcPr>
          <w:p w14:paraId="20665AD7"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-9.21</w:t>
            </w:r>
          </w:p>
        </w:tc>
        <w:tc>
          <w:tcPr>
            <w:tcW w:w="609" w:type="pct"/>
            <w:hideMark/>
          </w:tcPr>
          <w:p w14:paraId="11B7AEE5"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&lt;0.001</w:t>
            </w:r>
          </w:p>
        </w:tc>
        <w:tc>
          <w:tcPr>
            <w:tcW w:w="2021" w:type="pct"/>
            <w:hideMark/>
          </w:tcPr>
          <w:p w14:paraId="4EBD30ED"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Post-scores significantly higher</w:t>
            </w:r>
          </w:p>
        </w:tc>
      </w:tr>
      <w:tr w:rsidR="00D81433" w:rsidRPr="00077581" w14:paraId="36D2F2A6" w14:textId="77777777" w:rsidTr="00E55E15">
        <w:tc>
          <w:tcPr>
            <w:tcW w:w="1746" w:type="pct"/>
            <w:hideMark/>
          </w:tcPr>
          <w:p w14:paraId="798B1659"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lastRenderedPageBreak/>
              <w:t>Perceived Lifestyle Impact</w:t>
            </w:r>
          </w:p>
        </w:tc>
        <w:tc>
          <w:tcPr>
            <w:tcW w:w="625" w:type="pct"/>
            <w:hideMark/>
          </w:tcPr>
          <w:p w14:paraId="67E53E94"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-8.75</w:t>
            </w:r>
          </w:p>
        </w:tc>
        <w:tc>
          <w:tcPr>
            <w:tcW w:w="609" w:type="pct"/>
            <w:hideMark/>
          </w:tcPr>
          <w:p w14:paraId="609EA37B"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&lt;0.001</w:t>
            </w:r>
          </w:p>
        </w:tc>
        <w:tc>
          <w:tcPr>
            <w:tcW w:w="2021" w:type="pct"/>
            <w:hideMark/>
          </w:tcPr>
          <w:p w14:paraId="40F29F38" w14:textId="77777777" w:rsidR="00D81433" w:rsidRPr="00077581" w:rsidRDefault="00D81433" w:rsidP="00EF0802">
            <w:pPr>
              <w:spacing w:line="360" w:lineRule="auto"/>
              <w:rPr>
                <w:rFonts w:ascii="Times New Roman" w:hAnsi="Times New Roman" w:cs="Times New Roman"/>
              </w:rPr>
            </w:pPr>
            <w:r w:rsidRPr="00077581">
              <w:rPr>
                <w:rFonts w:ascii="Times New Roman" w:hAnsi="Times New Roman" w:cs="Times New Roman"/>
              </w:rPr>
              <w:t>Strong post-intervention shift</w:t>
            </w:r>
          </w:p>
        </w:tc>
      </w:tr>
    </w:tbl>
    <w:p w14:paraId="55B392D6" w14:textId="77777777" w:rsidR="00D81433" w:rsidRPr="00077581" w:rsidRDefault="00D81433" w:rsidP="00EF0802">
      <w:pPr>
        <w:spacing w:line="360" w:lineRule="auto"/>
        <w:jc w:val="both"/>
        <w:rPr>
          <w:rFonts w:ascii="Times New Roman" w:hAnsi="Times New Roman" w:cs="Times New Roman"/>
        </w:rPr>
      </w:pPr>
    </w:p>
    <w:p w14:paraId="6514EEFC" w14:textId="77777777" w:rsidR="00D81433" w:rsidRPr="004749E3" w:rsidRDefault="00D81433" w:rsidP="00EF0802">
      <w:pPr>
        <w:spacing w:line="360" w:lineRule="auto"/>
        <w:jc w:val="both"/>
        <w:rPr>
          <w:rFonts w:ascii="Times New Roman" w:eastAsia="Times New Roman" w:hAnsi="Times New Roman" w:cs="Times New Roman"/>
          <w:kern w:val="0"/>
          <w:lang w:eastAsia="en-IN"/>
          <w14:ligatures w14:val="none"/>
        </w:rPr>
      </w:pPr>
      <w:r w:rsidRPr="004749E3">
        <w:rPr>
          <w:rFonts w:ascii="Times New Roman" w:eastAsia="Times New Roman" w:hAnsi="Times New Roman" w:cs="Times New Roman"/>
          <w:kern w:val="0"/>
          <w:lang w:eastAsia="en-IN"/>
          <w14:ligatures w14:val="none"/>
        </w:rPr>
        <w:t xml:space="preserve">The combined findings from </w:t>
      </w:r>
      <w:r w:rsidRPr="00CB757E">
        <w:rPr>
          <w:rFonts w:ascii="Times New Roman" w:eastAsia="Times New Roman" w:hAnsi="Times New Roman" w:cs="Times New Roman"/>
          <w:kern w:val="0"/>
          <w:lang w:eastAsia="en-IN"/>
          <w14:ligatures w14:val="none"/>
        </w:rPr>
        <w:t>Tables 4.18, 4.19, and 4.20</w:t>
      </w:r>
      <w:r w:rsidRPr="004749E3">
        <w:rPr>
          <w:rFonts w:ascii="Times New Roman" w:eastAsia="Times New Roman" w:hAnsi="Times New Roman" w:cs="Times New Roman"/>
          <w:kern w:val="0"/>
          <w:lang w:eastAsia="en-IN"/>
          <w14:ligatures w14:val="none"/>
        </w:rPr>
        <w:t xml:space="preserve"> offer robust statistical evidence to </w:t>
      </w:r>
      <w:r w:rsidRPr="00CB757E">
        <w:rPr>
          <w:rFonts w:ascii="Times New Roman" w:eastAsia="Times New Roman" w:hAnsi="Times New Roman" w:cs="Times New Roman"/>
          <w:kern w:val="0"/>
          <w:lang w:eastAsia="en-IN"/>
          <w14:ligatures w14:val="none"/>
        </w:rPr>
        <w:t>reject the null hypothesis (H₀₄)</w:t>
      </w:r>
      <w:r w:rsidRPr="004749E3">
        <w:rPr>
          <w:rFonts w:ascii="Times New Roman" w:eastAsia="Times New Roman" w:hAnsi="Times New Roman" w:cs="Times New Roman"/>
          <w:kern w:val="0"/>
          <w:lang w:eastAsia="en-IN"/>
          <w14:ligatures w14:val="none"/>
        </w:rPr>
        <w:t xml:space="preserve"> and accept the </w:t>
      </w:r>
      <w:r w:rsidRPr="00CB757E">
        <w:rPr>
          <w:rFonts w:ascii="Times New Roman" w:eastAsia="Times New Roman" w:hAnsi="Times New Roman" w:cs="Times New Roman"/>
          <w:kern w:val="0"/>
          <w:lang w:eastAsia="en-IN"/>
          <w14:ligatures w14:val="none"/>
        </w:rPr>
        <w:t>alternate hypothesis (H₁₄)</w:t>
      </w:r>
      <w:r w:rsidRPr="004749E3">
        <w:rPr>
          <w:rFonts w:ascii="Times New Roman" w:eastAsia="Times New Roman" w:hAnsi="Times New Roman" w:cs="Times New Roman"/>
          <w:kern w:val="0"/>
          <w:lang w:eastAsia="en-IN"/>
          <w14:ligatures w14:val="none"/>
        </w:rPr>
        <w:t xml:space="preserve">. The lifestyle education intervention had a statistically and clinically significant impact on both </w:t>
      </w:r>
      <w:r w:rsidRPr="00CB757E">
        <w:rPr>
          <w:rFonts w:ascii="Times New Roman" w:eastAsia="Times New Roman" w:hAnsi="Times New Roman" w:cs="Times New Roman"/>
          <w:kern w:val="0"/>
          <w:lang w:eastAsia="en-IN"/>
          <w14:ligatures w14:val="none"/>
        </w:rPr>
        <w:t>objective health indicators</w:t>
      </w:r>
      <w:r w:rsidRPr="004749E3">
        <w:rPr>
          <w:rFonts w:ascii="Times New Roman" w:eastAsia="Times New Roman" w:hAnsi="Times New Roman" w:cs="Times New Roman"/>
          <w:kern w:val="0"/>
          <w:lang w:eastAsia="en-IN"/>
          <w14:ligatures w14:val="none"/>
        </w:rPr>
        <w:t xml:space="preserve"> (e.g., TSH, BP, glucose, proteinuria) and </w:t>
      </w:r>
      <w:r w:rsidRPr="00CB757E">
        <w:rPr>
          <w:rFonts w:ascii="Times New Roman" w:eastAsia="Times New Roman" w:hAnsi="Times New Roman" w:cs="Times New Roman"/>
          <w:kern w:val="0"/>
          <w:lang w:eastAsia="en-IN"/>
          <w14:ligatures w14:val="none"/>
        </w:rPr>
        <w:t>subjective outcomes</w:t>
      </w:r>
      <w:r w:rsidRPr="004749E3">
        <w:rPr>
          <w:rFonts w:ascii="Times New Roman" w:eastAsia="Times New Roman" w:hAnsi="Times New Roman" w:cs="Times New Roman"/>
          <w:kern w:val="0"/>
          <w:lang w:eastAsia="en-IN"/>
          <w14:ligatures w14:val="none"/>
        </w:rPr>
        <w:t xml:space="preserve"> (e.g., satisfaction, lifestyle perception). These results confirm the effectiveness of the program in supporting the prevention and management of thyroid and hypertension disorders during pregnancy through education and </w:t>
      </w:r>
      <w:proofErr w:type="spellStart"/>
      <w:r w:rsidRPr="004749E3">
        <w:rPr>
          <w:rFonts w:ascii="Times New Roman" w:eastAsia="Times New Roman" w:hAnsi="Times New Roman" w:cs="Times New Roman"/>
          <w:kern w:val="0"/>
          <w:lang w:eastAsia="en-IN"/>
          <w14:ligatures w14:val="none"/>
        </w:rPr>
        <w:t>behavioral</w:t>
      </w:r>
      <w:proofErr w:type="spellEnd"/>
      <w:r w:rsidRPr="004749E3">
        <w:rPr>
          <w:rFonts w:ascii="Times New Roman" w:eastAsia="Times New Roman" w:hAnsi="Times New Roman" w:cs="Times New Roman"/>
          <w:kern w:val="0"/>
          <w:lang w:eastAsia="en-IN"/>
          <w14:ligatures w14:val="none"/>
        </w:rPr>
        <w:t xml:space="preserve"> change.</w:t>
      </w:r>
    </w:p>
    <w:p w14:paraId="6F21322E" w14:textId="77777777" w:rsidR="00D81433" w:rsidRPr="00077581" w:rsidRDefault="00D81433" w:rsidP="00EF0802">
      <w:pPr>
        <w:spacing w:line="360" w:lineRule="auto"/>
        <w:jc w:val="both"/>
        <w:rPr>
          <w:rFonts w:ascii="Times New Roman" w:hAnsi="Times New Roman" w:cs="Times New Roman"/>
        </w:rPr>
      </w:pPr>
    </w:p>
    <w:p w14:paraId="678EF97B" w14:textId="77777777" w:rsidR="00D81433" w:rsidRPr="00077581" w:rsidRDefault="00D81433" w:rsidP="00EF0802">
      <w:pPr>
        <w:pStyle w:val="Heading3"/>
        <w:spacing w:before="0" w:after="160" w:line="360" w:lineRule="auto"/>
        <w:jc w:val="both"/>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4.7 Medical Outcomes and Monitoring (Post-Test Only)</w:t>
      </w:r>
    </w:p>
    <w:p w14:paraId="7305DDBD" w14:textId="77777777" w:rsidR="00D81433" w:rsidRPr="00077581" w:rsidRDefault="00D81433" w:rsidP="00EF0802">
      <w:pPr>
        <w:pStyle w:val="NormalWeb"/>
        <w:spacing w:before="0" w:beforeAutospacing="0" w:after="160" w:afterAutospacing="0" w:line="360" w:lineRule="auto"/>
        <w:jc w:val="both"/>
      </w:pPr>
      <w:r w:rsidRPr="00077581">
        <w:t xml:space="preserve">To understand the self-reported health progress of participants following the lifestyle intervention, several post-test questions focused on </w:t>
      </w:r>
      <w:r w:rsidRPr="00CB757E">
        <w:rPr>
          <w:rStyle w:val="Strong"/>
          <w:b w:val="0"/>
          <w:bCs w:val="0"/>
        </w:rPr>
        <w:t xml:space="preserve">medical outcomes and monitoring </w:t>
      </w:r>
      <w:proofErr w:type="spellStart"/>
      <w:r w:rsidRPr="00CB757E">
        <w:rPr>
          <w:rStyle w:val="Strong"/>
          <w:b w:val="0"/>
          <w:bCs w:val="0"/>
        </w:rPr>
        <w:t>behaviors</w:t>
      </w:r>
      <w:proofErr w:type="spellEnd"/>
      <w:r w:rsidRPr="00077581">
        <w:t>. These findings offer additional insight into the perceived effectiveness of the program from the participants’ perspectives and their engagement in follow-up care practices.</w:t>
      </w:r>
    </w:p>
    <w:p w14:paraId="431897BE" w14:textId="77777777" w:rsidR="00D81433" w:rsidRPr="00077581" w:rsidRDefault="00D81433" w:rsidP="00EF0802">
      <w:pPr>
        <w:pStyle w:val="NormalWeb"/>
        <w:spacing w:before="0" w:beforeAutospacing="0" w:after="160" w:afterAutospacing="0" w:line="360" w:lineRule="auto"/>
        <w:jc w:val="both"/>
      </w:pPr>
      <w:r w:rsidRPr="00077581">
        <w:t xml:space="preserve">As illustrated in </w:t>
      </w:r>
      <w:r w:rsidRPr="00992EA7">
        <w:rPr>
          <w:rStyle w:val="Strong"/>
          <w:b w:val="0"/>
          <w:bCs w:val="0"/>
        </w:rPr>
        <w:t>Table 4.21</w:t>
      </w:r>
      <w:r w:rsidRPr="00077581">
        <w:t xml:space="preserve">, when asked about changes in blood pressure, </w:t>
      </w:r>
      <w:r w:rsidRPr="00992EA7">
        <w:rPr>
          <w:rStyle w:val="Strong"/>
          <w:b w:val="0"/>
          <w:bCs w:val="0"/>
        </w:rPr>
        <w:t>36.0%</w:t>
      </w:r>
      <w:r w:rsidRPr="00077581">
        <w:t xml:space="preserve"> of participants reported a </w:t>
      </w:r>
      <w:r w:rsidRPr="00126C63">
        <w:rPr>
          <w:rStyle w:val="Strong"/>
          <w:b w:val="0"/>
          <w:bCs w:val="0"/>
        </w:rPr>
        <w:t>significant improvement</w:t>
      </w:r>
      <w:r w:rsidRPr="00077581">
        <w:t xml:space="preserve">, and another </w:t>
      </w:r>
      <w:r w:rsidRPr="00126C63">
        <w:rPr>
          <w:rStyle w:val="Strong"/>
          <w:b w:val="0"/>
          <w:bCs w:val="0"/>
        </w:rPr>
        <w:t>47.0%</w:t>
      </w:r>
      <w:r w:rsidRPr="00077581">
        <w:t xml:space="preserve"> noted </w:t>
      </w:r>
      <w:r w:rsidRPr="00126C63">
        <w:rPr>
          <w:rStyle w:val="Strong"/>
          <w:b w:val="0"/>
          <w:bCs w:val="0"/>
        </w:rPr>
        <w:t>some improvement</w:t>
      </w:r>
      <w:r w:rsidRPr="00126C63">
        <w:t>,</w:t>
      </w:r>
      <w:r w:rsidRPr="00077581">
        <w:t xml:space="preserve"> </w:t>
      </w:r>
      <w:proofErr w:type="spellStart"/>
      <w:r w:rsidRPr="00077581">
        <w:t>totaling</w:t>
      </w:r>
      <w:proofErr w:type="spellEnd"/>
      <w:r w:rsidRPr="00077581">
        <w:t xml:space="preserve"> </w:t>
      </w:r>
      <w:r w:rsidRPr="00126C63">
        <w:rPr>
          <w:rStyle w:val="Strong"/>
          <w:b w:val="0"/>
          <w:bCs w:val="0"/>
        </w:rPr>
        <w:t>83.0%</w:t>
      </w:r>
      <w:r w:rsidRPr="00077581">
        <w:t xml:space="preserve"> who experienced at least some level of benefit. Only </w:t>
      </w:r>
      <w:r w:rsidRPr="00126C63">
        <w:rPr>
          <w:rStyle w:val="Strong"/>
          <w:b w:val="0"/>
          <w:bCs w:val="0"/>
        </w:rPr>
        <w:t>13.0%</w:t>
      </w:r>
      <w:r w:rsidRPr="00077581">
        <w:t xml:space="preserve"> indicated no change, while a small minority (</w:t>
      </w:r>
      <w:r w:rsidRPr="00126C63">
        <w:rPr>
          <w:rStyle w:val="Strong"/>
          <w:b w:val="0"/>
          <w:bCs w:val="0"/>
        </w:rPr>
        <w:t>4.0%</w:t>
      </w:r>
      <w:r w:rsidRPr="00077581">
        <w:t xml:space="preserve">) felt their condition had worsened. A similar trend was observed in thyroid function perceptions, with </w:t>
      </w:r>
      <w:r w:rsidRPr="00126C63">
        <w:rPr>
          <w:rStyle w:val="Strong"/>
          <w:b w:val="0"/>
          <w:bCs w:val="0"/>
        </w:rPr>
        <w:t>33.0%</w:t>
      </w:r>
      <w:r w:rsidRPr="00077581">
        <w:t xml:space="preserve"> reporting </w:t>
      </w:r>
      <w:r w:rsidRPr="00126C63">
        <w:rPr>
          <w:rStyle w:val="Strong"/>
          <w:b w:val="0"/>
          <w:bCs w:val="0"/>
        </w:rPr>
        <w:t>significant improvement</w:t>
      </w:r>
      <w:r w:rsidRPr="00077581">
        <w:t xml:space="preserve"> and </w:t>
      </w:r>
      <w:r w:rsidRPr="00126C63">
        <w:rPr>
          <w:rStyle w:val="Strong"/>
          <w:b w:val="0"/>
          <w:bCs w:val="0"/>
        </w:rPr>
        <w:t>49.0%</w:t>
      </w:r>
      <w:r w:rsidRPr="00077581">
        <w:t xml:space="preserve"> noting </w:t>
      </w:r>
      <w:r w:rsidRPr="00126C63">
        <w:rPr>
          <w:rStyle w:val="Strong"/>
          <w:b w:val="0"/>
          <w:bCs w:val="0"/>
        </w:rPr>
        <w:t>some improvement</w:t>
      </w:r>
      <w:r w:rsidRPr="00077581">
        <w:t xml:space="preserve">. Only </w:t>
      </w:r>
      <w:r w:rsidRPr="00126C63">
        <w:rPr>
          <w:rStyle w:val="Strong"/>
          <w:b w:val="0"/>
          <w:bCs w:val="0"/>
        </w:rPr>
        <w:t>14.0%</w:t>
      </w:r>
      <w:r w:rsidRPr="00077581">
        <w:t xml:space="preserve"> saw no change and </w:t>
      </w:r>
      <w:r w:rsidRPr="00126C63">
        <w:rPr>
          <w:rStyle w:val="Strong"/>
          <w:b w:val="0"/>
          <w:bCs w:val="0"/>
        </w:rPr>
        <w:t>4.0%</w:t>
      </w:r>
      <w:r w:rsidRPr="00077581">
        <w:t xml:space="preserve"> reported deterioration, suggesting that the intervention had a generally </w:t>
      </w:r>
      <w:proofErr w:type="spellStart"/>
      <w:r w:rsidRPr="00077581">
        <w:t>favorable</w:t>
      </w:r>
      <w:proofErr w:type="spellEnd"/>
      <w:r w:rsidRPr="00077581">
        <w:t xml:space="preserve"> impact on hormonal regulation.</w:t>
      </w:r>
    </w:p>
    <w:p w14:paraId="21822612" w14:textId="77777777" w:rsidR="00D81433" w:rsidRPr="00077581" w:rsidRDefault="00D81433" w:rsidP="00EF0802">
      <w:pPr>
        <w:pStyle w:val="NormalWeb"/>
        <w:spacing w:before="0" w:beforeAutospacing="0" w:after="160" w:afterAutospacing="0" w:line="360" w:lineRule="auto"/>
        <w:jc w:val="both"/>
      </w:pPr>
      <w:r w:rsidRPr="00077581">
        <w:t xml:space="preserve">Regarding symptom reduction, </w:t>
      </w:r>
      <w:r w:rsidRPr="00355175">
        <w:rPr>
          <w:rStyle w:val="Strong"/>
          <w:b w:val="0"/>
          <w:bCs w:val="0"/>
        </w:rPr>
        <w:t>61.0%</w:t>
      </w:r>
      <w:r w:rsidRPr="00077581">
        <w:t xml:space="preserve"> of participants affirmed a noticeable decrease in </w:t>
      </w:r>
      <w:r w:rsidRPr="00DE2809">
        <w:rPr>
          <w:rStyle w:val="Strong"/>
          <w:b w:val="0"/>
          <w:bCs w:val="0"/>
        </w:rPr>
        <w:t>thyroid</w:t>
      </w:r>
      <w:r w:rsidRPr="00077581">
        <w:rPr>
          <w:rStyle w:val="Strong"/>
        </w:rPr>
        <w:t>-</w:t>
      </w:r>
      <w:r w:rsidRPr="00DE2809">
        <w:rPr>
          <w:rStyle w:val="Strong"/>
          <w:b w:val="0"/>
          <w:bCs w:val="0"/>
        </w:rPr>
        <w:t>related</w:t>
      </w:r>
      <w:r w:rsidRPr="00077581">
        <w:rPr>
          <w:rStyle w:val="Strong"/>
        </w:rPr>
        <w:t xml:space="preserve"> </w:t>
      </w:r>
      <w:r w:rsidRPr="00DE2809">
        <w:rPr>
          <w:rStyle w:val="Strong"/>
          <w:b w:val="0"/>
          <w:bCs w:val="0"/>
        </w:rPr>
        <w:t>symptoms</w:t>
      </w:r>
      <w:r w:rsidRPr="00077581">
        <w:t xml:space="preserve"> such as fatigue, weight gain, or cold intolerance, while </w:t>
      </w:r>
      <w:r w:rsidRPr="00DE2809">
        <w:rPr>
          <w:rStyle w:val="Strong"/>
          <w:b w:val="0"/>
          <w:bCs w:val="0"/>
        </w:rPr>
        <w:t>65</w:t>
      </w:r>
      <w:r w:rsidRPr="00077581">
        <w:rPr>
          <w:rStyle w:val="Strong"/>
        </w:rPr>
        <w:t>.</w:t>
      </w:r>
      <w:r w:rsidRPr="00DE2809">
        <w:rPr>
          <w:rStyle w:val="Strong"/>
          <w:b w:val="0"/>
          <w:bCs w:val="0"/>
        </w:rPr>
        <w:t>0%</w:t>
      </w:r>
      <w:r w:rsidRPr="00077581">
        <w:t xml:space="preserve"> acknowledged a reduction in </w:t>
      </w:r>
      <w:r w:rsidRPr="00355175">
        <w:rPr>
          <w:rStyle w:val="Strong"/>
          <w:b w:val="0"/>
          <w:bCs w:val="0"/>
        </w:rPr>
        <w:t>hypertension</w:t>
      </w:r>
      <w:r w:rsidRPr="00077581">
        <w:rPr>
          <w:rStyle w:val="Strong"/>
        </w:rPr>
        <w:t>-</w:t>
      </w:r>
      <w:r w:rsidRPr="00355175">
        <w:rPr>
          <w:rStyle w:val="Strong"/>
          <w:b w:val="0"/>
          <w:bCs w:val="0"/>
        </w:rPr>
        <w:t>related</w:t>
      </w:r>
      <w:r w:rsidRPr="00077581">
        <w:rPr>
          <w:rStyle w:val="Strong"/>
        </w:rPr>
        <w:t xml:space="preserve"> </w:t>
      </w:r>
      <w:r w:rsidRPr="00355175">
        <w:rPr>
          <w:rStyle w:val="Strong"/>
          <w:b w:val="0"/>
          <w:bCs w:val="0"/>
        </w:rPr>
        <w:t>symptoms</w:t>
      </w:r>
      <w:r w:rsidRPr="00077581">
        <w:t xml:space="preserve"> such as headache, swelling, or blurred vision. Around </w:t>
      </w:r>
      <w:r w:rsidRPr="00DE2809">
        <w:rPr>
          <w:rStyle w:val="Strong"/>
          <w:b w:val="0"/>
          <w:bCs w:val="0"/>
        </w:rPr>
        <w:t>28.0%</w:t>
      </w:r>
      <w:r w:rsidRPr="00DE2809">
        <w:rPr>
          <w:b/>
          <w:bCs/>
        </w:rPr>
        <w:t xml:space="preserve"> </w:t>
      </w:r>
      <w:r w:rsidRPr="00DE2809">
        <w:t>and</w:t>
      </w:r>
      <w:r w:rsidRPr="00DE2809">
        <w:rPr>
          <w:b/>
          <w:bCs/>
        </w:rPr>
        <w:t xml:space="preserve"> </w:t>
      </w:r>
      <w:r w:rsidRPr="00DE2809">
        <w:rPr>
          <w:rStyle w:val="Strong"/>
          <w:b w:val="0"/>
          <w:bCs w:val="0"/>
        </w:rPr>
        <w:t>23.0%</w:t>
      </w:r>
      <w:r w:rsidRPr="00DE2809">
        <w:rPr>
          <w:b/>
          <w:bCs/>
        </w:rPr>
        <w:t>,</w:t>
      </w:r>
      <w:r w:rsidRPr="00077581">
        <w:t xml:space="preserve"> respectively, did not perceive symptom relief, and about </w:t>
      </w:r>
      <w:r w:rsidRPr="00DE2809">
        <w:rPr>
          <w:rStyle w:val="Strong"/>
          <w:b w:val="0"/>
          <w:bCs w:val="0"/>
        </w:rPr>
        <w:t>11–12%</w:t>
      </w:r>
      <w:r w:rsidRPr="00077581">
        <w:t xml:space="preserve"> marked these questions as not applicable, possibly reflecting those who were asymptomatic or undiagnosed.</w:t>
      </w:r>
    </w:p>
    <w:p w14:paraId="18FB5669" w14:textId="77777777" w:rsidR="00D81433" w:rsidRPr="00077581" w:rsidRDefault="00D81433" w:rsidP="00EF0802">
      <w:pPr>
        <w:pStyle w:val="NormalWeb"/>
        <w:spacing w:before="0" w:beforeAutospacing="0" w:after="160" w:afterAutospacing="0" w:line="360" w:lineRule="auto"/>
        <w:jc w:val="both"/>
      </w:pPr>
      <w:r w:rsidRPr="00077581">
        <w:lastRenderedPageBreak/>
        <w:t xml:space="preserve">The study also examined the </w:t>
      </w:r>
      <w:r w:rsidRPr="00DE2809">
        <w:rPr>
          <w:rStyle w:val="Strong"/>
          <w:b w:val="0"/>
          <w:bCs w:val="0"/>
        </w:rPr>
        <w:t>frequency of health monitoring</w:t>
      </w:r>
      <w:r w:rsidRPr="00077581">
        <w:t xml:space="preserve"> post-intervention. </w:t>
      </w:r>
      <w:r w:rsidRPr="00DE2809">
        <w:rPr>
          <w:rStyle w:val="Strong"/>
          <w:b w:val="0"/>
          <w:bCs w:val="0"/>
        </w:rPr>
        <w:t>Blood pressure monitoring</w:t>
      </w:r>
      <w:r w:rsidRPr="00077581">
        <w:t xml:space="preserve"> was practiced </w:t>
      </w:r>
      <w:r w:rsidRPr="00DE2809">
        <w:rPr>
          <w:rStyle w:val="Strong"/>
          <w:b w:val="0"/>
          <w:bCs w:val="0"/>
        </w:rPr>
        <w:t>weekly or more frequently by 40.0%</w:t>
      </w:r>
      <w:r w:rsidRPr="00077581">
        <w:t xml:space="preserve"> of respondents, with another </w:t>
      </w:r>
      <w:r w:rsidRPr="00DE2809">
        <w:rPr>
          <w:rStyle w:val="Strong"/>
          <w:b w:val="0"/>
          <w:bCs w:val="0"/>
        </w:rPr>
        <w:t>38.0%</w:t>
      </w:r>
      <w:r w:rsidRPr="00077581">
        <w:t xml:space="preserve"> checking monthly. However, </w:t>
      </w:r>
      <w:r w:rsidRPr="00DE2809">
        <w:rPr>
          <w:rStyle w:val="Strong"/>
          <w:b w:val="0"/>
          <w:bCs w:val="0"/>
        </w:rPr>
        <w:t>22.0%</w:t>
      </w:r>
      <w:r w:rsidRPr="00077581">
        <w:t xml:space="preserve"> reported rarely or never monitoring their BP, highlighting a gap in long-term compliance. Regarding </w:t>
      </w:r>
      <w:r w:rsidRPr="00DE2809">
        <w:rPr>
          <w:rStyle w:val="Strong"/>
          <w:b w:val="0"/>
          <w:bCs w:val="0"/>
        </w:rPr>
        <w:t>thyroid</w:t>
      </w:r>
      <w:r w:rsidRPr="00077581">
        <w:rPr>
          <w:rStyle w:val="Strong"/>
        </w:rPr>
        <w:t xml:space="preserve"> </w:t>
      </w:r>
      <w:r w:rsidRPr="00DE2809">
        <w:rPr>
          <w:rStyle w:val="Strong"/>
          <w:b w:val="0"/>
          <w:bCs w:val="0"/>
        </w:rPr>
        <w:t>monitoring</w:t>
      </w:r>
      <w:r w:rsidRPr="00077581">
        <w:t xml:space="preserve">, </w:t>
      </w:r>
      <w:r w:rsidRPr="00DE2809">
        <w:rPr>
          <w:rStyle w:val="Strong"/>
          <w:b w:val="0"/>
          <w:bCs w:val="0"/>
        </w:rPr>
        <w:t>42.5%</w:t>
      </w:r>
      <w:r w:rsidRPr="00077581">
        <w:t xml:space="preserve"> had tested their thyroid within the past three months, and </w:t>
      </w:r>
      <w:r w:rsidRPr="00DE2809">
        <w:rPr>
          <w:rStyle w:val="Strong"/>
          <w:b w:val="0"/>
          <w:bCs w:val="0"/>
        </w:rPr>
        <w:t>35.0%</w:t>
      </w:r>
      <w:r w:rsidRPr="00077581">
        <w:t xml:space="preserve"> did so monthly, suggesting fairly high levels of adherence to follow-up testing. Still, </w:t>
      </w:r>
      <w:r w:rsidRPr="00DE2809">
        <w:rPr>
          <w:rStyle w:val="Strong"/>
          <w:b w:val="0"/>
          <w:bCs w:val="0"/>
        </w:rPr>
        <w:t>22.5%</w:t>
      </w:r>
      <w:r w:rsidRPr="00077581">
        <w:t xml:space="preserve"> had not monitored thyroid function, indicating a need for improved continuity of care in a subset of participants.</w:t>
      </w:r>
    </w:p>
    <w:p w14:paraId="7D2EB3C3" w14:textId="77777777" w:rsidR="00D81433" w:rsidRPr="00077581" w:rsidRDefault="00D81433" w:rsidP="00EF0802">
      <w:pPr>
        <w:pStyle w:val="NormalWeb"/>
        <w:spacing w:before="0" w:beforeAutospacing="0" w:after="160" w:afterAutospacing="0" w:line="360" w:lineRule="auto"/>
        <w:jc w:val="both"/>
      </w:pPr>
      <w:r w:rsidRPr="00077581">
        <w:t xml:space="preserve">Overall, the data from </w:t>
      </w:r>
      <w:r w:rsidRPr="00DE2809">
        <w:rPr>
          <w:rStyle w:val="Strong"/>
          <w:b w:val="0"/>
          <w:bCs w:val="0"/>
        </w:rPr>
        <w:t>Table 4.21</w:t>
      </w:r>
      <w:r w:rsidRPr="00077581">
        <w:t xml:space="preserve"> reinforce earlier findings of improved clinical outcomes and demonstrate high participant engagement with post-intervention health </w:t>
      </w:r>
      <w:proofErr w:type="spellStart"/>
      <w:r w:rsidRPr="00077581">
        <w:t>behaviors</w:t>
      </w:r>
      <w:proofErr w:type="spellEnd"/>
      <w:r w:rsidRPr="00077581">
        <w:t>. The majority of women not only reported symptom relief but also demonstrated responsible health monitoring practices—further validating the effectiveness and sustainability of the intervention's impact.</w:t>
      </w:r>
    </w:p>
    <w:p w14:paraId="03B333D5" w14:textId="77777777" w:rsidR="00D81433" w:rsidRPr="002F0B1C" w:rsidRDefault="00D81433" w:rsidP="00EF0802">
      <w:pPr>
        <w:pStyle w:val="Heading3"/>
        <w:spacing w:before="0" w:after="160" w:line="360" w:lineRule="auto"/>
        <w:jc w:val="both"/>
        <w:rPr>
          <w:rFonts w:ascii="Times New Roman" w:hAnsi="Times New Roman" w:cs="Times New Roman"/>
          <w:color w:val="156082" w:themeColor="accent1"/>
          <w:sz w:val="24"/>
          <w:szCs w:val="24"/>
        </w:rPr>
      </w:pPr>
      <w:r w:rsidRPr="002F0B1C">
        <w:rPr>
          <w:rStyle w:val="Strong"/>
          <w:rFonts w:ascii="Times New Roman" w:hAnsi="Times New Roman" w:cs="Times New Roman"/>
          <w:color w:val="156082" w:themeColor="accent1"/>
          <w:sz w:val="24"/>
          <w:szCs w:val="24"/>
        </w:rPr>
        <w:t>Table 4.21. Medical Outcomes and Monitoring – Post-Test Only</w:t>
      </w:r>
    </w:p>
    <w:tbl>
      <w:tblPr>
        <w:tblStyle w:val="TableGrid"/>
        <w:tblW w:w="0" w:type="auto"/>
        <w:tblLook w:val="04A0" w:firstRow="1" w:lastRow="0" w:firstColumn="1" w:lastColumn="0" w:noHBand="0" w:noVBand="1"/>
      </w:tblPr>
      <w:tblGrid>
        <w:gridCol w:w="3413"/>
        <w:gridCol w:w="1719"/>
        <w:gridCol w:w="1508"/>
        <w:gridCol w:w="1656"/>
      </w:tblGrid>
      <w:tr w:rsidR="00D81433" w:rsidRPr="00077581" w14:paraId="26B3B971" w14:textId="77777777" w:rsidTr="00E55E15">
        <w:tc>
          <w:tcPr>
            <w:tcW w:w="0" w:type="auto"/>
            <w:hideMark/>
          </w:tcPr>
          <w:p w14:paraId="0CD82CC0"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Question</w:t>
            </w:r>
          </w:p>
        </w:tc>
        <w:tc>
          <w:tcPr>
            <w:tcW w:w="0" w:type="auto"/>
            <w:hideMark/>
          </w:tcPr>
          <w:p w14:paraId="5C398855"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Response</w:t>
            </w:r>
          </w:p>
        </w:tc>
        <w:tc>
          <w:tcPr>
            <w:tcW w:w="0" w:type="auto"/>
            <w:hideMark/>
          </w:tcPr>
          <w:p w14:paraId="263002C4"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Frequency (f)</w:t>
            </w:r>
          </w:p>
        </w:tc>
        <w:tc>
          <w:tcPr>
            <w:tcW w:w="0" w:type="auto"/>
            <w:hideMark/>
          </w:tcPr>
          <w:p w14:paraId="1AE6E389"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Percentage (%)</w:t>
            </w:r>
          </w:p>
        </w:tc>
      </w:tr>
      <w:tr w:rsidR="00477547" w:rsidRPr="00077581" w14:paraId="74C95458" w14:textId="77777777" w:rsidTr="00E55E15">
        <w:tc>
          <w:tcPr>
            <w:tcW w:w="0" w:type="auto"/>
            <w:vMerge w:val="restart"/>
            <w:hideMark/>
          </w:tcPr>
          <w:p w14:paraId="57DDE024" w14:textId="77777777" w:rsidR="00477547" w:rsidRPr="00DE2809" w:rsidRDefault="00477547" w:rsidP="00EF0802">
            <w:pPr>
              <w:spacing w:line="360" w:lineRule="auto"/>
              <w:rPr>
                <w:rFonts w:ascii="Times New Roman" w:hAnsi="Times New Roman" w:cs="Times New Roman"/>
                <w:b/>
                <w:bCs/>
              </w:rPr>
            </w:pPr>
            <w:r w:rsidRPr="00DE2809">
              <w:rPr>
                <w:rStyle w:val="Strong"/>
                <w:rFonts w:ascii="Times New Roman" w:hAnsi="Times New Roman" w:cs="Times New Roman"/>
                <w:b w:val="0"/>
                <w:bCs w:val="0"/>
              </w:rPr>
              <w:t>33. Has your blood pressure improved?</w:t>
            </w:r>
          </w:p>
        </w:tc>
        <w:tc>
          <w:tcPr>
            <w:tcW w:w="0" w:type="auto"/>
            <w:hideMark/>
          </w:tcPr>
          <w:p w14:paraId="75ECB8D7"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Significant</w:t>
            </w:r>
          </w:p>
        </w:tc>
        <w:tc>
          <w:tcPr>
            <w:tcW w:w="0" w:type="auto"/>
            <w:hideMark/>
          </w:tcPr>
          <w:p w14:paraId="157C024D"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72</w:t>
            </w:r>
          </w:p>
        </w:tc>
        <w:tc>
          <w:tcPr>
            <w:tcW w:w="0" w:type="auto"/>
            <w:hideMark/>
          </w:tcPr>
          <w:p w14:paraId="5170F08E"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36.0%</w:t>
            </w:r>
          </w:p>
        </w:tc>
      </w:tr>
      <w:tr w:rsidR="00477547" w:rsidRPr="00077581" w14:paraId="637EE478" w14:textId="77777777" w:rsidTr="00E55E15">
        <w:tc>
          <w:tcPr>
            <w:tcW w:w="0" w:type="auto"/>
            <w:vMerge/>
            <w:hideMark/>
          </w:tcPr>
          <w:p w14:paraId="6AB5AF39" w14:textId="77777777" w:rsidR="00477547" w:rsidRPr="00DE2809" w:rsidRDefault="00477547" w:rsidP="00EF0802">
            <w:pPr>
              <w:spacing w:line="360" w:lineRule="auto"/>
              <w:rPr>
                <w:rFonts w:ascii="Times New Roman" w:hAnsi="Times New Roman" w:cs="Times New Roman"/>
              </w:rPr>
            </w:pPr>
          </w:p>
        </w:tc>
        <w:tc>
          <w:tcPr>
            <w:tcW w:w="0" w:type="auto"/>
            <w:hideMark/>
          </w:tcPr>
          <w:p w14:paraId="57101644"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Some</w:t>
            </w:r>
          </w:p>
        </w:tc>
        <w:tc>
          <w:tcPr>
            <w:tcW w:w="0" w:type="auto"/>
            <w:hideMark/>
          </w:tcPr>
          <w:p w14:paraId="1F331283"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94</w:t>
            </w:r>
          </w:p>
        </w:tc>
        <w:tc>
          <w:tcPr>
            <w:tcW w:w="0" w:type="auto"/>
            <w:hideMark/>
          </w:tcPr>
          <w:p w14:paraId="0559DCF9"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47.0%</w:t>
            </w:r>
          </w:p>
        </w:tc>
      </w:tr>
      <w:tr w:rsidR="00477547" w:rsidRPr="00077581" w14:paraId="306A7C87" w14:textId="77777777" w:rsidTr="00E55E15">
        <w:tc>
          <w:tcPr>
            <w:tcW w:w="0" w:type="auto"/>
            <w:vMerge/>
            <w:hideMark/>
          </w:tcPr>
          <w:p w14:paraId="160FA949" w14:textId="77777777" w:rsidR="00477547" w:rsidRPr="00DE2809" w:rsidRDefault="00477547" w:rsidP="00EF0802">
            <w:pPr>
              <w:spacing w:line="360" w:lineRule="auto"/>
              <w:rPr>
                <w:rFonts w:ascii="Times New Roman" w:hAnsi="Times New Roman" w:cs="Times New Roman"/>
              </w:rPr>
            </w:pPr>
          </w:p>
        </w:tc>
        <w:tc>
          <w:tcPr>
            <w:tcW w:w="0" w:type="auto"/>
            <w:hideMark/>
          </w:tcPr>
          <w:p w14:paraId="71DE1941"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No change</w:t>
            </w:r>
          </w:p>
        </w:tc>
        <w:tc>
          <w:tcPr>
            <w:tcW w:w="0" w:type="auto"/>
            <w:hideMark/>
          </w:tcPr>
          <w:p w14:paraId="707BB43E"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26</w:t>
            </w:r>
          </w:p>
        </w:tc>
        <w:tc>
          <w:tcPr>
            <w:tcW w:w="0" w:type="auto"/>
            <w:hideMark/>
          </w:tcPr>
          <w:p w14:paraId="54BEA270"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13.0%</w:t>
            </w:r>
          </w:p>
        </w:tc>
      </w:tr>
      <w:tr w:rsidR="00477547" w:rsidRPr="00077581" w14:paraId="504DD64A" w14:textId="77777777" w:rsidTr="00E55E15">
        <w:tc>
          <w:tcPr>
            <w:tcW w:w="0" w:type="auto"/>
            <w:vMerge/>
            <w:hideMark/>
          </w:tcPr>
          <w:p w14:paraId="003818B8" w14:textId="77777777" w:rsidR="00477547" w:rsidRPr="00DE2809" w:rsidRDefault="00477547" w:rsidP="00EF0802">
            <w:pPr>
              <w:spacing w:line="360" w:lineRule="auto"/>
              <w:rPr>
                <w:rFonts w:ascii="Times New Roman" w:hAnsi="Times New Roman" w:cs="Times New Roman"/>
              </w:rPr>
            </w:pPr>
          </w:p>
        </w:tc>
        <w:tc>
          <w:tcPr>
            <w:tcW w:w="0" w:type="auto"/>
            <w:hideMark/>
          </w:tcPr>
          <w:p w14:paraId="0318FDE0"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Worse</w:t>
            </w:r>
          </w:p>
        </w:tc>
        <w:tc>
          <w:tcPr>
            <w:tcW w:w="0" w:type="auto"/>
            <w:hideMark/>
          </w:tcPr>
          <w:p w14:paraId="70D0223C"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8</w:t>
            </w:r>
          </w:p>
        </w:tc>
        <w:tc>
          <w:tcPr>
            <w:tcW w:w="0" w:type="auto"/>
            <w:hideMark/>
          </w:tcPr>
          <w:p w14:paraId="7BBE5849"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4.0%</w:t>
            </w:r>
          </w:p>
        </w:tc>
      </w:tr>
      <w:tr w:rsidR="00477547" w:rsidRPr="00077581" w14:paraId="077ED0AA" w14:textId="77777777" w:rsidTr="00E55E15">
        <w:tc>
          <w:tcPr>
            <w:tcW w:w="0" w:type="auto"/>
            <w:vMerge w:val="restart"/>
            <w:hideMark/>
          </w:tcPr>
          <w:p w14:paraId="5522B2C4" w14:textId="77777777" w:rsidR="00477547" w:rsidRPr="00DE2809" w:rsidRDefault="00477547" w:rsidP="00EF0802">
            <w:pPr>
              <w:spacing w:line="360" w:lineRule="auto"/>
              <w:rPr>
                <w:rFonts w:ascii="Times New Roman" w:hAnsi="Times New Roman" w:cs="Times New Roman"/>
                <w:b/>
                <w:bCs/>
              </w:rPr>
            </w:pPr>
            <w:r w:rsidRPr="00DE2809">
              <w:rPr>
                <w:rStyle w:val="Strong"/>
                <w:rFonts w:ascii="Times New Roman" w:hAnsi="Times New Roman" w:cs="Times New Roman"/>
                <w:b w:val="0"/>
                <w:bCs w:val="0"/>
              </w:rPr>
              <w:t>34. Has your thyroid function improved?</w:t>
            </w:r>
          </w:p>
        </w:tc>
        <w:tc>
          <w:tcPr>
            <w:tcW w:w="0" w:type="auto"/>
            <w:hideMark/>
          </w:tcPr>
          <w:p w14:paraId="2F30F9E6"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Significant</w:t>
            </w:r>
          </w:p>
        </w:tc>
        <w:tc>
          <w:tcPr>
            <w:tcW w:w="0" w:type="auto"/>
            <w:hideMark/>
          </w:tcPr>
          <w:p w14:paraId="04EFA73A"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66</w:t>
            </w:r>
          </w:p>
        </w:tc>
        <w:tc>
          <w:tcPr>
            <w:tcW w:w="0" w:type="auto"/>
            <w:hideMark/>
          </w:tcPr>
          <w:p w14:paraId="78EF1829"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33.0%</w:t>
            </w:r>
          </w:p>
        </w:tc>
      </w:tr>
      <w:tr w:rsidR="00477547" w:rsidRPr="00077581" w14:paraId="2C7C760D" w14:textId="77777777" w:rsidTr="00E55E15">
        <w:tc>
          <w:tcPr>
            <w:tcW w:w="0" w:type="auto"/>
            <w:vMerge/>
            <w:hideMark/>
          </w:tcPr>
          <w:p w14:paraId="2717AF4C" w14:textId="77777777" w:rsidR="00477547" w:rsidRPr="00DE2809" w:rsidRDefault="00477547" w:rsidP="00EF0802">
            <w:pPr>
              <w:spacing w:line="360" w:lineRule="auto"/>
              <w:rPr>
                <w:rFonts w:ascii="Times New Roman" w:hAnsi="Times New Roman" w:cs="Times New Roman"/>
              </w:rPr>
            </w:pPr>
          </w:p>
        </w:tc>
        <w:tc>
          <w:tcPr>
            <w:tcW w:w="0" w:type="auto"/>
            <w:hideMark/>
          </w:tcPr>
          <w:p w14:paraId="52ACD086"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Some</w:t>
            </w:r>
          </w:p>
        </w:tc>
        <w:tc>
          <w:tcPr>
            <w:tcW w:w="0" w:type="auto"/>
            <w:hideMark/>
          </w:tcPr>
          <w:p w14:paraId="4AC87D52"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98</w:t>
            </w:r>
          </w:p>
        </w:tc>
        <w:tc>
          <w:tcPr>
            <w:tcW w:w="0" w:type="auto"/>
            <w:hideMark/>
          </w:tcPr>
          <w:p w14:paraId="087C8810"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49.0%</w:t>
            </w:r>
          </w:p>
        </w:tc>
      </w:tr>
      <w:tr w:rsidR="00477547" w:rsidRPr="00077581" w14:paraId="39F88A4A" w14:textId="77777777" w:rsidTr="00E55E15">
        <w:tc>
          <w:tcPr>
            <w:tcW w:w="0" w:type="auto"/>
            <w:vMerge/>
            <w:hideMark/>
          </w:tcPr>
          <w:p w14:paraId="3DC998F4" w14:textId="77777777" w:rsidR="00477547" w:rsidRPr="00DE2809" w:rsidRDefault="00477547" w:rsidP="00EF0802">
            <w:pPr>
              <w:spacing w:line="360" w:lineRule="auto"/>
              <w:rPr>
                <w:rFonts w:ascii="Times New Roman" w:hAnsi="Times New Roman" w:cs="Times New Roman"/>
              </w:rPr>
            </w:pPr>
          </w:p>
        </w:tc>
        <w:tc>
          <w:tcPr>
            <w:tcW w:w="0" w:type="auto"/>
            <w:hideMark/>
          </w:tcPr>
          <w:p w14:paraId="79FDA65F"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No change</w:t>
            </w:r>
          </w:p>
        </w:tc>
        <w:tc>
          <w:tcPr>
            <w:tcW w:w="0" w:type="auto"/>
            <w:hideMark/>
          </w:tcPr>
          <w:p w14:paraId="12E493A2"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28</w:t>
            </w:r>
          </w:p>
        </w:tc>
        <w:tc>
          <w:tcPr>
            <w:tcW w:w="0" w:type="auto"/>
            <w:hideMark/>
          </w:tcPr>
          <w:p w14:paraId="660070E9"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14.0%</w:t>
            </w:r>
          </w:p>
        </w:tc>
      </w:tr>
      <w:tr w:rsidR="00477547" w:rsidRPr="00077581" w14:paraId="7273C972" w14:textId="77777777" w:rsidTr="00E55E15">
        <w:tc>
          <w:tcPr>
            <w:tcW w:w="0" w:type="auto"/>
            <w:vMerge/>
            <w:hideMark/>
          </w:tcPr>
          <w:p w14:paraId="0EDE0517" w14:textId="77777777" w:rsidR="00477547" w:rsidRPr="00DE2809" w:rsidRDefault="00477547" w:rsidP="00EF0802">
            <w:pPr>
              <w:spacing w:line="360" w:lineRule="auto"/>
              <w:rPr>
                <w:rFonts w:ascii="Times New Roman" w:hAnsi="Times New Roman" w:cs="Times New Roman"/>
              </w:rPr>
            </w:pPr>
          </w:p>
        </w:tc>
        <w:tc>
          <w:tcPr>
            <w:tcW w:w="0" w:type="auto"/>
            <w:hideMark/>
          </w:tcPr>
          <w:p w14:paraId="7675EC6A"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Worse</w:t>
            </w:r>
          </w:p>
        </w:tc>
        <w:tc>
          <w:tcPr>
            <w:tcW w:w="0" w:type="auto"/>
            <w:hideMark/>
          </w:tcPr>
          <w:p w14:paraId="24FB8D07"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8</w:t>
            </w:r>
          </w:p>
        </w:tc>
        <w:tc>
          <w:tcPr>
            <w:tcW w:w="0" w:type="auto"/>
            <w:hideMark/>
          </w:tcPr>
          <w:p w14:paraId="615E1C62"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4.0%</w:t>
            </w:r>
          </w:p>
        </w:tc>
      </w:tr>
      <w:tr w:rsidR="00477547" w:rsidRPr="00077581" w14:paraId="557C02D7" w14:textId="77777777" w:rsidTr="00E55E15">
        <w:tc>
          <w:tcPr>
            <w:tcW w:w="0" w:type="auto"/>
            <w:vMerge w:val="restart"/>
            <w:hideMark/>
          </w:tcPr>
          <w:p w14:paraId="5F03FF31" w14:textId="77777777" w:rsidR="00477547" w:rsidRPr="00DE2809" w:rsidRDefault="00477547" w:rsidP="00EF0802">
            <w:pPr>
              <w:spacing w:line="360" w:lineRule="auto"/>
              <w:rPr>
                <w:rFonts w:ascii="Times New Roman" w:hAnsi="Times New Roman" w:cs="Times New Roman"/>
                <w:b/>
                <w:bCs/>
              </w:rPr>
            </w:pPr>
            <w:r w:rsidRPr="00DE2809">
              <w:rPr>
                <w:rStyle w:val="Strong"/>
                <w:rFonts w:ascii="Times New Roman" w:hAnsi="Times New Roman" w:cs="Times New Roman"/>
                <w:b w:val="0"/>
                <w:bCs w:val="0"/>
              </w:rPr>
              <w:t>35. Have symptoms of thyroid reduced?</w:t>
            </w:r>
          </w:p>
        </w:tc>
        <w:tc>
          <w:tcPr>
            <w:tcW w:w="0" w:type="auto"/>
            <w:hideMark/>
          </w:tcPr>
          <w:p w14:paraId="3761E07B"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Yes</w:t>
            </w:r>
          </w:p>
        </w:tc>
        <w:tc>
          <w:tcPr>
            <w:tcW w:w="0" w:type="auto"/>
            <w:hideMark/>
          </w:tcPr>
          <w:p w14:paraId="40ED94D1"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122</w:t>
            </w:r>
          </w:p>
        </w:tc>
        <w:tc>
          <w:tcPr>
            <w:tcW w:w="0" w:type="auto"/>
            <w:hideMark/>
          </w:tcPr>
          <w:p w14:paraId="7572F05C"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61.0%</w:t>
            </w:r>
          </w:p>
        </w:tc>
      </w:tr>
      <w:tr w:rsidR="00477547" w:rsidRPr="00077581" w14:paraId="2D97625C" w14:textId="77777777" w:rsidTr="00E55E15">
        <w:tc>
          <w:tcPr>
            <w:tcW w:w="0" w:type="auto"/>
            <w:vMerge/>
            <w:hideMark/>
          </w:tcPr>
          <w:p w14:paraId="1185D10B" w14:textId="77777777" w:rsidR="00477547" w:rsidRPr="00DE2809" w:rsidRDefault="00477547" w:rsidP="00EF0802">
            <w:pPr>
              <w:spacing w:line="360" w:lineRule="auto"/>
              <w:rPr>
                <w:rFonts w:ascii="Times New Roman" w:hAnsi="Times New Roman" w:cs="Times New Roman"/>
              </w:rPr>
            </w:pPr>
          </w:p>
        </w:tc>
        <w:tc>
          <w:tcPr>
            <w:tcW w:w="0" w:type="auto"/>
            <w:hideMark/>
          </w:tcPr>
          <w:p w14:paraId="55B14BCA"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No</w:t>
            </w:r>
          </w:p>
        </w:tc>
        <w:tc>
          <w:tcPr>
            <w:tcW w:w="0" w:type="auto"/>
            <w:hideMark/>
          </w:tcPr>
          <w:p w14:paraId="0DB57873"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56</w:t>
            </w:r>
          </w:p>
        </w:tc>
        <w:tc>
          <w:tcPr>
            <w:tcW w:w="0" w:type="auto"/>
            <w:hideMark/>
          </w:tcPr>
          <w:p w14:paraId="05DA951E"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28.0%</w:t>
            </w:r>
          </w:p>
        </w:tc>
      </w:tr>
      <w:tr w:rsidR="00477547" w:rsidRPr="00077581" w14:paraId="4ED2EA2B" w14:textId="77777777" w:rsidTr="00E55E15">
        <w:tc>
          <w:tcPr>
            <w:tcW w:w="0" w:type="auto"/>
            <w:vMerge/>
            <w:hideMark/>
          </w:tcPr>
          <w:p w14:paraId="23A541AF" w14:textId="77777777" w:rsidR="00477547" w:rsidRPr="00DE2809" w:rsidRDefault="00477547" w:rsidP="00EF0802">
            <w:pPr>
              <w:spacing w:line="360" w:lineRule="auto"/>
              <w:rPr>
                <w:rFonts w:ascii="Times New Roman" w:hAnsi="Times New Roman" w:cs="Times New Roman"/>
              </w:rPr>
            </w:pPr>
          </w:p>
        </w:tc>
        <w:tc>
          <w:tcPr>
            <w:tcW w:w="0" w:type="auto"/>
            <w:hideMark/>
          </w:tcPr>
          <w:p w14:paraId="15D59D62"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Not applicable</w:t>
            </w:r>
          </w:p>
        </w:tc>
        <w:tc>
          <w:tcPr>
            <w:tcW w:w="0" w:type="auto"/>
            <w:hideMark/>
          </w:tcPr>
          <w:p w14:paraId="3F038507"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22</w:t>
            </w:r>
          </w:p>
        </w:tc>
        <w:tc>
          <w:tcPr>
            <w:tcW w:w="0" w:type="auto"/>
            <w:hideMark/>
          </w:tcPr>
          <w:p w14:paraId="051341E0"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11.0%</w:t>
            </w:r>
          </w:p>
        </w:tc>
      </w:tr>
      <w:tr w:rsidR="00477547" w:rsidRPr="00077581" w14:paraId="74F90662" w14:textId="77777777" w:rsidTr="00E55E15">
        <w:tc>
          <w:tcPr>
            <w:tcW w:w="0" w:type="auto"/>
            <w:vMerge w:val="restart"/>
            <w:hideMark/>
          </w:tcPr>
          <w:p w14:paraId="0C6E4B84" w14:textId="77777777" w:rsidR="00477547" w:rsidRPr="00DE2809" w:rsidRDefault="00477547" w:rsidP="00EF0802">
            <w:pPr>
              <w:spacing w:line="360" w:lineRule="auto"/>
              <w:rPr>
                <w:rFonts w:ascii="Times New Roman" w:hAnsi="Times New Roman" w:cs="Times New Roman"/>
                <w:b/>
                <w:bCs/>
              </w:rPr>
            </w:pPr>
            <w:r w:rsidRPr="00DE2809">
              <w:rPr>
                <w:rStyle w:val="Strong"/>
                <w:rFonts w:ascii="Times New Roman" w:hAnsi="Times New Roman" w:cs="Times New Roman"/>
                <w:b w:val="0"/>
                <w:bCs w:val="0"/>
              </w:rPr>
              <w:t>36. Have hypertension symptoms reduced?</w:t>
            </w:r>
          </w:p>
        </w:tc>
        <w:tc>
          <w:tcPr>
            <w:tcW w:w="0" w:type="auto"/>
            <w:hideMark/>
          </w:tcPr>
          <w:p w14:paraId="7E53BCE6"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Yes</w:t>
            </w:r>
          </w:p>
        </w:tc>
        <w:tc>
          <w:tcPr>
            <w:tcW w:w="0" w:type="auto"/>
            <w:hideMark/>
          </w:tcPr>
          <w:p w14:paraId="6D82BB5D"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130</w:t>
            </w:r>
          </w:p>
        </w:tc>
        <w:tc>
          <w:tcPr>
            <w:tcW w:w="0" w:type="auto"/>
            <w:hideMark/>
          </w:tcPr>
          <w:p w14:paraId="4B5AC9B5"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65.0%</w:t>
            </w:r>
          </w:p>
        </w:tc>
      </w:tr>
      <w:tr w:rsidR="00477547" w:rsidRPr="00077581" w14:paraId="164B167A" w14:textId="77777777" w:rsidTr="00E55E15">
        <w:tc>
          <w:tcPr>
            <w:tcW w:w="0" w:type="auto"/>
            <w:vMerge/>
            <w:hideMark/>
          </w:tcPr>
          <w:p w14:paraId="1076D172" w14:textId="77777777" w:rsidR="00477547" w:rsidRPr="00DE2809" w:rsidRDefault="00477547" w:rsidP="00EF0802">
            <w:pPr>
              <w:spacing w:line="360" w:lineRule="auto"/>
              <w:rPr>
                <w:rFonts w:ascii="Times New Roman" w:hAnsi="Times New Roman" w:cs="Times New Roman"/>
              </w:rPr>
            </w:pPr>
          </w:p>
        </w:tc>
        <w:tc>
          <w:tcPr>
            <w:tcW w:w="0" w:type="auto"/>
            <w:hideMark/>
          </w:tcPr>
          <w:p w14:paraId="394DAEFF"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No</w:t>
            </w:r>
          </w:p>
        </w:tc>
        <w:tc>
          <w:tcPr>
            <w:tcW w:w="0" w:type="auto"/>
            <w:hideMark/>
          </w:tcPr>
          <w:p w14:paraId="743F4965"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46</w:t>
            </w:r>
          </w:p>
        </w:tc>
        <w:tc>
          <w:tcPr>
            <w:tcW w:w="0" w:type="auto"/>
            <w:hideMark/>
          </w:tcPr>
          <w:p w14:paraId="3AEFA2F3"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23.0%</w:t>
            </w:r>
          </w:p>
        </w:tc>
      </w:tr>
      <w:tr w:rsidR="00477547" w:rsidRPr="00077581" w14:paraId="68AA3652" w14:textId="77777777" w:rsidTr="00E55E15">
        <w:tc>
          <w:tcPr>
            <w:tcW w:w="0" w:type="auto"/>
            <w:vMerge/>
            <w:hideMark/>
          </w:tcPr>
          <w:p w14:paraId="59AA03C3" w14:textId="77777777" w:rsidR="00477547" w:rsidRPr="00DE2809" w:rsidRDefault="00477547" w:rsidP="00EF0802">
            <w:pPr>
              <w:spacing w:line="360" w:lineRule="auto"/>
              <w:rPr>
                <w:rFonts w:ascii="Times New Roman" w:hAnsi="Times New Roman" w:cs="Times New Roman"/>
              </w:rPr>
            </w:pPr>
          </w:p>
        </w:tc>
        <w:tc>
          <w:tcPr>
            <w:tcW w:w="0" w:type="auto"/>
            <w:hideMark/>
          </w:tcPr>
          <w:p w14:paraId="6A5F2794"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Not applicable</w:t>
            </w:r>
          </w:p>
        </w:tc>
        <w:tc>
          <w:tcPr>
            <w:tcW w:w="0" w:type="auto"/>
            <w:hideMark/>
          </w:tcPr>
          <w:p w14:paraId="5F7E4D81"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24</w:t>
            </w:r>
          </w:p>
        </w:tc>
        <w:tc>
          <w:tcPr>
            <w:tcW w:w="0" w:type="auto"/>
            <w:hideMark/>
          </w:tcPr>
          <w:p w14:paraId="0B70278E"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12.0%</w:t>
            </w:r>
          </w:p>
        </w:tc>
      </w:tr>
      <w:tr w:rsidR="00477547" w:rsidRPr="00077581" w14:paraId="0463A885" w14:textId="77777777" w:rsidTr="00E55E15">
        <w:tc>
          <w:tcPr>
            <w:tcW w:w="0" w:type="auto"/>
            <w:vMerge w:val="restart"/>
            <w:hideMark/>
          </w:tcPr>
          <w:p w14:paraId="64F2C96B" w14:textId="77777777" w:rsidR="00477547" w:rsidRPr="00DE2809" w:rsidRDefault="00477547" w:rsidP="00EF0802">
            <w:pPr>
              <w:spacing w:line="360" w:lineRule="auto"/>
              <w:rPr>
                <w:rFonts w:ascii="Times New Roman" w:hAnsi="Times New Roman" w:cs="Times New Roman"/>
                <w:b/>
                <w:bCs/>
              </w:rPr>
            </w:pPr>
            <w:r w:rsidRPr="00DE2809">
              <w:rPr>
                <w:rStyle w:val="Strong"/>
                <w:rFonts w:ascii="Times New Roman" w:hAnsi="Times New Roman" w:cs="Times New Roman"/>
                <w:b w:val="0"/>
                <w:bCs w:val="0"/>
              </w:rPr>
              <w:t>37. BP monitoring frequency:</w:t>
            </w:r>
          </w:p>
        </w:tc>
        <w:tc>
          <w:tcPr>
            <w:tcW w:w="0" w:type="auto"/>
            <w:hideMark/>
          </w:tcPr>
          <w:p w14:paraId="512601B6"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Weekly or more</w:t>
            </w:r>
          </w:p>
        </w:tc>
        <w:tc>
          <w:tcPr>
            <w:tcW w:w="0" w:type="auto"/>
            <w:hideMark/>
          </w:tcPr>
          <w:p w14:paraId="3A1C75EA"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80</w:t>
            </w:r>
          </w:p>
        </w:tc>
        <w:tc>
          <w:tcPr>
            <w:tcW w:w="0" w:type="auto"/>
            <w:hideMark/>
          </w:tcPr>
          <w:p w14:paraId="70E460D4"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40.0%</w:t>
            </w:r>
          </w:p>
        </w:tc>
      </w:tr>
      <w:tr w:rsidR="00477547" w:rsidRPr="00077581" w14:paraId="73C234E1" w14:textId="77777777" w:rsidTr="00E55E15">
        <w:tc>
          <w:tcPr>
            <w:tcW w:w="0" w:type="auto"/>
            <w:vMerge/>
            <w:hideMark/>
          </w:tcPr>
          <w:p w14:paraId="7E44A166" w14:textId="77777777" w:rsidR="00477547" w:rsidRPr="00DE2809" w:rsidRDefault="00477547" w:rsidP="00EF0802">
            <w:pPr>
              <w:spacing w:line="360" w:lineRule="auto"/>
              <w:rPr>
                <w:rFonts w:ascii="Times New Roman" w:hAnsi="Times New Roman" w:cs="Times New Roman"/>
              </w:rPr>
            </w:pPr>
          </w:p>
        </w:tc>
        <w:tc>
          <w:tcPr>
            <w:tcW w:w="0" w:type="auto"/>
            <w:hideMark/>
          </w:tcPr>
          <w:p w14:paraId="29F0B0E7"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Monthly</w:t>
            </w:r>
          </w:p>
        </w:tc>
        <w:tc>
          <w:tcPr>
            <w:tcW w:w="0" w:type="auto"/>
            <w:hideMark/>
          </w:tcPr>
          <w:p w14:paraId="11BF68A9"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76</w:t>
            </w:r>
          </w:p>
        </w:tc>
        <w:tc>
          <w:tcPr>
            <w:tcW w:w="0" w:type="auto"/>
            <w:hideMark/>
          </w:tcPr>
          <w:p w14:paraId="771ECD98"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38.0%</w:t>
            </w:r>
          </w:p>
        </w:tc>
      </w:tr>
      <w:tr w:rsidR="00477547" w:rsidRPr="00077581" w14:paraId="4F9B1ACE" w14:textId="77777777" w:rsidTr="00E55E15">
        <w:tc>
          <w:tcPr>
            <w:tcW w:w="0" w:type="auto"/>
            <w:vMerge/>
            <w:hideMark/>
          </w:tcPr>
          <w:p w14:paraId="7C7394E5" w14:textId="77777777" w:rsidR="00477547" w:rsidRPr="00DE2809" w:rsidRDefault="00477547" w:rsidP="00EF0802">
            <w:pPr>
              <w:spacing w:line="360" w:lineRule="auto"/>
              <w:rPr>
                <w:rFonts w:ascii="Times New Roman" w:hAnsi="Times New Roman" w:cs="Times New Roman"/>
              </w:rPr>
            </w:pPr>
          </w:p>
        </w:tc>
        <w:tc>
          <w:tcPr>
            <w:tcW w:w="0" w:type="auto"/>
            <w:hideMark/>
          </w:tcPr>
          <w:p w14:paraId="79240A73"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Rarely/Never</w:t>
            </w:r>
          </w:p>
        </w:tc>
        <w:tc>
          <w:tcPr>
            <w:tcW w:w="0" w:type="auto"/>
            <w:hideMark/>
          </w:tcPr>
          <w:p w14:paraId="76B1E851"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44</w:t>
            </w:r>
          </w:p>
        </w:tc>
        <w:tc>
          <w:tcPr>
            <w:tcW w:w="0" w:type="auto"/>
            <w:hideMark/>
          </w:tcPr>
          <w:p w14:paraId="222A6616"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22.0%</w:t>
            </w:r>
          </w:p>
        </w:tc>
      </w:tr>
      <w:tr w:rsidR="00477547" w:rsidRPr="00077581" w14:paraId="64761271" w14:textId="77777777" w:rsidTr="00E55E15">
        <w:tc>
          <w:tcPr>
            <w:tcW w:w="0" w:type="auto"/>
            <w:vMerge w:val="restart"/>
            <w:hideMark/>
          </w:tcPr>
          <w:p w14:paraId="0C602F40" w14:textId="77777777" w:rsidR="00477547" w:rsidRPr="00DE2809" w:rsidRDefault="00477547" w:rsidP="00EF0802">
            <w:pPr>
              <w:spacing w:line="360" w:lineRule="auto"/>
              <w:rPr>
                <w:rFonts w:ascii="Times New Roman" w:hAnsi="Times New Roman" w:cs="Times New Roman"/>
                <w:b/>
                <w:bCs/>
              </w:rPr>
            </w:pPr>
            <w:r w:rsidRPr="00DE2809">
              <w:rPr>
                <w:rStyle w:val="Strong"/>
                <w:rFonts w:ascii="Times New Roman" w:hAnsi="Times New Roman" w:cs="Times New Roman"/>
                <w:b w:val="0"/>
                <w:bCs w:val="0"/>
              </w:rPr>
              <w:t>38. Thyroid monitoring frequency:</w:t>
            </w:r>
          </w:p>
        </w:tc>
        <w:tc>
          <w:tcPr>
            <w:tcW w:w="0" w:type="auto"/>
            <w:hideMark/>
          </w:tcPr>
          <w:p w14:paraId="610158A1"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Within 3 months</w:t>
            </w:r>
          </w:p>
        </w:tc>
        <w:tc>
          <w:tcPr>
            <w:tcW w:w="0" w:type="auto"/>
            <w:hideMark/>
          </w:tcPr>
          <w:p w14:paraId="0BB2030A"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85</w:t>
            </w:r>
          </w:p>
        </w:tc>
        <w:tc>
          <w:tcPr>
            <w:tcW w:w="0" w:type="auto"/>
            <w:hideMark/>
          </w:tcPr>
          <w:p w14:paraId="472B5559"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42.5%</w:t>
            </w:r>
          </w:p>
        </w:tc>
      </w:tr>
      <w:tr w:rsidR="00477547" w:rsidRPr="00077581" w14:paraId="39F89C26" w14:textId="77777777" w:rsidTr="00E55E15">
        <w:tc>
          <w:tcPr>
            <w:tcW w:w="0" w:type="auto"/>
            <w:vMerge/>
            <w:hideMark/>
          </w:tcPr>
          <w:p w14:paraId="20AE7476" w14:textId="77777777" w:rsidR="00477547" w:rsidRPr="00077581" w:rsidRDefault="00477547" w:rsidP="00EF0802">
            <w:pPr>
              <w:spacing w:line="360" w:lineRule="auto"/>
              <w:rPr>
                <w:rFonts w:ascii="Times New Roman" w:hAnsi="Times New Roman" w:cs="Times New Roman"/>
              </w:rPr>
            </w:pPr>
          </w:p>
        </w:tc>
        <w:tc>
          <w:tcPr>
            <w:tcW w:w="0" w:type="auto"/>
            <w:hideMark/>
          </w:tcPr>
          <w:p w14:paraId="5FB68C8F"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Monthly</w:t>
            </w:r>
          </w:p>
        </w:tc>
        <w:tc>
          <w:tcPr>
            <w:tcW w:w="0" w:type="auto"/>
            <w:hideMark/>
          </w:tcPr>
          <w:p w14:paraId="793B44E7"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70</w:t>
            </w:r>
          </w:p>
        </w:tc>
        <w:tc>
          <w:tcPr>
            <w:tcW w:w="0" w:type="auto"/>
            <w:hideMark/>
          </w:tcPr>
          <w:p w14:paraId="71CF54E4"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35.0%</w:t>
            </w:r>
          </w:p>
        </w:tc>
      </w:tr>
      <w:tr w:rsidR="00477547" w:rsidRPr="00077581" w14:paraId="6A86DA5B" w14:textId="77777777" w:rsidTr="00E55E15">
        <w:tc>
          <w:tcPr>
            <w:tcW w:w="0" w:type="auto"/>
            <w:vMerge/>
            <w:hideMark/>
          </w:tcPr>
          <w:p w14:paraId="118B383F" w14:textId="77777777" w:rsidR="00477547" w:rsidRPr="00077581" w:rsidRDefault="00477547" w:rsidP="00EF0802">
            <w:pPr>
              <w:spacing w:line="360" w:lineRule="auto"/>
              <w:rPr>
                <w:rFonts w:ascii="Times New Roman" w:hAnsi="Times New Roman" w:cs="Times New Roman"/>
              </w:rPr>
            </w:pPr>
          </w:p>
        </w:tc>
        <w:tc>
          <w:tcPr>
            <w:tcW w:w="0" w:type="auto"/>
            <w:hideMark/>
          </w:tcPr>
          <w:p w14:paraId="24F98595"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Rarely/Never</w:t>
            </w:r>
          </w:p>
        </w:tc>
        <w:tc>
          <w:tcPr>
            <w:tcW w:w="0" w:type="auto"/>
            <w:hideMark/>
          </w:tcPr>
          <w:p w14:paraId="13865D8E"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45</w:t>
            </w:r>
          </w:p>
        </w:tc>
        <w:tc>
          <w:tcPr>
            <w:tcW w:w="0" w:type="auto"/>
            <w:hideMark/>
          </w:tcPr>
          <w:p w14:paraId="24BFBB72"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22.5%</w:t>
            </w:r>
          </w:p>
        </w:tc>
      </w:tr>
    </w:tbl>
    <w:p w14:paraId="10CB3DF3" w14:textId="77777777" w:rsidR="00DE2809" w:rsidRDefault="00DE2809" w:rsidP="00EF0802">
      <w:pPr>
        <w:spacing w:line="360" w:lineRule="auto"/>
        <w:jc w:val="both"/>
        <w:rPr>
          <w:rFonts w:ascii="Times New Roman" w:hAnsi="Times New Roman" w:cs="Times New Roman"/>
          <w:b/>
          <w:bCs/>
        </w:rPr>
      </w:pPr>
    </w:p>
    <w:p w14:paraId="5273BC02" w14:textId="5EC6EEFD" w:rsidR="00D81433" w:rsidRPr="00077581" w:rsidRDefault="00D81433" w:rsidP="00EF0802">
      <w:pPr>
        <w:spacing w:line="360" w:lineRule="auto"/>
        <w:jc w:val="both"/>
        <w:rPr>
          <w:rFonts w:ascii="Times New Roman" w:hAnsi="Times New Roman" w:cs="Times New Roman"/>
          <w:b/>
          <w:bCs/>
        </w:rPr>
      </w:pPr>
      <w:r w:rsidRPr="00077581">
        <w:rPr>
          <w:rFonts w:ascii="Times New Roman" w:hAnsi="Times New Roman" w:cs="Times New Roman"/>
          <w:b/>
          <w:bCs/>
        </w:rPr>
        <w:t>4.8 Satisfaction and Feedback (Post-Test)</w:t>
      </w:r>
    </w:p>
    <w:p w14:paraId="3D008898" w14:textId="77777777" w:rsidR="00D81433" w:rsidRPr="00077581" w:rsidRDefault="00D81433" w:rsidP="00EF0802">
      <w:pPr>
        <w:pStyle w:val="NormalWeb"/>
        <w:spacing w:before="0" w:beforeAutospacing="0" w:after="160" w:afterAutospacing="0" w:line="360" w:lineRule="auto"/>
        <w:jc w:val="both"/>
      </w:pPr>
      <w:r w:rsidRPr="00077581">
        <w:t xml:space="preserve">Participant feedback following the lifestyle intervention offers valuable insight into the perceived </w:t>
      </w:r>
      <w:r w:rsidRPr="00DE2809">
        <w:rPr>
          <w:rStyle w:val="Strong"/>
          <w:b w:val="0"/>
          <w:bCs w:val="0"/>
        </w:rPr>
        <w:t>usefulness, practicality, and sustainability</w:t>
      </w:r>
      <w:r w:rsidRPr="00077581">
        <w:t xml:space="preserve"> of the program. As detailed in </w:t>
      </w:r>
      <w:r w:rsidRPr="00A87BCD">
        <w:rPr>
          <w:rStyle w:val="Strong"/>
          <w:b w:val="0"/>
          <w:bCs w:val="0"/>
        </w:rPr>
        <w:t>Table 4.22</w:t>
      </w:r>
      <w:r w:rsidRPr="00A87BCD">
        <w:rPr>
          <w:b/>
          <w:bCs/>
        </w:rPr>
        <w:t>,</w:t>
      </w:r>
      <w:r w:rsidRPr="00077581">
        <w:t xml:space="preserve"> the level of satisfaction with the guidance provided during the intervention was notably high. Half of the participants (</w:t>
      </w:r>
      <w:r w:rsidRPr="00A87BCD">
        <w:rPr>
          <w:rStyle w:val="Strong"/>
          <w:b w:val="0"/>
          <w:bCs w:val="0"/>
        </w:rPr>
        <w:t>50.0%</w:t>
      </w:r>
      <w:r w:rsidRPr="00077581">
        <w:t xml:space="preserve">) reported being </w:t>
      </w:r>
      <w:r w:rsidRPr="00A87BCD">
        <w:rPr>
          <w:rStyle w:val="Strong"/>
          <w:b w:val="0"/>
          <w:bCs w:val="0"/>
        </w:rPr>
        <w:t>very satisfied</w:t>
      </w:r>
      <w:r w:rsidRPr="00A87BCD">
        <w:t>,</w:t>
      </w:r>
      <w:r w:rsidRPr="00077581">
        <w:t xml:space="preserve"> while an additional </w:t>
      </w:r>
      <w:r w:rsidRPr="00A87BCD">
        <w:rPr>
          <w:rStyle w:val="Strong"/>
          <w:b w:val="0"/>
          <w:bCs w:val="0"/>
        </w:rPr>
        <w:t>35.0%</w:t>
      </w:r>
      <w:r w:rsidRPr="00077581">
        <w:t xml:space="preserve"> expressed general satisfaction. Only a small minority indicated neutrality (</w:t>
      </w:r>
      <w:r w:rsidRPr="00A87BCD">
        <w:rPr>
          <w:rStyle w:val="Strong"/>
          <w:b w:val="0"/>
          <w:bCs w:val="0"/>
        </w:rPr>
        <w:t>10.0%</w:t>
      </w:r>
      <w:r w:rsidRPr="00077581">
        <w:t>) or dissatisfaction (</w:t>
      </w:r>
      <w:r w:rsidRPr="00A87BCD">
        <w:rPr>
          <w:rStyle w:val="Strong"/>
          <w:b w:val="0"/>
          <w:bCs w:val="0"/>
        </w:rPr>
        <w:t>5.0%</w:t>
      </w:r>
      <w:r w:rsidRPr="00077581">
        <w:t xml:space="preserve"> in total), indicating a strong positive reception of the intervention's content and delivery.</w:t>
      </w:r>
    </w:p>
    <w:p w14:paraId="58851053" w14:textId="77777777" w:rsidR="00D81433" w:rsidRPr="00077581" w:rsidRDefault="00D81433" w:rsidP="00EF0802">
      <w:pPr>
        <w:pStyle w:val="NormalWeb"/>
        <w:spacing w:before="0" w:beforeAutospacing="0" w:after="160" w:afterAutospacing="0" w:line="360" w:lineRule="auto"/>
        <w:jc w:val="both"/>
      </w:pPr>
      <w:r w:rsidRPr="00077581">
        <w:t xml:space="preserve">When asked whether the lifestyle changes had improved their health, a significant majority agreed. </w:t>
      </w:r>
      <w:r w:rsidRPr="00A87BCD">
        <w:rPr>
          <w:rStyle w:val="Strong"/>
          <w:b w:val="0"/>
          <w:bCs w:val="0"/>
        </w:rPr>
        <w:t>45.0%</w:t>
      </w:r>
      <w:r w:rsidRPr="00077581">
        <w:t xml:space="preserve"> of participants </w:t>
      </w:r>
      <w:r w:rsidRPr="00A87BCD">
        <w:rPr>
          <w:rStyle w:val="Strong"/>
          <w:b w:val="0"/>
          <w:bCs w:val="0"/>
        </w:rPr>
        <w:t>strongly</w:t>
      </w:r>
      <w:r w:rsidRPr="00077581">
        <w:rPr>
          <w:rStyle w:val="Strong"/>
        </w:rPr>
        <w:t xml:space="preserve"> </w:t>
      </w:r>
      <w:r w:rsidRPr="00A87BCD">
        <w:rPr>
          <w:rStyle w:val="Strong"/>
          <w:b w:val="0"/>
          <w:bCs w:val="0"/>
        </w:rPr>
        <w:t>agreed</w:t>
      </w:r>
      <w:r w:rsidRPr="00077581">
        <w:t xml:space="preserve">, and </w:t>
      </w:r>
      <w:r w:rsidRPr="00A87BCD">
        <w:rPr>
          <w:rStyle w:val="Strong"/>
          <w:b w:val="0"/>
          <w:bCs w:val="0"/>
        </w:rPr>
        <w:t>37.5%</w:t>
      </w:r>
      <w:r w:rsidRPr="00A87BCD">
        <w:rPr>
          <w:b/>
          <w:bCs/>
        </w:rPr>
        <w:t xml:space="preserve"> </w:t>
      </w:r>
      <w:r w:rsidRPr="00A87BCD">
        <w:rPr>
          <w:rStyle w:val="Strong"/>
          <w:b w:val="0"/>
          <w:bCs w:val="0"/>
        </w:rPr>
        <w:t>agreed</w:t>
      </w:r>
      <w:r w:rsidRPr="00077581">
        <w:t xml:space="preserve"> that the lifestyle modifications contributed positively to their overall well-being. Fewer participants were neutral (</w:t>
      </w:r>
      <w:r w:rsidRPr="00A87BCD">
        <w:rPr>
          <w:rStyle w:val="Strong"/>
          <w:b w:val="0"/>
          <w:bCs w:val="0"/>
        </w:rPr>
        <w:t>10.0%</w:t>
      </w:r>
      <w:r w:rsidRPr="00A87BCD">
        <w:rPr>
          <w:b/>
          <w:bCs/>
        </w:rPr>
        <w:t>)</w:t>
      </w:r>
      <w:r w:rsidRPr="00077581">
        <w:t xml:space="preserve"> or disagreed (</w:t>
      </w:r>
      <w:r w:rsidRPr="00682F04">
        <w:rPr>
          <w:rStyle w:val="Strong"/>
          <w:b w:val="0"/>
          <w:bCs w:val="0"/>
        </w:rPr>
        <w:t>7.5%</w:t>
      </w:r>
      <w:r w:rsidRPr="00077581">
        <w:t xml:space="preserve"> combined), suggesting that the changes were not only accepted but also perceived as effective.</w:t>
      </w:r>
    </w:p>
    <w:p w14:paraId="03D02995" w14:textId="77777777" w:rsidR="00D81433" w:rsidRPr="00077581" w:rsidRDefault="00D81433" w:rsidP="00EF0802">
      <w:pPr>
        <w:pStyle w:val="NormalWeb"/>
        <w:spacing w:before="0" w:beforeAutospacing="0" w:after="160" w:afterAutospacing="0" w:line="360" w:lineRule="auto"/>
        <w:jc w:val="both"/>
      </w:pPr>
      <w:r w:rsidRPr="00077581">
        <w:t xml:space="preserve">Encouragingly, </w:t>
      </w:r>
      <w:r w:rsidRPr="007E6C19">
        <w:rPr>
          <w:rStyle w:val="Strong"/>
          <w:b w:val="0"/>
          <w:bCs w:val="0"/>
        </w:rPr>
        <w:t>75.0%</w:t>
      </w:r>
      <w:r w:rsidRPr="00077581">
        <w:t xml:space="preserve"> of the participants stated that they </w:t>
      </w:r>
      <w:r w:rsidRPr="007E6C19">
        <w:rPr>
          <w:rStyle w:val="Strong"/>
          <w:b w:val="0"/>
          <w:bCs w:val="0"/>
        </w:rPr>
        <w:t>intended to continue the lifestyle changes post-pregnancy</w:t>
      </w:r>
      <w:r w:rsidRPr="00077581">
        <w:t xml:space="preserve">, reflecting a long-term </w:t>
      </w:r>
      <w:proofErr w:type="spellStart"/>
      <w:r w:rsidRPr="00077581">
        <w:t>behavioral</w:t>
      </w:r>
      <w:proofErr w:type="spellEnd"/>
      <w:r w:rsidRPr="00077581">
        <w:t xml:space="preserve"> shift that extends beyond the intervention period. Only </w:t>
      </w:r>
      <w:r w:rsidRPr="0025672F">
        <w:rPr>
          <w:rStyle w:val="Strong"/>
          <w:b w:val="0"/>
          <w:bCs w:val="0"/>
        </w:rPr>
        <w:t>15.0%</w:t>
      </w:r>
      <w:r w:rsidRPr="00077581">
        <w:t xml:space="preserve"> did not plan to continue, and </w:t>
      </w:r>
      <w:r w:rsidRPr="0025672F">
        <w:rPr>
          <w:rStyle w:val="Strong"/>
          <w:b w:val="0"/>
          <w:bCs w:val="0"/>
        </w:rPr>
        <w:t>10.0%</w:t>
      </w:r>
      <w:r w:rsidRPr="00077581">
        <w:t xml:space="preserve"> were unsure, suggesting that while the majority had embraced the program, ongoing support may be necessary to maintain momentum among some women.</w:t>
      </w:r>
    </w:p>
    <w:p w14:paraId="63D7DC0B" w14:textId="77777777" w:rsidR="00D81433" w:rsidRPr="00077581" w:rsidRDefault="00D81433" w:rsidP="00EF0802">
      <w:pPr>
        <w:pStyle w:val="NormalWeb"/>
        <w:spacing w:before="0" w:beforeAutospacing="0" w:after="160" w:afterAutospacing="0" w:line="360" w:lineRule="auto"/>
        <w:jc w:val="both"/>
      </w:pPr>
      <w:r w:rsidRPr="00077581">
        <w:t xml:space="preserve">Despite the overall success, </w:t>
      </w:r>
      <w:r w:rsidRPr="00B447BD">
        <w:rPr>
          <w:rStyle w:val="Strong"/>
          <w:b w:val="0"/>
          <w:bCs w:val="0"/>
        </w:rPr>
        <w:t>30.0%</w:t>
      </w:r>
      <w:r w:rsidRPr="00077581">
        <w:t xml:space="preserve"> of respondents reported facing </w:t>
      </w:r>
      <w:r w:rsidRPr="00B447BD">
        <w:rPr>
          <w:rStyle w:val="Strong"/>
          <w:b w:val="0"/>
          <w:bCs w:val="0"/>
        </w:rPr>
        <w:t>barriers to implementation</w:t>
      </w:r>
      <w:r w:rsidRPr="00077581">
        <w:t xml:space="preserve">. This highlights a subset of participants who encountered challenges, such as time constraints, family responsibilities, or financial limitations. Nevertheless, the remaining </w:t>
      </w:r>
      <w:r w:rsidRPr="00A512BB">
        <w:rPr>
          <w:rStyle w:val="Strong"/>
          <w:b w:val="0"/>
          <w:bCs w:val="0"/>
        </w:rPr>
        <w:t>70.0%</w:t>
      </w:r>
      <w:r w:rsidRPr="00077581">
        <w:t xml:space="preserve"> reported no major obstacles, suggesting that the intervention was generally feasible and accessible for most.</w:t>
      </w:r>
    </w:p>
    <w:p w14:paraId="572CB188" w14:textId="77777777" w:rsidR="00A512BB" w:rsidRPr="00A512BB" w:rsidRDefault="00A512BB" w:rsidP="00EF0802">
      <w:pPr>
        <w:pStyle w:val="NormalWeb"/>
        <w:spacing w:before="0" w:beforeAutospacing="0" w:after="160" w:afterAutospacing="0" w:line="360" w:lineRule="auto"/>
        <w:jc w:val="both"/>
      </w:pPr>
      <w:r w:rsidRPr="00A512BB">
        <w:lastRenderedPageBreak/>
        <w:t xml:space="preserve">Regarding the overall effectiveness of lifestyle changes, 42.5% rated them as very effective, and another 40.0% considered them somewhat effective. Only 12.5% reported them as not effective, and 5.0% were unsure. These results reflect high perceived value and support the efficacy of structured lifestyle </w:t>
      </w:r>
      <w:proofErr w:type="spellStart"/>
      <w:r w:rsidRPr="00A512BB">
        <w:t>counseling</w:t>
      </w:r>
      <w:proofErr w:type="spellEnd"/>
      <w:r w:rsidRPr="00A512BB">
        <w:t xml:space="preserve"> as an impactful component of antenatal care.</w:t>
      </w:r>
    </w:p>
    <w:p w14:paraId="7FE757BC" w14:textId="77777777" w:rsidR="00D81433" w:rsidRPr="00077581" w:rsidRDefault="00D81433" w:rsidP="00EF0802">
      <w:pPr>
        <w:pStyle w:val="NormalWeb"/>
        <w:spacing w:before="0" w:beforeAutospacing="0" w:after="160" w:afterAutospacing="0" w:line="360" w:lineRule="auto"/>
        <w:jc w:val="both"/>
      </w:pPr>
      <w:r w:rsidRPr="00077581">
        <w:t xml:space="preserve">In summary, feedback from </w:t>
      </w:r>
      <w:r w:rsidRPr="00720D1F">
        <w:rPr>
          <w:rStyle w:val="Strong"/>
          <w:b w:val="0"/>
          <w:bCs w:val="0"/>
        </w:rPr>
        <w:t>Table 4.22</w:t>
      </w:r>
      <w:r w:rsidRPr="00077581">
        <w:t xml:space="preserve"> demonstrates a strong endorsement of the intervention by the majority of participants in terms of satisfaction, perceived health benefits, and intent to sustain positive changes. These findings validate the acceptability and impact of the program, while also identifying the need to address practical barriers that may hinder universal adoption.</w:t>
      </w:r>
    </w:p>
    <w:p w14:paraId="691DB5D0" w14:textId="77777777" w:rsidR="00D81433" w:rsidRPr="002F0B1C" w:rsidRDefault="00D81433" w:rsidP="00EF0802">
      <w:pPr>
        <w:pStyle w:val="Heading3"/>
        <w:spacing w:before="0" w:after="160" w:line="360" w:lineRule="auto"/>
        <w:jc w:val="both"/>
        <w:rPr>
          <w:rFonts w:ascii="Times New Roman" w:hAnsi="Times New Roman" w:cs="Times New Roman"/>
          <w:b/>
          <w:bCs/>
          <w:color w:val="156082" w:themeColor="accent1"/>
          <w:sz w:val="24"/>
          <w:szCs w:val="24"/>
        </w:rPr>
      </w:pPr>
      <w:r w:rsidRPr="002F0B1C">
        <w:rPr>
          <w:rStyle w:val="Strong"/>
          <w:rFonts w:ascii="Times New Roman" w:hAnsi="Times New Roman" w:cs="Times New Roman"/>
          <w:color w:val="156082" w:themeColor="accent1"/>
          <w:sz w:val="24"/>
          <w:szCs w:val="24"/>
        </w:rPr>
        <w:t>Table 4.22. Satisfaction and Feedback – Post-Test (N = 200)</w:t>
      </w:r>
    </w:p>
    <w:tbl>
      <w:tblPr>
        <w:tblStyle w:val="TableGrid"/>
        <w:tblW w:w="0" w:type="auto"/>
        <w:tblLook w:val="04A0" w:firstRow="1" w:lastRow="0" w:firstColumn="1" w:lastColumn="0" w:noHBand="0" w:noVBand="1"/>
      </w:tblPr>
      <w:tblGrid>
        <w:gridCol w:w="3386"/>
        <w:gridCol w:w="1809"/>
        <w:gridCol w:w="1483"/>
        <w:gridCol w:w="1618"/>
      </w:tblGrid>
      <w:tr w:rsidR="00D81433" w:rsidRPr="00077581" w14:paraId="6DCACFF3" w14:textId="77777777" w:rsidTr="00E55E15">
        <w:tc>
          <w:tcPr>
            <w:tcW w:w="0" w:type="auto"/>
            <w:hideMark/>
          </w:tcPr>
          <w:p w14:paraId="33D4E9C5"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Question</w:t>
            </w:r>
          </w:p>
        </w:tc>
        <w:tc>
          <w:tcPr>
            <w:tcW w:w="0" w:type="auto"/>
            <w:hideMark/>
          </w:tcPr>
          <w:p w14:paraId="0A18F20D"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Response</w:t>
            </w:r>
          </w:p>
        </w:tc>
        <w:tc>
          <w:tcPr>
            <w:tcW w:w="0" w:type="auto"/>
            <w:hideMark/>
          </w:tcPr>
          <w:p w14:paraId="7A0A9B22"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Frequency (f)</w:t>
            </w:r>
          </w:p>
        </w:tc>
        <w:tc>
          <w:tcPr>
            <w:tcW w:w="0" w:type="auto"/>
            <w:hideMark/>
          </w:tcPr>
          <w:p w14:paraId="03EE7352" w14:textId="77777777" w:rsidR="00D81433" w:rsidRPr="00077581" w:rsidRDefault="00D81433" w:rsidP="00EF0802">
            <w:pPr>
              <w:spacing w:line="360" w:lineRule="auto"/>
              <w:rPr>
                <w:rFonts w:ascii="Times New Roman" w:hAnsi="Times New Roman" w:cs="Times New Roman"/>
                <w:b/>
                <w:bCs/>
              </w:rPr>
            </w:pPr>
            <w:r w:rsidRPr="00077581">
              <w:rPr>
                <w:rStyle w:val="Strong"/>
                <w:rFonts w:ascii="Times New Roman" w:hAnsi="Times New Roman" w:cs="Times New Roman"/>
              </w:rPr>
              <w:t>Percentage (%)</w:t>
            </w:r>
          </w:p>
        </w:tc>
      </w:tr>
      <w:tr w:rsidR="00477547" w:rsidRPr="00077581" w14:paraId="3956FDC5" w14:textId="77777777" w:rsidTr="00E55E15">
        <w:tc>
          <w:tcPr>
            <w:tcW w:w="0" w:type="auto"/>
            <w:vMerge w:val="restart"/>
            <w:hideMark/>
          </w:tcPr>
          <w:p w14:paraId="1898A234" w14:textId="77777777" w:rsidR="00477547" w:rsidRPr="00720D1F" w:rsidRDefault="00477547" w:rsidP="00EF0802">
            <w:pPr>
              <w:spacing w:line="360" w:lineRule="auto"/>
              <w:rPr>
                <w:rFonts w:ascii="Times New Roman" w:hAnsi="Times New Roman" w:cs="Times New Roman"/>
                <w:b/>
                <w:bCs/>
              </w:rPr>
            </w:pPr>
            <w:r w:rsidRPr="00720D1F">
              <w:rPr>
                <w:rStyle w:val="Strong"/>
                <w:rFonts w:ascii="Times New Roman" w:hAnsi="Times New Roman" w:cs="Times New Roman"/>
                <w:b w:val="0"/>
                <w:bCs w:val="0"/>
              </w:rPr>
              <w:t>39. Satisfaction with guidance</w:t>
            </w:r>
          </w:p>
        </w:tc>
        <w:tc>
          <w:tcPr>
            <w:tcW w:w="0" w:type="auto"/>
            <w:hideMark/>
          </w:tcPr>
          <w:p w14:paraId="3293615C"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Very satisfied</w:t>
            </w:r>
          </w:p>
        </w:tc>
        <w:tc>
          <w:tcPr>
            <w:tcW w:w="0" w:type="auto"/>
            <w:hideMark/>
          </w:tcPr>
          <w:p w14:paraId="5B0AD04D"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100</w:t>
            </w:r>
          </w:p>
        </w:tc>
        <w:tc>
          <w:tcPr>
            <w:tcW w:w="0" w:type="auto"/>
            <w:hideMark/>
          </w:tcPr>
          <w:p w14:paraId="48E5F78F"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50.0%</w:t>
            </w:r>
          </w:p>
        </w:tc>
      </w:tr>
      <w:tr w:rsidR="00477547" w:rsidRPr="00077581" w14:paraId="157E5F49" w14:textId="77777777" w:rsidTr="00E55E15">
        <w:tc>
          <w:tcPr>
            <w:tcW w:w="0" w:type="auto"/>
            <w:vMerge/>
            <w:hideMark/>
          </w:tcPr>
          <w:p w14:paraId="595239B8" w14:textId="77777777" w:rsidR="00477547" w:rsidRPr="00720D1F" w:rsidRDefault="00477547" w:rsidP="00EF0802">
            <w:pPr>
              <w:spacing w:line="360" w:lineRule="auto"/>
              <w:rPr>
                <w:rFonts w:ascii="Times New Roman" w:hAnsi="Times New Roman" w:cs="Times New Roman"/>
              </w:rPr>
            </w:pPr>
          </w:p>
        </w:tc>
        <w:tc>
          <w:tcPr>
            <w:tcW w:w="0" w:type="auto"/>
            <w:hideMark/>
          </w:tcPr>
          <w:p w14:paraId="427D28CD"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Satisfied</w:t>
            </w:r>
          </w:p>
        </w:tc>
        <w:tc>
          <w:tcPr>
            <w:tcW w:w="0" w:type="auto"/>
            <w:hideMark/>
          </w:tcPr>
          <w:p w14:paraId="56931BF6"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70</w:t>
            </w:r>
          </w:p>
        </w:tc>
        <w:tc>
          <w:tcPr>
            <w:tcW w:w="0" w:type="auto"/>
            <w:hideMark/>
          </w:tcPr>
          <w:p w14:paraId="64A47DE3"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35.0%</w:t>
            </w:r>
          </w:p>
        </w:tc>
      </w:tr>
      <w:tr w:rsidR="00477547" w:rsidRPr="00077581" w14:paraId="4478F948" w14:textId="77777777" w:rsidTr="00E55E15">
        <w:tc>
          <w:tcPr>
            <w:tcW w:w="0" w:type="auto"/>
            <w:vMerge/>
            <w:hideMark/>
          </w:tcPr>
          <w:p w14:paraId="2C1A23A0" w14:textId="77777777" w:rsidR="00477547" w:rsidRPr="00720D1F" w:rsidRDefault="00477547" w:rsidP="00EF0802">
            <w:pPr>
              <w:spacing w:line="360" w:lineRule="auto"/>
              <w:rPr>
                <w:rFonts w:ascii="Times New Roman" w:hAnsi="Times New Roman" w:cs="Times New Roman"/>
              </w:rPr>
            </w:pPr>
          </w:p>
        </w:tc>
        <w:tc>
          <w:tcPr>
            <w:tcW w:w="0" w:type="auto"/>
            <w:hideMark/>
          </w:tcPr>
          <w:p w14:paraId="01D57C22"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Neutral</w:t>
            </w:r>
          </w:p>
        </w:tc>
        <w:tc>
          <w:tcPr>
            <w:tcW w:w="0" w:type="auto"/>
            <w:hideMark/>
          </w:tcPr>
          <w:p w14:paraId="7607D101"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20</w:t>
            </w:r>
          </w:p>
        </w:tc>
        <w:tc>
          <w:tcPr>
            <w:tcW w:w="0" w:type="auto"/>
            <w:hideMark/>
          </w:tcPr>
          <w:p w14:paraId="24EA1D76"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10.0%</w:t>
            </w:r>
          </w:p>
        </w:tc>
      </w:tr>
      <w:tr w:rsidR="00477547" w:rsidRPr="00077581" w14:paraId="64857BF6" w14:textId="77777777" w:rsidTr="00E55E15">
        <w:tc>
          <w:tcPr>
            <w:tcW w:w="0" w:type="auto"/>
            <w:vMerge/>
            <w:hideMark/>
          </w:tcPr>
          <w:p w14:paraId="70000895" w14:textId="77777777" w:rsidR="00477547" w:rsidRPr="00720D1F" w:rsidRDefault="00477547" w:rsidP="00EF0802">
            <w:pPr>
              <w:spacing w:line="360" w:lineRule="auto"/>
              <w:rPr>
                <w:rFonts w:ascii="Times New Roman" w:hAnsi="Times New Roman" w:cs="Times New Roman"/>
              </w:rPr>
            </w:pPr>
          </w:p>
        </w:tc>
        <w:tc>
          <w:tcPr>
            <w:tcW w:w="0" w:type="auto"/>
            <w:hideMark/>
          </w:tcPr>
          <w:p w14:paraId="4C563CA1"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Dissatisfied</w:t>
            </w:r>
          </w:p>
        </w:tc>
        <w:tc>
          <w:tcPr>
            <w:tcW w:w="0" w:type="auto"/>
            <w:hideMark/>
          </w:tcPr>
          <w:p w14:paraId="2360DA1C"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7</w:t>
            </w:r>
          </w:p>
        </w:tc>
        <w:tc>
          <w:tcPr>
            <w:tcW w:w="0" w:type="auto"/>
            <w:hideMark/>
          </w:tcPr>
          <w:p w14:paraId="559C340B"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3.5%</w:t>
            </w:r>
          </w:p>
        </w:tc>
      </w:tr>
      <w:tr w:rsidR="00477547" w:rsidRPr="00077581" w14:paraId="12851C0A" w14:textId="77777777" w:rsidTr="00E55E15">
        <w:tc>
          <w:tcPr>
            <w:tcW w:w="0" w:type="auto"/>
            <w:vMerge/>
            <w:hideMark/>
          </w:tcPr>
          <w:p w14:paraId="6FF170C5" w14:textId="77777777" w:rsidR="00477547" w:rsidRPr="00720D1F" w:rsidRDefault="00477547" w:rsidP="00EF0802">
            <w:pPr>
              <w:spacing w:line="360" w:lineRule="auto"/>
              <w:rPr>
                <w:rFonts w:ascii="Times New Roman" w:hAnsi="Times New Roman" w:cs="Times New Roman"/>
              </w:rPr>
            </w:pPr>
          </w:p>
        </w:tc>
        <w:tc>
          <w:tcPr>
            <w:tcW w:w="0" w:type="auto"/>
            <w:hideMark/>
          </w:tcPr>
          <w:p w14:paraId="1C801EB1"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Very dissatisfied</w:t>
            </w:r>
          </w:p>
        </w:tc>
        <w:tc>
          <w:tcPr>
            <w:tcW w:w="0" w:type="auto"/>
            <w:hideMark/>
          </w:tcPr>
          <w:p w14:paraId="7A264024"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3</w:t>
            </w:r>
          </w:p>
        </w:tc>
        <w:tc>
          <w:tcPr>
            <w:tcW w:w="0" w:type="auto"/>
            <w:hideMark/>
          </w:tcPr>
          <w:p w14:paraId="2877AF19"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1.5%</w:t>
            </w:r>
          </w:p>
        </w:tc>
      </w:tr>
      <w:tr w:rsidR="00477547" w:rsidRPr="00077581" w14:paraId="209F8653" w14:textId="77777777" w:rsidTr="00E55E15">
        <w:tc>
          <w:tcPr>
            <w:tcW w:w="0" w:type="auto"/>
            <w:vMerge w:val="restart"/>
            <w:hideMark/>
          </w:tcPr>
          <w:p w14:paraId="179169D3" w14:textId="77777777" w:rsidR="00477547" w:rsidRPr="00720D1F" w:rsidRDefault="00477547" w:rsidP="00EF0802">
            <w:pPr>
              <w:spacing w:line="360" w:lineRule="auto"/>
              <w:rPr>
                <w:rFonts w:ascii="Times New Roman" w:hAnsi="Times New Roman" w:cs="Times New Roman"/>
                <w:b/>
                <w:bCs/>
              </w:rPr>
            </w:pPr>
            <w:r w:rsidRPr="00720D1F">
              <w:rPr>
                <w:rStyle w:val="Strong"/>
                <w:rFonts w:ascii="Times New Roman" w:hAnsi="Times New Roman" w:cs="Times New Roman"/>
                <w:b w:val="0"/>
                <w:bCs w:val="0"/>
              </w:rPr>
              <w:t>40. Lifestyle changes improved health</w:t>
            </w:r>
          </w:p>
        </w:tc>
        <w:tc>
          <w:tcPr>
            <w:tcW w:w="0" w:type="auto"/>
            <w:hideMark/>
          </w:tcPr>
          <w:p w14:paraId="4095945A"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Strongly agree</w:t>
            </w:r>
          </w:p>
        </w:tc>
        <w:tc>
          <w:tcPr>
            <w:tcW w:w="0" w:type="auto"/>
            <w:hideMark/>
          </w:tcPr>
          <w:p w14:paraId="45690C39"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90</w:t>
            </w:r>
          </w:p>
        </w:tc>
        <w:tc>
          <w:tcPr>
            <w:tcW w:w="0" w:type="auto"/>
            <w:hideMark/>
          </w:tcPr>
          <w:p w14:paraId="6A06C424"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45.0%</w:t>
            </w:r>
          </w:p>
        </w:tc>
      </w:tr>
      <w:tr w:rsidR="00477547" w:rsidRPr="00077581" w14:paraId="2F8D9D55" w14:textId="77777777" w:rsidTr="00E55E15">
        <w:tc>
          <w:tcPr>
            <w:tcW w:w="0" w:type="auto"/>
            <w:vMerge/>
            <w:hideMark/>
          </w:tcPr>
          <w:p w14:paraId="22F0F18D" w14:textId="77777777" w:rsidR="00477547" w:rsidRPr="00077581" w:rsidRDefault="00477547" w:rsidP="00EF0802">
            <w:pPr>
              <w:spacing w:line="360" w:lineRule="auto"/>
              <w:rPr>
                <w:rFonts w:ascii="Times New Roman" w:hAnsi="Times New Roman" w:cs="Times New Roman"/>
              </w:rPr>
            </w:pPr>
          </w:p>
        </w:tc>
        <w:tc>
          <w:tcPr>
            <w:tcW w:w="0" w:type="auto"/>
            <w:hideMark/>
          </w:tcPr>
          <w:p w14:paraId="106F6812"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Agree</w:t>
            </w:r>
          </w:p>
        </w:tc>
        <w:tc>
          <w:tcPr>
            <w:tcW w:w="0" w:type="auto"/>
            <w:hideMark/>
          </w:tcPr>
          <w:p w14:paraId="1CF836B5"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75</w:t>
            </w:r>
          </w:p>
        </w:tc>
        <w:tc>
          <w:tcPr>
            <w:tcW w:w="0" w:type="auto"/>
            <w:hideMark/>
          </w:tcPr>
          <w:p w14:paraId="7957921F"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37.5%</w:t>
            </w:r>
          </w:p>
        </w:tc>
      </w:tr>
      <w:tr w:rsidR="00477547" w:rsidRPr="00077581" w14:paraId="003A6256" w14:textId="77777777" w:rsidTr="00E55E15">
        <w:tc>
          <w:tcPr>
            <w:tcW w:w="0" w:type="auto"/>
            <w:vMerge/>
            <w:hideMark/>
          </w:tcPr>
          <w:p w14:paraId="66D99946" w14:textId="77777777" w:rsidR="00477547" w:rsidRPr="00077581" w:rsidRDefault="00477547" w:rsidP="00EF0802">
            <w:pPr>
              <w:spacing w:line="360" w:lineRule="auto"/>
              <w:rPr>
                <w:rFonts w:ascii="Times New Roman" w:hAnsi="Times New Roman" w:cs="Times New Roman"/>
              </w:rPr>
            </w:pPr>
          </w:p>
        </w:tc>
        <w:tc>
          <w:tcPr>
            <w:tcW w:w="0" w:type="auto"/>
            <w:hideMark/>
          </w:tcPr>
          <w:p w14:paraId="44D9F2A3"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Neutral</w:t>
            </w:r>
          </w:p>
        </w:tc>
        <w:tc>
          <w:tcPr>
            <w:tcW w:w="0" w:type="auto"/>
            <w:hideMark/>
          </w:tcPr>
          <w:p w14:paraId="783E39BE"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20</w:t>
            </w:r>
          </w:p>
        </w:tc>
        <w:tc>
          <w:tcPr>
            <w:tcW w:w="0" w:type="auto"/>
            <w:hideMark/>
          </w:tcPr>
          <w:p w14:paraId="063A28C3"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10.0%</w:t>
            </w:r>
          </w:p>
        </w:tc>
      </w:tr>
      <w:tr w:rsidR="00477547" w:rsidRPr="00077581" w14:paraId="75E3D174" w14:textId="77777777" w:rsidTr="00E55E15">
        <w:tc>
          <w:tcPr>
            <w:tcW w:w="0" w:type="auto"/>
            <w:vMerge/>
            <w:hideMark/>
          </w:tcPr>
          <w:p w14:paraId="5ADB3822" w14:textId="77777777" w:rsidR="00477547" w:rsidRPr="00077581" w:rsidRDefault="00477547" w:rsidP="00EF0802">
            <w:pPr>
              <w:spacing w:line="360" w:lineRule="auto"/>
              <w:rPr>
                <w:rFonts w:ascii="Times New Roman" w:hAnsi="Times New Roman" w:cs="Times New Roman"/>
              </w:rPr>
            </w:pPr>
          </w:p>
        </w:tc>
        <w:tc>
          <w:tcPr>
            <w:tcW w:w="0" w:type="auto"/>
            <w:hideMark/>
          </w:tcPr>
          <w:p w14:paraId="270567B7"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Disagree</w:t>
            </w:r>
          </w:p>
        </w:tc>
        <w:tc>
          <w:tcPr>
            <w:tcW w:w="0" w:type="auto"/>
            <w:hideMark/>
          </w:tcPr>
          <w:p w14:paraId="1568A6E8"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10</w:t>
            </w:r>
          </w:p>
        </w:tc>
        <w:tc>
          <w:tcPr>
            <w:tcW w:w="0" w:type="auto"/>
            <w:hideMark/>
          </w:tcPr>
          <w:p w14:paraId="6AD7DA6F"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5.0%</w:t>
            </w:r>
          </w:p>
        </w:tc>
      </w:tr>
      <w:tr w:rsidR="00477547" w:rsidRPr="00077581" w14:paraId="044A21D7" w14:textId="77777777" w:rsidTr="00E55E15">
        <w:tc>
          <w:tcPr>
            <w:tcW w:w="0" w:type="auto"/>
            <w:vMerge/>
            <w:hideMark/>
          </w:tcPr>
          <w:p w14:paraId="3FE7362B" w14:textId="77777777" w:rsidR="00477547" w:rsidRPr="00077581" w:rsidRDefault="00477547" w:rsidP="00EF0802">
            <w:pPr>
              <w:spacing w:line="360" w:lineRule="auto"/>
              <w:rPr>
                <w:rFonts w:ascii="Times New Roman" w:hAnsi="Times New Roman" w:cs="Times New Roman"/>
              </w:rPr>
            </w:pPr>
          </w:p>
        </w:tc>
        <w:tc>
          <w:tcPr>
            <w:tcW w:w="0" w:type="auto"/>
            <w:hideMark/>
          </w:tcPr>
          <w:p w14:paraId="2415E02C"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Strongly disagree</w:t>
            </w:r>
          </w:p>
        </w:tc>
        <w:tc>
          <w:tcPr>
            <w:tcW w:w="0" w:type="auto"/>
            <w:hideMark/>
          </w:tcPr>
          <w:p w14:paraId="7645B593"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5</w:t>
            </w:r>
          </w:p>
        </w:tc>
        <w:tc>
          <w:tcPr>
            <w:tcW w:w="0" w:type="auto"/>
            <w:hideMark/>
          </w:tcPr>
          <w:p w14:paraId="6B53AE14"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2.5%</w:t>
            </w:r>
          </w:p>
        </w:tc>
      </w:tr>
      <w:tr w:rsidR="00477547" w:rsidRPr="00077581" w14:paraId="12DBF2FC" w14:textId="77777777" w:rsidTr="00E55E15">
        <w:tc>
          <w:tcPr>
            <w:tcW w:w="0" w:type="auto"/>
            <w:vMerge w:val="restart"/>
            <w:hideMark/>
          </w:tcPr>
          <w:p w14:paraId="2B00F03A" w14:textId="77777777" w:rsidR="00477547" w:rsidRPr="00720D1F" w:rsidRDefault="00477547" w:rsidP="00EF0802">
            <w:pPr>
              <w:spacing w:line="360" w:lineRule="auto"/>
              <w:rPr>
                <w:rFonts w:ascii="Times New Roman" w:hAnsi="Times New Roman" w:cs="Times New Roman"/>
                <w:b/>
                <w:bCs/>
              </w:rPr>
            </w:pPr>
            <w:r w:rsidRPr="00720D1F">
              <w:rPr>
                <w:rStyle w:val="Strong"/>
                <w:rFonts w:ascii="Times New Roman" w:hAnsi="Times New Roman" w:cs="Times New Roman"/>
                <w:b w:val="0"/>
                <w:bCs w:val="0"/>
              </w:rPr>
              <w:t>41. Plan to continue changes post-pregnancy</w:t>
            </w:r>
          </w:p>
        </w:tc>
        <w:tc>
          <w:tcPr>
            <w:tcW w:w="0" w:type="auto"/>
            <w:hideMark/>
          </w:tcPr>
          <w:p w14:paraId="5E0CA09C"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Yes</w:t>
            </w:r>
          </w:p>
        </w:tc>
        <w:tc>
          <w:tcPr>
            <w:tcW w:w="0" w:type="auto"/>
            <w:hideMark/>
          </w:tcPr>
          <w:p w14:paraId="257A5BB6"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150</w:t>
            </w:r>
          </w:p>
        </w:tc>
        <w:tc>
          <w:tcPr>
            <w:tcW w:w="0" w:type="auto"/>
            <w:hideMark/>
          </w:tcPr>
          <w:p w14:paraId="621D2331"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75.0%</w:t>
            </w:r>
          </w:p>
        </w:tc>
      </w:tr>
      <w:tr w:rsidR="00477547" w:rsidRPr="00077581" w14:paraId="1C62D5ED" w14:textId="77777777" w:rsidTr="00E55E15">
        <w:tc>
          <w:tcPr>
            <w:tcW w:w="0" w:type="auto"/>
            <w:vMerge/>
            <w:hideMark/>
          </w:tcPr>
          <w:p w14:paraId="1B055B68" w14:textId="77777777" w:rsidR="00477547" w:rsidRPr="00720D1F" w:rsidRDefault="00477547" w:rsidP="00EF0802">
            <w:pPr>
              <w:spacing w:line="360" w:lineRule="auto"/>
              <w:rPr>
                <w:rFonts w:ascii="Times New Roman" w:hAnsi="Times New Roman" w:cs="Times New Roman"/>
              </w:rPr>
            </w:pPr>
          </w:p>
        </w:tc>
        <w:tc>
          <w:tcPr>
            <w:tcW w:w="0" w:type="auto"/>
            <w:hideMark/>
          </w:tcPr>
          <w:p w14:paraId="37905E8D"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No</w:t>
            </w:r>
          </w:p>
        </w:tc>
        <w:tc>
          <w:tcPr>
            <w:tcW w:w="0" w:type="auto"/>
            <w:hideMark/>
          </w:tcPr>
          <w:p w14:paraId="388822C9"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30</w:t>
            </w:r>
          </w:p>
        </w:tc>
        <w:tc>
          <w:tcPr>
            <w:tcW w:w="0" w:type="auto"/>
            <w:hideMark/>
          </w:tcPr>
          <w:p w14:paraId="59AB5182"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15.0%</w:t>
            </w:r>
          </w:p>
        </w:tc>
      </w:tr>
      <w:tr w:rsidR="00477547" w:rsidRPr="00077581" w14:paraId="55B75CF3" w14:textId="77777777" w:rsidTr="00E55E15">
        <w:tc>
          <w:tcPr>
            <w:tcW w:w="0" w:type="auto"/>
            <w:vMerge/>
            <w:hideMark/>
          </w:tcPr>
          <w:p w14:paraId="16B59594" w14:textId="77777777" w:rsidR="00477547" w:rsidRPr="00720D1F" w:rsidRDefault="00477547" w:rsidP="00EF0802">
            <w:pPr>
              <w:spacing w:line="360" w:lineRule="auto"/>
              <w:rPr>
                <w:rFonts w:ascii="Times New Roman" w:hAnsi="Times New Roman" w:cs="Times New Roman"/>
              </w:rPr>
            </w:pPr>
          </w:p>
        </w:tc>
        <w:tc>
          <w:tcPr>
            <w:tcW w:w="0" w:type="auto"/>
            <w:hideMark/>
          </w:tcPr>
          <w:p w14:paraId="4F38163F"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Not sure</w:t>
            </w:r>
          </w:p>
        </w:tc>
        <w:tc>
          <w:tcPr>
            <w:tcW w:w="0" w:type="auto"/>
            <w:hideMark/>
          </w:tcPr>
          <w:p w14:paraId="35BA53AB"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20</w:t>
            </w:r>
          </w:p>
        </w:tc>
        <w:tc>
          <w:tcPr>
            <w:tcW w:w="0" w:type="auto"/>
            <w:hideMark/>
          </w:tcPr>
          <w:p w14:paraId="4828865C"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10.0%</w:t>
            </w:r>
          </w:p>
        </w:tc>
      </w:tr>
      <w:tr w:rsidR="00477547" w:rsidRPr="00077581" w14:paraId="22E09354" w14:textId="77777777" w:rsidTr="00E55E15">
        <w:tc>
          <w:tcPr>
            <w:tcW w:w="0" w:type="auto"/>
            <w:vMerge w:val="restart"/>
            <w:hideMark/>
          </w:tcPr>
          <w:p w14:paraId="7675B4D5" w14:textId="77777777" w:rsidR="00477547" w:rsidRPr="00720D1F" w:rsidRDefault="00477547" w:rsidP="00EF0802">
            <w:pPr>
              <w:spacing w:line="360" w:lineRule="auto"/>
              <w:rPr>
                <w:rFonts w:ascii="Times New Roman" w:hAnsi="Times New Roman" w:cs="Times New Roman"/>
                <w:b/>
                <w:bCs/>
              </w:rPr>
            </w:pPr>
            <w:r w:rsidRPr="00720D1F">
              <w:rPr>
                <w:rStyle w:val="Strong"/>
                <w:rFonts w:ascii="Times New Roman" w:hAnsi="Times New Roman" w:cs="Times New Roman"/>
                <w:b w:val="0"/>
                <w:bCs w:val="0"/>
              </w:rPr>
              <w:t>42. Faced barriers to implementation</w:t>
            </w:r>
          </w:p>
        </w:tc>
        <w:tc>
          <w:tcPr>
            <w:tcW w:w="0" w:type="auto"/>
            <w:hideMark/>
          </w:tcPr>
          <w:p w14:paraId="1CA7586D"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Yes</w:t>
            </w:r>
          </w:p>
        </w:tc>
        <w:tc>
          <w:tcPr>
            <w:tcW w:w="0" w:type="auto"/>
            <w:hideMark/>
          </w:tcPr>
          <w:p w14:paraId="5AF8099D"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60</w:t>
            </w:r>
          </w:p>
        </w:tc>
        <w:tc>
          <w:tcPr>
            <w:tcW w:w="0" w:type="auto"/>
            <w:hideMark/>
          </w:tcPr>
          <w:p w14:paraId="7895B8D4"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30.0%</w:t>
            </w:r>
          </w:p>
        </w:tc>
      </w:tr>
      <w:tr w:rsidR="00477547" w:rsidRPr="00077581" w14:paraId="60B8F991" w14:textId="77777777" w:rsidTr="00E55E15">
        <w:tc>
          <w:tcPr>
            <w:tcW w:w="0" w:type="auto"/>
            <w:vMerge/>
            <w:hideMark/>
          </w:tcPr>
          <w:p w14:paraId="1C80D02A" w14:textId="77777777" w:rsidR="00477547" w:rsidRPr="00720D1F" w:rsidRDefault="00477547" w:rsidP="00EF0802">
            <w:pPr>
              <w:spacing w:line="360" w:lineRule="auto"/>
              <w:rPr>
                <w:rFonts w:ascii="Times New Roman" w:hAnsi="Times New Roman" w:cs="Times New Roman"/>
              </w:rPr>
            </w:pPr>
          </w:p>
        </w:tc>
        <w:tc>
          <w:tcPr>
            <w:tcW w:w="0" w:type="auto"/>
            <w:hideMark/>
          </w:tcPr>
          <w:p w14:paraId="14BE9C26"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No</w:t>
            </w:r>
          </w:p>
        </w:tc>
        <w:tc>
          <w:tcPr>
            <w:tcW w:w="0" w:type="auto"/>
            <w:hideMark/>
          </w:tcPr>
          <w:p w14:paraId="6F791CD1"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140</w:t>
            </w:r>
          </w:p>
        </w:tc>
        <w:tc>
          <w:tcPr>
            <w:tcW w:w="0" w:type="auto"/>
            <w:hideMark/>
          </w:tcPr>
          <w:p w14:paraId="145374EA"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70.0%</w:t>
            </w:r>
          </w:p>
        </w:tc>
      </w:tr>
      <w:tr w:rsidR="00477547" w:rsidRPr="00077581" w14:paraId="2EA1D679" w14:textId="77777777" w:rsidTr="00E55E15">
        <w:tc>
          <w:tcPr>
            <w:tcW w:w="0" w:type="auto"/>
            <w:vMerge w:val="restart"/>
            <w:hideMark/>
          </w:tcPr>
          <w:p w14:paraId="334B113C" w14:textId="77777777" w:rsidR="00477547" w:rsidRPr="00720D1F" w:rsidRDefault="00477547" w:rsidP="00EF0802">
            <w:pPr>
              <w:spacing w:line="360" w:lineRule="auto"/>
              <w:rPr>
                <w:rFonts w:ascii="Times New Roman" w:hAnsi="Times New Roman" w:cs="Times New Roman"/>
                <w:b/>
                <w:bCs/>
              </w:rPr>
            </w:pPr>
            <w:r w:rsidRPr="00720D1F">
              <w:rPr>
                <w:rStyle w:val="Strong"/>
                <w:rFonts w:ascii="Times New Roman" w:hAnsi="Times New Roman" w:cs="Times New Roman"/>
                <w:b w:val="0"/>
                <w:bCs w:val="0"/>
              </w:rPr>
              <w:t>43. Overall effectiveness of lifestyle changes</w:t>
            </w:r>
          </w:p>
        </w:tc>
        <w:tc>
          <w:tcPr>
            <w:tcW w:w="0" w:type="auto"/>
            <w:hideMark/>
          </w:tcPr>
          <w:p w14:paraId="61E0F14D"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Very effective</w:t>
            </w:r>
          </w:p>
        </w:tc>
        <w:tc>
          <w:tcPr>
            <w:tcW w:w="0" w:type="auto"/>
            <w:hideMark/>
          </w:tcPr>
          <w:p w14:paraId="0D961442"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85</w:t>
            </w:r>
          </w:p>
        </w:tc>
        <w:tc>
          <w:tcPr>
            <w:tcW w:w="0" w:type="auto"/>
            <w:hideMark/>
          </w:tcPr>
          <w:p w14:paraId="5193D010"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42.5%</w:t>
            </w:r>
          </w:p>
        </w:tc>
      </w:tr>
      <w:tr w:rsidR="00477547" w:rsidRPr="00077581" w14:paraId="24839F19" w14:textId="77777777" w:rsidTr="00E55E15">
        <w:tc>
          <w:tcPr>
            <w:tcW w:w="0" w:type="auto"/>
            <w:vMerge/>
            <w:hideMark/>
          </w:tcPr>
          <w:p w14:paraId="11AD9F93" w14:textId="77777777" w:rsidR="00477547" w:rsidRPr="00077581" w:rsidRDefault="00477547" w:rsidP="00EF0802">
            <w:pPr>
              <w:spacing w:line="360" w:lineRule="auto"/>
              <w:rPr>
                <w:rFonts w:ascii="Times New Roman" w:hAnsi="Times New Roman" w:cs="Times New Roman"/>
              </w:rPr>
            </w:pPr>
          </w:p>
        </w:tc>
        <w:tc>
          <w:tcPr>
            <w:tcW w:w="0" w:type="auto"/>
            <w:hideMark/>
          </w:tcPr>
          <w:p w14:paraId="4CCF860B"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Somewhat effective</w:t>
            </w:r>
          </w:p>
        </w:tc>
        <w:tc>
          <w:tcPr>
            <w:tcW w:w="0" w:type="auto"/>
            <w:hideMark/>
          </w:tcPr>
          <w:p w14:paraId="50564450"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80</w:t>
            </w:r>
          </w:p>
        </w:tc>
        <w:tc>
          <w:tcPr>
            <w:tcW w:w="0" w:type="auto"/>
            <w:hideMark/>
          </w:tcPr>
          <w:p w14:paraId="1887959E"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40.0%</w:t>
            </w:r>
          </w:p>
        </w:tc>
      </w:tr>
      <w:tr w:rsidR="00477547" w:rsidRPr="00077581" w14:paraId="30859EE5" w14:textId="77777777" w:rsidTr="00E55E15">
        <w:tc>
          <w:tcPr>
            <w:tcW w:w="0" w:type="auto"/>
            <w:vMerge/>
            <w:hideMark/>
          </w:tcPr>
          <w:p w14:paraId="687B4D9C" w14:textId="77777777" w:rsidR="00477547" w:rsidRPr="00077581" w:rsidRDefault="00477547" w:rsidP="00EF0802">
            <w:pPr>
              <w:spacing w:line="360" w:lineRule="auto"/>
              <w:rPr>
                <w:rFonts w:ascii="Times New Roman" w:hAnsi="Times New Roman" w:cs="Times New Roman"/>
              </w:rPr>
            </w:pPr>
          </w:p>
        </w:tc>
        <w:tc>
          <w:tcPr>
            <w:tcW w:w="0" w:type="auto"/>
            <w:hideMark/>
          </w:tcPr>
          <w:p w14:paraId="5D5D371B"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Not effective</w:t>
            </w:r>
          </w:p>
        </w:tc>
        <w:tc>
          <w:tcPr>
            <w:tcW w:w="0" w:type="auto"/>
            <w:hideMark/>
          </w:tcPr>
          <w:p w14:paraId="5C17F40D"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25</w:t>
            </w:r>
          </w:p>
        </w:tc>
        <w:tc>
          <w:tcPr>
            <w:tcW w:w="0" w:type="auto"/>
            <w:hideMark/>
          </w:tcPr>
          <w:p w14:paraId="1DFA907C"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12.5%</w:t>
            </w:r>
          </w:p>
        </w:tc>
      </w:tr>
      <w:tr w:rsidR="00477547" w:rsidRPr="00077581" w14:paraId="2014C81C" w14:textId="77777777" w:rsidTr="00E55E15">
        <w:tc>
          <w:tcPr>
            <w:tcW w:w="0" w:type="auto"/>
            <w:vMerge/>
            <w:hideMark/>
          </w:tcPr>
          <w:p w14:paraId="112D735D" w14:textId="77777777" w:rsidR="00477547" w:rsidRPr="00077581" w:rsidRDefault="00477547" w:rsidP="00EF0802">
            <w:pPr>
              <w:spacing w:line="360" w:lineRule="auto"/>
              <w:rPr>
                <w:rFonts w:ascii="Times New Roman" w:hAnsi="Times New Roman" w:cs="Times New Roman"/>
              </w:rPr>
            </w:pPr>
          </w:p>
        </w:tc>
        <w:tc>
          <w:tcPr>
            <w:tcW w:w="0" w:type="auto"/>
            <w:hideMark/>
          </w:tcPr>
          <w:p w14:paraId="17AF64CB"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Unsure</w:t>
            </w:r>
          </w:p>
        </w:tc>
        <w:tc>
          <w:tcPr>
            <w:tcW w:w="0" w:type="auto"/>
            <w:hideMark/>
          </w:tcPr>
          <w:p w14:paraId="3EBA8774"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10</w:t>
            </w:r>
          </w:p>
        </w:tc>
        <w:tc>
          <w:tcPr>
            <w:tcW w:w="0" w:type="auto"/>
            <w:hideMark/>
          </w:tcPr>
          <w:p w14:paraId="14EB4077" w14:textId="77777777" w:rsidR="00477547" w:rsidRPr="00077581" w:rsidRDefault="00477547" w:rsidP="00EF0802">
            <w:pPr>
              <w:spacing w:line="360" w:lineRule="auto"/>
              <w:rPr>
                <w:rFonts w:ascii="Times New Roman" w:hAnsi="Times New Roman" w:cs="Times New Roman"/>
              </w:rPr>
            </w:pPr>
            <w:r w:rsidRPr="00077581">
              <w:rPr>
                <w:rFonts w:ascii="Times New Roman" w:hAnsi="Times New Roman" w:cs="Times New Roman"/>
              </w:rPr>
              <w:t>5.0%</w:t>
            </w:r>
          </w:p>
        </w:tc>
      </w:tr>
    </w:tbl>
    <w:p w14:paraId="584D9A76" w14:textId="77777777" w:rsidR="00D81433" w:rsidRPr="00077581" w:rsidRDefault="00D81433" w:rsidP="00EF0802">
      <w:pPr>
        <w:spacing w:line="360" w:lineRule="auto"/>
        <w:jc w:val="both"/>
        <w:rPr>
          <w:rFonts w:ascii="Times New Roman" w:hAnsi="Times New Roman" w:cs="Times New Roman"/>
          <w:b/>
          <w:bCs/>
        </w:rPr>
      </w:pPr>
    </w:p>
    <w:p w14:paraId="342B74DD" w14:textId="77777777" w:rsidR="00D81433" w:rsidRPr="00077581" w:rsidRDefault="00D81433" w:rsidP="00EF0802">
      <w:pPr>
        <w:spacing w:line="360" w:lineRule="auto"/>
        <w:jc w:val="both"/>
        <w:rPr>
          <w:rFonts w:ascii="Times New Roman" w:hAnsi="Times New Roman" w:cs="Times New Roman"/>
          <w:b/>
          <w:bCs/>
        </w:rPr>
      </w:pPr>
      <w:r w:rsidRPr="00077581">
        <w:rPr>
          <w:rFonts w:ascii="Times New Roman" w:hAnsi="Times New Roman" w:cs="Times New Roman"/>
          <w:b/>
          <w:bCs/>
        </w:rPr>
        <w:t>4.9 Summary of Clinical Impact</w:t>
      </w:r>
    </w:p>
    <w:p w14:paraId="145679F5" w14:textId="4E84641A" w:rsidR="003D240C" w:rsidRPr="00806BAD" w:rsidRDefault="00D81433" w:rsidP="00EF0802">
      <w:pPr>
        <w:pStyle w:val="NormalWeb"/>
        <w:spacing w:before="0" w:beforeAutospacing="0" w:after="160" w:afterAutospacing="0" w:line="360" w:lineRule="auto"/>
        <w:jc w:val="both"/>
        <w:rPr>
          <w:rStyle w:val="Strong"/>
          <w:b w:val="0"/>
          <w:bCs w:val="0"/>
        </w:rPr>
      </w:pPr>
      <w:r w:rsidRPr="00077581">
        <w:t xml:space="preserve">The structured lifestyle intervention implemented in this study had a multidimensional clinical impact on pregnant women at risk of or diagnosed with thyroid dysfunction and hypertensive disorders. Drawing on both objective clinical parameters and self-reported </w:t>
      </w:r>
      <w:proofErr w:type="spellStart"/>
      <w:r w:rsidRPr="00077581">
        <w:t>behavioral</w:t>
      </w:r>
      <w:proofErr w:type="spellEnd"/>
      <w:r w:rsidRPr="00077581">
        <w:t xml:space="preserve"> and perceptual data, the results demonstrate significant improvements in awareness, health </w:t>
      </w:r>
      <w:proofErr w:type="spellStart"/>
      <w:r w:rsidRPr="00077581">
        <w:t>behaviors</w:t>
      </w:r>
      <w:proofErr w:type="spellEnd"/>
      <w:r w:rsidRPr="00077581">
        <w:t>, physiological outcomes, and personal satisfaction with care. This section provides an integrated summary of these outcomes, highlighting the intervention’s effectiveness in promoting maternal health during pregnancy.</w:t>
      </w:r>
    </w:p>
    <w:p w14:paraId="61285967" w14:textId="1458237F" w:rsidR="00CF72FF" w:rsidRDefault="00D81433" w:rsidP="00EF0802">
      <w:pPr>
        <w:pStyle w:val="NormalWeb"/>
        <w:spacing w:before="0" w:beforeAutospacing="0" w:after="160" w:afterAutospacing="0" w:line="360" w:lineRule="auto"/>
        <w:jc w:val="both"/>
        <w:rPr>
          <w:rStyle w:val="Strong"/>
          <w:i/>
          <w:iCs/>
        </w:rPr>
      </w:pPr>
      <w:r w:rsidRPr="00CF72FF">
        <w:rPr>
          <w:rStyle w:val="Strong"/>
          <w:i/>
          <w:iCs/>
        </w:rPr>
        <w:t>Improvement in Awareness and Knowledge</w:t>
      </w:r>
    </w:p>
    <w:p w14:paraId="0F40516E" w14:textId="48011C80" w:rsidR="00CF72FF" w:rsidRDefault="00CF72FF" w:rsidP="00EF0802">
      <w:pPr>
        <w:pStyle w:val="NormalWeb"/>
        <w:spacing w:before="0" w:beforeAutospacing="0" w:after="160" w:afterAutospacing="0" w:line="360" w:lineRule="auto"/>
        <w:jc w:val="both"/>
        <w:rPr>
          <w:i/>
          <w:iCs/>
        </w:rPr>
      </w:pPr>
      <w:r w:rsidRPr="00CF72FF">
        <w:t>A primary aim of the intervention was to enhance awareness regarding the prevention and management of thyroid and hypertensive disorders during pregnancy. Pre- and post-test comparisons of knowledge scores showed a statistically significant improvement. As outlined in earlier sections (Tables 4.4 to 4.7), the average awareness score increased from 3.44 to 6.25, with high knowledge levels (scores 7–8) rising from 15.0% pre-intervention to 42.5% post-intervention. The paired t-test results confirmed that this change was statistically significant (t = 26.77, p &lt; 0.001), affirming the hypothesis that structured education can substantially enhance maternal health literacy. Increased knowledge is critical for early detection, timely treatment, and informed decision-making in antenatal care.</w:t>
      </w:r>
      <w:r>
        <w:rPr>
          <w:i/>
          <w:iCs/>
        </w:rPr>
        <w:t xml:space="preserve"> </w:t>
      </w:r>
    </w:p>
    <w:p w14:paraId="5A50C7B0" w14:textId="5900D034" w:rsidR="00D81433" w:rsidRPr="00077581" w:rsidRDefault="00D81433" w:rsidP="00EF0802">
      <w:pPr>
        <w:pStyle w:val="Heading4"/>
        <w:spacing w:before="0" w:after="160" w:line="360" w:lineRule="auto"/>
        <w:jc w:val="both"/>
        <w:rPr>
          <w:rFonts w:ascii="Times New Roman" w:hAnsi="Times New Roman" w:cs="Times New Roman"/>
          <w:color w:val="auto"/>
        </w:rPr>
      </w:pPr>
      <w:proofErr w:type="spellStart"/>
      <w:r w:rsidRPr="00077581">
        <w:rPr>
          <w:rStyle w:val="Strong"/>
          <w:rFonts w:ascii="Times New Roman" w:hAnsi="Times New Roman" w:cs="Times New Roman"/>
          <w:color w:val="auto"/>
        </w:rPr>
        <w:t>Behavioral</w:t>
      </w:r>
      <w:proofErr w:type="spellEnd"/>
      <w:r w:rsidRPr="00077581">
        <w:rPr>
          <w:rStyle w:val="Strong"/>
          <w:rFonts w:ascii="Times New Roman" w:hAnsi="Times New Roman" w:cs="Times New Roman"/>
          <w:color w:val="auto"/>
        </w:rPr>
        <w:t xml:space="preserve"> Change in Lifestyle Practices</w:t>
      </w:r>
    </w:p>
    <w:p w14:paraId="6809902A" w14:textId="77777777" w:rsidR="00D81433" w:rsidRPr="00077581" w:rsidRDefault="00D81433" w:rsidP="00EF0802">
      <w:pPr>
        <w:pStyle w:val="NormalWeb"/>
        <w:spacing w:before="0" w:beforeAutospacing="0" w:after="160" w:afterAutospacing="0" w:line="360" w:lineRule="auto"/>
        <w:jc w:val="both"/>
      </w:pPr>
      <w:r w:rsidRPr="00077581">
        <w:t xml:space="preserve">The program also demonstrated a considerable effect on health-related </w:t>
      </w:r>
      <w:proofErr w:type="spellStart"/>
      <w:r w:rsidRPr="00077581">
        <w:t>behaviors</w:t>
      </w:r>
      <w:proofErr w:type="spellEnd"/>
      <w:r w:rsidRPr="00077581">
        <w:t xml:space="preserve">. As shown in Table 4.10, there was a marked increase in the frequency and variety of lifestyle practices such as regular exercise, healthy diet, reduced sodium intake, stress management, and adequate sleep. For example, the percentage of women engaging in daily physical activity increased from </w:t>
      </w:r>
      <w:r w:rsidRPr="00D54480">
        <w:rPr>
          <w:rStyle w:val="Strong"/>
          <w:b w:val="0"/>
          <w:bCs w:val="0"/>
        </w:rPr>
        <w:t>11.0% to 42.0%</w:t>
      </w:r>
      <w:r w:rsidRPr="00077581">
        <w:t xml:space="preserve">, while high-sodium food consumption dropped significantly. Wilcoxon Signed-Rank and McNemar’s tests </w:t>
      </w:r>
      <w:r w:rsidRPr="00077581">
        <w:lastRenderedPageBreak/>
        <w:t>confirmed that these improvements in lifestyle practices were statistically significant across both ordinal and binary variables (Tables 4.11 and 4.12). These changes are clinically meaningful, as modifiable lifestyle factors play a key role in managing gestational hypertension and thyroid dysfunction.</w:t>
      </w:r>
    </w:p>
    <w:p w14:paraId="51EC844E" w14:textId="77777777" w:rsidR="00D81433" w:rsidRPr="00077581" w:rsidRDefault="00D81433" w:rsidP="00EF0802">
      <w:pPr>
        <w:pStyle w:val="Heading4"/>
        <w:spacing w:before="0" w:after="160" w:line="360" w:lineRule="auto"/>
        <w:jc w:val="both"/>
        <w:rPr>
          <w:rFonts w:ascii="Times New Roman" w:hAnsi="Times New Roman" w:cs="Times New Roman"/>
          <w:color w:val="auto"/>
        </w:rPr>
      </w:pPr>
      <w:r w:rsidRPr="00077581">
        <w:rPr>
          <w:rStyle w:val="Strong"/>
          <w:rFonts w:ascii="Times New Roman" w:hAnsi="Times New Roman" w:cs="Times New Roman"/>
          <w:color w:val="auto"/>
        </w:rPr>
        <w:t>Physiological Outcomes and Clinical Improvements</w:t>
      </w:r>
    </w:p>
    <w:p w14:paraId="1F1A81CB" w14:textId="506EFB42" w:rsidR="00D54480" w:rsidRPr="00D54480" w:rsidRDefault="00D54480" w:rsidP="00EF0802">
      <w:pPr>
        <w:pStyle w:val="Heading4"/>
        <w:spacing w:before="0" w:after="160" w:line="360" w:lineRule="auto"/>
        <w:jc w:val="both"/>
        <w:rPr>
          <w:rFonts w:ascii="Times New Roman" w:eastAsia="Times New Roman" w:hAnsi="Times New Roman" w:cs="Times New Roman"/>
          <w:i w:val="0"/>
          <w:iCs w:val="0"/>
          <w:color w:val="auto"/>
          <w:kern w:val="0"/>
          <w:lang w:eastAsia="en-IN"/>
          <w14:ligatures w14:val="none"/>
        </w:rPr>
      </w:pPr>
      <w:r w:rsidRPr="00D54480">
        <w:rPr>
          <w:rFonts w:ascii="Times New Roman" w:eastAsia="Times New Roman" w:hAnsi="Times New Roman" w:cs="Times New Roman"/>
          <w:i w:val="0"/>
          <w:iCs w:val="0"/>
          <w:color w:val="auto"/>
          <w:kern w:val="0"/>
          <w:lang w:eastAsia="en-IN"/>
          <w14:ligatures w14:val="none"/>
        </w:rPr>
        <w:t xml:space="preserve">The clinical relevance of </w:t>
      </w:r>
      <w:proofErr w:type="spellStart"/>
      <w:r w:rsidRPr="00D54480">
        <w:rPr>
          <w:rFonts w:ascii="Times New Roman" w:eastAsia="Times New Roman" w:hAnsi="Times New Roman" w:cs="Times New Roman"/>
          <w:i w:val="0"/>
          <w:iCs w:val="0"/>
          <w:color w:val="auto"/>
          <w:kern w:val="0"/>
          <w:lang w:eastAsia="en-IN"/>
          <w14:ligatures w14:val="none"/>
        </w:rPr>
        <w:t>behavioral</w:t>
      </w:r>
      <w:proofErr w:type="spellEnd"/>
      <w:r w:rsidRPr="00D54480">
        <w:rPr>
          <w:rFonts w:ascii="Times New Roman" w:eastAsia="Times New Roman" w:hAnsi="Times New Roman" w:cs="Times New Roman"/>
          <w:i w:val="0"/>
          <w:iCs w:val="0"/>
          <w:color w:val="auto"/>
          <w:kern w:val="0"/>
          <w:lang w:eastAsia="en-IN"/>
          <w14:ligatures w14:val="none"/>
        </w:rPr>
        <w:t xml:space="preserve"> changes was evident in the significant improvement in objective health markers. Table 4.14 summarized a notable decline in TSH levels (from 4.8 to 2.8 </w:t>
      </w:r>
      <w:proofErr w:type="spellStart"/>
      <w:r w:rsidRPr="00D54480">
        <w:rPr>
          <w:rFonts w:ascii="Times New Roman" w:eastAsia="Times New Roman" w:hAnsi="Times New Roman" w:cs="Times New Roman"/>
          <w:i w:val="0"/>
          <w:iCs w:val="0"/>
          <w:color w:val="auto"/>
          <w:kern w:val="0"/>
          <w:lang w:eastAsia="en-IN"/>
          <w14:ligatures w14:val="none"/>
        </w:rPr>
        <w:t>mIU</w:t>
      </w:r>
      <w:proofErr w:type="spellEnd"/>
      <w:r w:rsidRPr="00D54480">
        <w:rPr>
          <w:rFonts w:ascii="Times New Roman" w:eastAsia="Times New Roman" w:hAnsi="Times New Roman" w:cs="Times New Roman"/>
          <w:i w:val="0"/>
          <w:iCs w:val="0"/>
          <w:color w:val="auto"/>
          <w:kern w:val="0"/>
          <w:lang w:eastAsia="en-IN"/>
          <w14:ligatures w14:val="none"/>
        </w:rPr>
        <w:t>/L) and corresponding improvements in Free T3 and Free T4 levels, suggesting better thyroid function post-intervention. Similarly, there was a significant drop in both systolic (132 to 120 mmHg) and diastolic (85 to 78 mmHg) blood pressure. Blood glucose levels—another important risk factor during pregnancy—also improved. The paired t-test results for all these parameters were highly significant (p &lt; 0.0001), reinforcing the intervention’s clinical efficacy.</w:t>
      </w:r>
    </w:p>
    <w:p w14:paraId="72DE2CF0" w14:textId="77777777" w:rsidR="00D54480" w:rsidRDefault="00D54480" w:rsidP="00EF0802">
      <w:pPr>
        <w:pStyle w:val="Heading4"/>
        <w:spacing w:before="0" w:after="160" w:line="360" w:lineRule="auto"/>
        <w:jc w:val="both"/>
        <w:rPr>
          <w:rFonts w:ascii="Times New Roman" w:eastAsia="Times New Roman" w:hAnsi="Times New Roman" w:cs="Times New Roman"/>
          <w:i w:val="0"/>
          <w:iCs w:val="0"/>
          <w:color w:val="auto"/>
          <w:kern w:val="0"/>
          <w:lang w:eastAsia="en-IN"/>
          <w14:ligatures w14:val="none"/>
        </w:rPr>
      </w:pPr>
      <w:r w:rsidRPr="00D54480">
        <w:rPr>
          <w:rFonts w:ascii="Times New Roman" w:eastAsia="Times New Roman" w:hAnsi="Times New Roman" w:cs="Times New Roman"/>
          <w:i w:val="0"/>
          <w:iCs w:val="0"/>
          <w:color w:val="auto"/>
          <w:kern w:val="0"/>
          <w:lang w:eastAsia="en-IN"/>
          <w14:ligatures w14:val="none"/>
        </w:rPr>
        <w:t xml:space="preserve">Additional indicators such as urine protein status, which can signal renal impairment or preeclampsia, also improved dramatically: the proportion of women testing negative rose from 70.0% to 90.0% (Table 4.15). While the use of medication slightly declined, 25.0% of women had their doses reduced post-intervention (Table 4.17), suggesting improved disease control with lifestyle support alone. These findings collectively indicate that </w:t>
      </w:r>
      <w:proofErr w:type="spellStart"/>
      <w:r w:rsidRPr="00D54480">
        <w:rPr>
          <w:rFonts w:ascii="Times New Roman" w:eastAsia="Times New Roman" w:hAnsi="Times New Roman" w:cs="Times New Roman"/>
          <w:i w:val="0"/>
          <w:iCs w:val="0"/>
          <w:color w:val="auto"/>
          <w:kern w:val="0"/>
          <w:lang w:eastAsia="en-IN"/>
          <w14:ligatures w14:val="none"/>
        </w:rPr>
        <w:t>behavior</w:t>
      </w:r>
      <w:proofErr w:type="spellEnd"/>
      <w:r w:rsidRPr="00D54480">
        <w:rPr>
          <w:rFonts w:ascii="Times New Roman" w:eastAsia="Times New Roman" w:hAnsi="Times New Roman" w:cs="Times New Roman"/>
          <w:i w:val="0"/>
          <w:iCs w:val="0"/>
          <w:color w:val="auto"/>
          <w:kern w:val="0"/>
          <w:lang w:eastAsia="en-IN"/>
          <w14:ligatures w14:val="none"/>
        </w:rPr>
        <w:t xml:space="preserve"> modification, when structured and monitored, can significantly improve clinical outcomes in antenatal care.</w:t>
      </w:r>
    </w:p>
    <w:p w14:paraId="7865A63F" w14:textId="1CFB61A8" w:rsidR="00D81433" w:rsidRPr="00077581" w:rsidRDefault="00D81433" w:rsidP="00EF0802">
      <w:pPr>
        <w:pStyle w:val="Heading4"/>
        <w:spacing w:before="0" w:after="160" w:line="360" w:lineRule="auto"/>
        <w:jc w:val="both"/>
        <w:rPr>
          <w:rFonts w:ascii="Times New Roman" w:hAnsi="Times New Roman" w:cs="Times New Roman"/>
          <w:color w:val="auto"/>
        </w:rPr>
      </w:pPr>
      <w:r w:rsidRPr="00077581">
        <w:rPr>
          <w:rStyle w:val="Strong"/>
          <w:rFonts w:ascii="Times New Roman" w:hAnsi="Times New Roman" w:cs="Times New Roman"/>
          <w:color w:val="auto"/>
        </w:rPr>
        <w:t>Perceived Health Improvements and Monitoring</w:t>
      </w:r>
    </w:p>
    <w:p w14:paraId="6EA7BF03" w14:textId="77777777" w:rsidR="00D81433" w:rsidRPr="00077581" w:rsidRDefault="00D81433" w:rsidP="00EF0802">
      <w:pPr>
        <w:pStyle w:val="NormalWeb"/>
        <w:spacing w:before="0" w:beforeAutospacing="0" w:after="160" w:afterAutospacing="0" w:line="360" w:lineRule="auto"/>
        <w:jc w:val="both"/>
      </w:pPr>
      <w:r w:rsidRPr="00077581">
        <w:t xml:space="preserve">Self-reported medical outcomes also supported the objective findings. As per Table 4.21, </w:t>
      </w:r>
      <w:r w:rsidRPr="0006413E">
        <w:rPr>
          <w:rStyle w:val="Strong"/>
          <w:b w:val="0"/>
          <w:bCs w:val="0"/>
        </w:rPr>
        <w:t>83.0%</w:t>
      </w:r>
      <w:r w:rsidRPr="00077581">
        <w:t xml:space="preserve"> of women reported improvement in blood pressure and </w:t>
      </w:r>
      <w:r w:rsidRPr="0006413E">
        <w:rPr>
          <w:rStyle w:val="Strong"/>
          <w:b w:val="0"/>
          <w:bCs w:val="0"/>
        </w:rPr>
        <w:t>82.0%</w:t>
      </w:r>
      <w:r w:rsidRPr="00077581">
        <w:t xml:space="preserve"> noted better thyroid function. More than </w:t>
      </w:r>
      <w:r w:rsidRPr="0006413E">
        <w:rPr>
          <w:rStyle w:val="Strong"/>
          <w:b w:val="0"/>
          <w:bCs w:val="0"/>
        </w:rPr>
        <w:t>60.0%</w:t>
      </w:r>
      <w:r w:rsidRPr="00077581">
        <w:t xml:space="preserve"> reported reduced symptoms of thyroid dysfunction and hypertension, and </w:t>
      </w:r>
      <w:r w:rsidRPr="0006413E">
        <w:rPr>
          <w:rStyle w:val="Strong"/>
          <w:b w:val="0"/>
          <w:bCs w:val="0"/>
        </w:rPr>
        <w:t>75.0%</w:t>
      </w:r>
      <w:r w:rsidRPr="00077581">
        <w:t xml:space="preserve"> had implemented changes in stress management habits. Furthermore, compliance with monitoring—such as weekly blood pressure checks and periodic thyroid testing—improved, suggesting higher health engagement post-intervention.</w:t>
      </w:r>
    </w:p>
    <w:p w14:paraId="3457C74F" w14:textId="77777777" w:rsidR="00D81433" w:rsidRPr="00077581" w:rsidRDefault="00D81433" w:rsidP="00EF0802">
      <w:pPr>
        <w:pStyle w:val="NormalWeb"/>
        <w:spacing w:before="0" w:beforeAutospacing="0" w:after="160" w:afterAutospacing="0" w:line="360" w:lineRule="auto"/>
        <w:jc w:val="both"/>
      </w:pPr>
      <w:r w:rsidRPr="00077581">
        <w:t>These outcomes validate that the participants not only experienced measurable clinical benefits but were also motivated to self-manage and engage in preventive care routines—an important aspect of sustainable maternal health.</w:t>
      </w:r>
    </w:p>
    <w:p w14:paraId="2685E6DC" w14:textId="77777777" w:rsidR="00D81433" w:rsidRPr="00077581" w:rsidRDefault="00D81433" w:rsidP="00EF0802">
      <w:pPr>
        <w:pStyle w:val="Heading4"/>
        <w:spacing w:before="0" w:after="160" w:line="360" w:lineRule="auto"/>
        <w:jc w:val="both"/>
        <w:rPr>
          <w:rFonts w:ascii="Times New Roman" w:hAnsi="Times New Roman" w:cs="Times New Roman"/>
          <w:color w:val="auto"/>
        </w:rPr>
      </w:pPr>
      <w:r w:rsidRPr="00077581">
        <w:rPr>
          <w:rStyle w:val="Strong"/>
          <w:rFonts w:ascii="Times New Roman" w:hAnsi="Times New Roman" w:cs="Times New Roman"/>
          <w:color w:val="auto"/>
        </w:rPr>
        <w:lastRenderedPageBreak/>
        <w:t xml:space="preserve">Satisfaction and </w:t>
      </w:r>
      <w:proofErr w:type="spellStart"/>
      <w:r w:rsidRPr="00077581">
        <w:rPr>
          <w:rStyle w:val="Strong"/>
          <w:rFonts w:ascii="Times New Roman" w:hAnsi="Times New Roman" w:cs="Times New Roman"/>
          <w:color w:val="auto"/>
        </w:rPr>
        <w:t>Behavioral</w:t>
      </w:r>
      <w:proofErr w:type="spellEnd"/>
      <w:r w:rsidRPr="00077581">
        <w:rPr>
          <w:rStyle w:val="Strong"/>
          <w:rFonts w:ascii="Times New Roman" w:hAnsi="Times New Roman" w:cs="Times New Roman"/>
          <w:color w:val="auto"/>
        </w:rPr>
        <w:t xml:space="preserve"> Sustainability</w:t>
      </w:r>
    </w:p>
    <w:p w14:paraId="6AB992BF" w14:textId="77777777" w:rsidR="00122C53" w:rsidRDefault="00122C53" w:rsidP="00EF0802">
      <w:pPr>
        <w:pStyle w:val="NormalWeb"/>
        <w:spacing w:before="0" w:beforeAutospacing="0" w:after="160" w:afterAutospacing="0" w:line="360" w:lineRule="auto"/>
        <w:jc w:val="both"/>
      </w:pPr>
      <w:r w:rsidRPr="00122C53">
        <w:t xml:space="preserve">In addition to clinical outcomes, satisfaction and feedback responses (Table 4.22) highlight the psychological and motivational dimensions of the program’s success. 85.0% of women expressed satisfaction with the guidance received, and a significant majority (82.5%) agreed that the lifestyle changes improved their health. Importantly, 75.0% indicated they intended to maintain these practices post-pregnancy, demonstrating long-term </w:t>
      </w:r>
      <w:proofErr w:type="spellStart"/>
      <w:r w:rsidRPr="00122C53">
        <w:t>behavioral</w:t>
      </w:r>
      <w:proofErr w:type="spellEnd"/>
      <w:r w:rsidRPr="00122C53">
        <w:t xml:space="preserve"> impact. While 30.0% reported facing implementation barriers, the overall acceptability of the program remained high.</w:t>
      </w:r>
    </w:p>
    <w:p w14:paraId="7FC67D67" w14:textId="58DE4FD7" w:rsidR="00D81433" w:rsidRPr="00077581" w:rsidRDefault="00D81433" w:rsidP="00EF0802">
      <w:pPr>
        <w:pStyle w:val="NormalWeb"/>
        <w:spacing w:before="0" w:beforeAutospacing="0" w:after="160" w:afterAutospacing="0" w:line="360" w:lineRule="auto"/>
        <w:jc w:val="both"/>
      </w:pPr>
      <w:r w:rsidRPr="00077581">
        <w:t>The women’s perception of effectiveness and their intention to continue these changes post-delivery underscore the sustainability and practicality of lifestyle-based interventions when tailored to pregnant populations. This suggests that incorporating such models into regular antenatal care can empower patients, reduce health system burden, and promote better perinatal outcomes.</w:t>
      </w:r>
    </w:p>
    <w:p w14:paraId="06D599C1" w14:textId="6DAF3948" w:rsidR="003D240C" w:rsidRPr="00806BAD" w:rsidRDefault="00D81433" w:rsidP="00EF0802">
      <w:pPr>
        <w:pStyle w:val="NormalWeb"/>
        <w:spacing w:before="0" w:beforeAutospacing="0" w:after="160" w:afterAutospacing="0" w:line="360" w:lineRule="auto"/>
        <w:jc w:val="both"/>
      </w:pPr>
      <w:r w:rsidRPr="00077581">
        <w:t xml:space="preserve">The cumulative clinical impact of the lifestyle modification intervention is both statistically significant and clinically meaningful. Improvements in awareness, </w:t>
      </w:r>
      <w:proofErr w:type="spellStart"/>
      <w:r w:rsidRPr="00077581">
        <w:t>behavior</w:t>
      </w:r>
      <w:proofErr w:type="spellEnd"/>
      <w:r w:rsidRPr="00077581">
        <w:t>, clinical biomarkers, and participant satisfaction demonstrate that such a structured, educational approach is effective in managing and preventing thyroid dysfunction and hypertensive disorders in pregnancy. The study affirms that non-pharmacological interventions, when integrated with existing antenatal care, can offer measurable health gains, empower pregnant women, and contribute to safer maternal outcomes. These findings provide a compelling case for scaling similar interventions across maternal health programs, particularly in resource-constrained settings.</w:t>
      </w:r>
    </w:p>
    <w:p w14:paraId="31312822" w14:textId="06F88366" w:rsidR="00D81433" w:rsidRPr="00077581" w:rsidRDefault="00D81433" w:rsidP="00EF0802">
      <w:pPr>
        <w:spacing w:line="360" w:lineRule="auto"/>
        <w:jc w:val="both"/>
        <w:rPr>
          <w:rFonts w:ascii="Times New Roman" w:hAnsi="Times New Roman" w:cs="Times New Roman"/>
          <w:b/>
          <w:bCs/>
        </w:rPr>
      </w:pPr>
      <w:r w:rsidRPr="00077581">
        <w:rPr>
          <w:rFonts w:ascii="Times New Roman" w:hAnsi="Times New Roman" w:cs="Times New Roman"/>
          <w:b/>
          <w:bCs/>
        </w:rPr>
        <w:t>4.10 Discussion of Findings with Literature</w:t>
      </w:r>
    </w:p>
    <w:p w14:paraId="45DD6848" w14:textId="77777777" w:rsidR="00D81433" w:rsidRPr="00077581" w:rsidRDefault="00D81433" w:rsidP="00EF0802">
      <w:pPr>
        <w:pStyle w:val="NormalWeb"/>
        <w:spacing w:before="0" w:beforeAutospacing="0" w:after="160" w:afterAutospacing="0" w:line="360" w:lineRule="auto"/>
        <w:jc w:val="both"/>
      </w:pPr>
      <w:r w:rsidRPr="00077581">
        <w:t xml:space="preserve">This section discusses the key findings of the study in relation to existing literature on the awareness, management, and clinical outcomes of thyroid dysfunction and hypertensive disorders during pregnancy. The results are interpreted thematically across five core domains: awareness, lifestyle practices, clinical parameters, </w:t>
      </w:r>
      <w:proofErr w:type="spellStart"/>
      <w:r w:rsidRPr="00077581">
        <w:t>behavioral</w:t>
      </w:r>
      <w:proofErr w:type="spellEnd"/>
      <w:r w:rsidRPr="00077581">
        <w:t xml:space="preserve"> adherence, and satisfaction—providing a well-rounded view of how the intervention influenced maternal health outcomes and how it aligns with or deviates from previous research.</w:t>
      </w:r>
    </w:p>
    <w:p w14:paraId="59F67A61" w14:textId="77777777" w:rsidR="00D81433" w:rsidRPr="00077581" w:rsidRDefault="00D81433" w:rsidP="00EF0802">
      <w:pPr>
        <w:pStyle w:val="Heading3"/>
        <w:spacing w:before="0" w:after="160" w:line="360" w:lineRule="auto"/>
        <w:jc w:val="both"/>
        <w:rPr>
          <w:rFonts w:ascii="Times New Roman" w:hAnsi="Times New Roman" w:cs="Times New Roman"/>
          <w:i/>
          <w:iCs/>
          <w:color w:val="auto"/>
        </w:rPr>
      </w:pPr>
      <w:r w:rsidRPr="00077581">
        <w:rPr>
          <w:rStyle w:val="Strong"/>
          <w:rFonts w:ascii="Times New Roman" w:hAnsi="Times New Roman" w:cs="Times New Roman"/>
          <w:i/>
          <w:iCs/>
          <w:color w:val="auto"/>
        </w:rPr>
        <w:lastRenderedPageBreak/>
        <w:t>A. Awareness and Knowledge Enhancement</w:t>
      </w:r>
    </w:p>
    <w:p w14:paraId="5FC1CE7A" w14:textId="77777777" w:rsidR="00D81433" w:rsidRPr="00077581" w:rsidRDefault="00D81433" w:rsidP="00EF0802">
      <w:pPr>
        <w:pStyle w:val="NormalWeb"/>
        <w:spacing w:before="0" w:beforeAutospacing="0" w:after="160" w:afterAutospacing="0" w:line="360" w:lineRule="auto"/>
        <w:jc w:val="both"/>
      </w:pPr>
      <w:r w:rsidRPr="00077581">
        <w:t xml:space="preserve">The significant improvement in awareness scores—from a mean of 3.44 in the pre-test to 6.25 in the post-test (p &lt; 0.001)—confirms the positive influence of structured education. These results are consistent with findings by Al Hashmi et al. (2019), who reported increased maternal knowledge about gestational thyroid disorders following a focused educational campaign. Similarly, research by Kaur and Kaur (2020) supports the idea that antenatal </w:t>
      </w:r>
      <w:proofErr w:type="spellStart"/>
      <w:r w:rsidRPr="00077581">
        <w:t>counseling</w:t>
      </w:r>
      <w:proofErr w:type="spellEnd"/>
      <w:r w:rsidRPr="00077581">
        <w:t xml:space="preserve"> improves awareness of pregnancy-related complications, particularly when delivered through interactive and culturally sensitive formats.</w:t>
      </w:r>
    </w:p>
    <w:p w14:paraId="291B0619" w14:textId="77777777" w:rsidR="00D81433" w:rsidRPr="00077581" w:rsidRDefault="00D81433" w:rsidP="00EF0802">
      <w:pPr>
        <w:pStyle w:val="NormalWeb"/>
        <w:spacing w:before="0" w:beforeAutospacing="0" w:after="160" w:afterAutospacing="0" w:line="360" w:lineRule="auto"/>
        <w:jc w:val="both"/>
      </w:pPr>
      <w:r w:rsidRPr="00077581">
        <w:t>Moreover, the increase in participants who reached the “high knowledge” category (from 15.0% to 42.5%) parallels the outcomes reported in studies by Mishra et al. (2017), where post-intervention knowledge scores increased by 30–40% following lifestyle workshops for pregnant women. These results also reinforce WHO recommendations advocating for community-based maternal education as a cost-effective public health intervention.</w:t>
      </w:r>
    </w:p>
    <w:p w14:paraId="0CC5B684" w14:textId="77777777" w:rsidR="00D81433" w:rsidRPr="00077581" w:rsidRDefault="00D81433" w:rsidP="00EF0802">
      <w:pPr>
        <w:spacing w:line="360" w:lineRule="auto"/>
        <w:jc w:val="both"/>
        <w:rPr>
          <w:rFonts w:ascii="Times New Roman" w:hAnsi="Times New Roman" w:cs="Times New Roman"/>
        </w:rPr>
      </w:pPr>
    </w:p>
    <w:p w14:paraId="17F799BB" w14:textId="77777777" w:rsidR="00D81433" w:rsidRPr="00077581" w:rsidRDefault="00D81433" w:rsidP="00EF0802">
      <w:pPr>
        <w:pStyle w:val="Heading3"/>
        <w:spacing w:before="0" w:after="160" w:line="360" w:lineRule="auto"/>
        <w:jc w:val="both"/>
        <w:rPr>
          <w:rFonts w:ascii="Times New Roman" w:hAnsi="Times New Roman" w:cs="Times New Roman"/>
          <w:i/>
          <w:iCs/>
          <w:color w:val="auto"/>
        </w:rPr>
      </w:pPr>
      <w:r w:rsidRPr="00077581">
        <w:rPr>
          <w:rStyle w:val="Strong"/>
          <w:rFonts w:ascii="Times New Roman" w:hAnsi="Times New Roman" w:cs="Times New Roman"/>
          <w:i/>
          <w:iCs/>
          <w:color w:val="auto"/>
        </w:rPr>
        <w:t xml:space="preserve">B. Lifestyle Modifications and </w:t>
      </w:r>
      <w:proofErr w:type="spellStart"/>
      <w:r w:rsidRPr="00077581">
        <w:rPr>
          <w:rStyle w:val="Strong"/>
          <w:rFonts w:ascii="Times New Roman" w:hAnsi="Times New Roman" w:cs="Times New Roman"/>
          <w:i/>
          <w:iCs/>
          <w:color w:val="auto"/>
        </w:rPr>
        <w:t>Behavioral</w:t>
      </w:r>
      <w:proofErr w:type="spellEnd"/>
      <w:r w:rsidRPr="00077581">
        <w:rPr>
          <w:rStyle w:val="Strong"/>
          <w:rFonts w:ascii="Times New Roman" w:hAnsi="Times New Roman" w:cs="Times New Roman"/>
          <w:i/>
          <w:iCs/>
          <w:color w:val="auto"/>
        </w:rPr>
        <w:t xml:space="preserve"> Shifts</w:t>
      </w:r>
    </w:p>
    <w:p w14:paraId="10D1621E" w14:textId="77777777" w:rsidR="00D81433" w:rsidRPr="00077581" w:rsidRDefault="00D81433" w:rsidP="00EF0802">
      <w:pPr>
        <w:pStyle w:val="NormalWeb"/>
        <w:spacing w:before="0" w:beforeAutospacing="0" w:after="160" w:afterAutospacing="0" w:line="360" w:lineRule="auto"/>
        <w:jc w:val="both"/>
      </w:pPr>
      <w:proofErr w:type="spellStart"/>
      <w:r w:rsidRPr="00077581">
        <w:t>Behavioral</w:t>
      </w:r>
      <w:proofErr w:type="spellEnd"/>
      <w:r w:rsidRPr="00077581">
        <w:t xml:space="preserve"> change was a central focus of the intervention, and the results provide compelling evidence of its effectiveness. Significant improvements were observed in dietary habits, physical activity, stress management, and supplement use, as confirmed by Wilcoxon and McNemar’s test results (p &lt; 0.001 across variables). For instance, the percentage of women exercising daily rose from 11.0% to 42.0%, and those adhering to a specific diet increased from 28.0% to 65.0%.</w:t>
      </w:r>
    </w:p>
    <w:p w14:paraId="4BADE1CE" w14:textId="77777777" w:rsidR="00D81433" w:rsidRPr="00077581" w:rsidRDefault="00D81433" w:rsidP="00EF0802">
      <w:pPr>
        <w:pStyle w:val="NormalWeb"/>
        <w:spacing w:before="0" w:beforeAutospacing="0" w:after="160" w:afterAutospacing="0" w:line="360" w:lineRule="auto"/>
        <w:jc w:val="both"/>
      </w:pPr>
      <w:r w:rsidRPr="00077581">
        <w:t xml:space="preserve">These findings echo those of Radhika et al. (2021), who demonstrated that </w:t>
      </w:r>
      <w:proofErr w:type="spellStart"/>
      <w:r w:rsidRPr="00077581">
        <w:t>behavioral</w:t>
      </w:r>
      <w:proofErr w:type="spellEnd"/>
      <w:r w:rsidRPr="00077581">
        <w:t xml:space="preserve"> interventions in pregnant women can significantly reduce salt intake and increase the intake of micronutrients. Similarly, a study by Vellanki et al. (2018) found that prenatal yoga and walking improved not only maternal physical health but also mood and stress resilience, which aligns with this study’s 35.5% increase in participants reporting adequate sleep and 35.5% rise in stress management </w:t>
      </w:r>
      <w:proofErr w:type="spellStart"/>
      <w:r w:rsidRPr="00077581">
        <w:t>behaviors</w:t>
      </w:r>
      <w:proofErr w:type="spellEnd"/>
      <w:r w:rsidRPr="00077581">
        <w:t>.</w:t>
      </w:r>
    </w:p>
    <w:p w14:paraId="68BC6B8F" w14:textId="77777777" w:rsidR="00D81433" w:rsidRPr="00077581" w:rsidRDefault="00D81433" w:rsidP="00EF0802">
      <w:pPr>
        <w:pStyle w:val="NormalWeb"/>
        <w:spacing w:before="0" w:beforeAutospacing="0" w:after="160" w:afterAutospacing="0" w:line="360" w:lineRule="auto"/>
        <w:jc w:val="both"/>
        <w:rPr>
          <w:rStyle w:val="Strong"/>
          <w:b w:val="0"/>
          <w:bCs w:val="0"/>
        </w:rPr>
      </w:pPr>
      <w:r w:rsidRPr="00077581">
        <w:t xml:space="preserve">The emphasis on practical, culturally appropriate strategies—such as meal planning with local foods and integrating stress relief into daily routines—likely contributed to </w:t>
      </w:r>
      <w:r w:rsidRPr="00077581">
        <w:lastRenderedPageBreak/>
        <w:t xml:space="preserve">this success. These approaches are supported by guidelines from the Indian Council of Medical Research (ICMR), which advocate for personalized antenatal </w:t>
      </w:r>
      <w:proofErr w:type="spellStart"/>
      <w:r w:rsidRPr="00077581">
        <w:t>counseling</w:t>
      </w:r>
      <w:proofErr w:type="spellEnd"/>
      <w:r w:rsidRPr="00077581">
        <w:t xml:space="preserve"> tailored to socio-economic contexts.</w:t>
      </w:r>
    </w:p>
    <w:p w14:paraId="70E32D1A" w14:textId="77777777" w:rsidR="00CC5373" w:rsidRDefault="00CC5373" w:rsidP="00EF0802">
      <w:pPr>
        <w:pStyle w:val="Heading3"/>
        <w:spacing w:before="0" w:after="160" w:line="360" w:lineRule="auto"/>
        <w:jc w:val="both"/>
        <w:rPr>
          <w:rStyle w:val="Strong"/>
          <w:rFonts w:ascii="Times New Roman" w:hAnsi="Times New Roman" w:cs="Times New Roman"/>
          <w:i/>
          <w:iCs/>
          <w:color w:val="auto"/>
        </w:rPr>
      </w:pPr>
    </w:p>
    <w:p w14:paraId="3A9ED378" w14:textId="5C3B7ACF" w:rsidR="00D81433" w:rsidRPr="00077581" w:rsidRDefault="00D81433" w:rsidP="00EF0802">
      <w:pPr>
        <w:pStyle w:val="Heading3"/>
        <w:spacing w:before="0" w:after="160" w:line="360" w:lineRule="auto"/>
        <w:jc w:val="both"/>
        <w:rPr>
          <w:rFonts w:ascii="Times New Roman" w:hAnsi="Times New Roman" w:cs="Times New Roman"/>
          <w:i/>
          <w:iCs/>
          <w:color w:val="auto"/>
        </w:rPr>
      </w:pPr>
      <w:r w:rsidRPr="00077581">
        <w:rPr>
          <w:rStyle w:val="Strong"/>
          <w:rFonts w:ascii="Times New Roman" w:hAnsi="Times New Roman" w:cs="Times New Roman"/>
          <w:i/>
          <w:iCs/>
          <w:color w:val="auto"/>
        </w:rPr>
        <w:t>C. Clinical Outcomes and Biochemical Indicators</w:t>
      </w:r>
    </w:p>
    <w:p w14:paraId="7A23649A" w14:textId="77777777" w:rsidR="00D81433" w:rsidRPr="00077581" w:rsidRDefault="00D81433" w:rsidP="00EF0802">
      <w:pPr>
        <w:pStyle w:val="NormalWeb"/>
        <w:spacing w:before="0" w:beforeAutospacing="0" w:after="160" w:afterAutospacing="0" w:line="360" w:lineRule="auto"/>
        <w:jc w:val="both"/>
      </w:pPr>
      <w:r w:rsidRPr="00077581">
        <w:t xml:space="preserve">Post-intervention, statistically significant improvements were noted in all key clinical markers: TSH levels declined from 4.8 to 2.8 </w:t>
      </w:r>
      <w:proofErr w:type="spellStart"/>
      <w:r w:rsidRPr="00077581">
        <w:t>mIU</w:t>
      </w:r>
      <w:proofErr w:type="spellEnd"/>
      <w:r w:rsidRPr="00077581">
        <w:t>/L; systolic and diastolic BP dropped by over 10 mmHg; and both fasting and random blood glucose levels improved (p &lt; 0.0001). These results are consistent with the literature indicating that lifestyle modification can impact endocrine and cardiovascular health even during pregnancy.</w:t>
      </w:r>
    </w:p>
    <w:p w14:paraId="3AD7691F" w14:textId="77777777" w:rsidR="00D81433" w:rsidRPr="00077581" w:rsidRDefault="00D81433" w:rsidP="00EF0802">
      <w:pPr>
        <w:pStyle w:val="NormalWeb"/>
        <w:spacing w:before="0" w:beforeAutospacing="0" w:after="160" w:afterAutospacing="0" w:line="360" w:lineRule="auto"/>
        <w:jc w:val="both"/>
      </w:pPr>
      <w:r w:rsidRPr="00077581">
        <w:t xml:space="preserve">A study by </w:t>
      </w:r>
      <w:proofErr w:type="spellStart"/>
      <w:r w:rsidRPr="00077581">
        <w:t>Nazarpour</w:t>
      </w:r>
      <w:proofErr w:type="spellEnd"/>
      <w:r w:rsidRPr="00077581">
        <w:t xml:space="preserve"> et al. (2016) found that pregnant women with borderline hypothyroidism responded well to diet and stress reduction interventions, resulting in improved Free T4 levels—similar to the increase from 0.9 to 1.2 ng/dL in the present study. Likewise, research by ACOG (2020) emphasizes that lifestyle factors such as salt reduction, physical activity, and sleep hygiene are critical non-pharmacological strategies for managing gestational hypertension.</w:t>
      </w:r>
    </w:p>
    <w:p w14:paraId="74E8A9CB" w14:textId="77777777" w:rsidR="00D81433" w:rsidRPr="00077581" w:rsidRDefault="00D81433" w:rsidP="00EF0802">
      <w:pPr>
        <w:pStyle w:val="NormalWeb"/>
        <w:spacing w:before="0" w:beforeAutospacing="0" w:after="160" w:afterAutospacing="0" w:line="360" w:lineRule="auto"/>
        <w:jc w:val="both"/>
      </w:pPr>
      <w:r w:rsidRPr="00077581">
        <w:t xml:space="preserve">Furthermore, the significant reduction in proteinuria—from 30.0% to 10.0%—mirrors findings from a study by Adiga et al. (2022), where integrated lifestyle and dietary </w:t>
      </w:r>
      <w:proofErr w:type="spellStart"/>
      <w:r w:rsidRPr="00077581">
        <w:t>counseling</w:t>
      </w:r>
      <w:proofErr w:type="spellEnd"/>
      <w:r w:rsidRPr="00077581">
        <w:t xml:space="preserve"> led to a 60% decrease in cases of gestational proteinuria. These improvements support the hypothesis that structured education has a measurable physiological impact.</w:t>
      </w:r>
    </w:p>
    <w:p w14:paraId="1CC6C14A" w14:textId="77777777" w:rsidR="00D81433" w:rsidRPr="00077581" w:rsidRDefault="00D81433" w:rsidP="00EF0802">
      <w:pPr>
        <w:spacing w:line="360" w:lineRule="auto"/>
        <w:jc w:val="both"/>
        <w:rPr>
          <w:rFonts w:ascii="Times New Roman" w:hAnsi="Times New Roman" w:cs="Times New Roman"/>
        </w:rPr>
      </w:pPr>
    </w:p>
    <w:p w14:paraId="0FF20722" w14:textId="77777777" w:rsidR="00D81433" w:rsidRPr="00077581" w:rsidRDefault="00D81433" w:rsidP="00EF0802">
      <w:pPr>
        <w:pStyle w:val="Heading3"/>
        <w:spacing w:before="0" w:after="160" w:line="360" w:lineRule="auto"/>
        <w:jc w:val="both"/>
        <w:rPr>
          <w:rFonts w:ascii="Times New Roman" w:hAnsi="Times New Roman" w:cs="Times New Roman"/>
          <w:i/>
          <w:iCs/>
          <w:color w:val="auto"/>
        </w:rPr>
      </w:pPr>
      <w:r w:rsidRPr="00077581">
        <w:rPr>
          <w:rStyle w:val="Strong"/>
          <w:rFonts w:ascii="Times New Roman" w:hAnsi="Times New Roman" w:cs="Times New Roman"/>
          <w:i/>
          <w:iCs/>
          <w:color w:val="auto"/>
        </w:rPr>
        <w:t>D. Medication Use and Health System Engagement</w:t>
      </w:r>
    </w:p>
    <w:p w14:paraId="53084F42" w14:textId="77777777" w:rsidR="00D81433" w:rsidRPr="00077581" w:rsidRDefault="00D81433" w:rsidP="00EF0802">
      <w:pPr>
        <w:pStyle w:val="NormalWeb"/>
        <w:spacing w:before="0" w:beforeAutospacing="0" w:after="160" w:afterAutospacing="0" w:line="360" w:lineRule="auto"/>
        <w:jc w:val="both"/>
      </w:pPr>
      <w:r w:rsidRPr="00077581">
        <w:t>Another positive outcome was the observed change in medication use and follow-up practices. While overall use of thyroid and BP medications slightly declined (from 40.0% to 35.0%), 25.0% of women had their doses reduced post-intervention, suggesting improved self-regulation through non-drug means. This supports findings by Sharma et al. (2019), who reported that patient education in gestational diabetes reduced insulin dependency in over 20% of participants.</w:t>
      </w:r>
    </w:p>
    <w:p w14:paraId="00D581C1" w14:textId="77777777" w:rsidR="00D81433" w:rsidRPr="00077581" w:rsidRDefault="00D81433" w:rsidP="00EF0802">
      <w:pPr>
        <w:pStyle w:val="NormalWeb"/>
        <w:spacing w:before="0" w:beforeAutospacing="0" w:after="160" w:afterAutospacing="0" w:line="360" w:lineRule="auto"/>
        <w:jc w:val="both"/>
      </w:pPr>
      <w:r w:rsidRPr="00077581">
        <w:lastRenderedPageBreak/>
        <w:t xml:space="preserve">More notably, engagement with healthcare monitoring improved, with 40.0% of participants checking blood pressure weekly and 77.5% undergoing thyroid function monitoring within 3 months. These figures represent a </w:t>
      </w:r>
      <w:proofErr w:type="spellStart"/>
      <w:r w:rsidRPr="00077581">
        <w:t>behavioral</w:t>
      </w:r>
      <w:proofErr w:type="spellEnd"/>
      <w:r w:rsidRPr="00077581">
        <w:t xml:space="preserve"> shift toward proactive health management. Similar trends were documented by Anjali et al. (2021), who found that educational programs increased ANC follow-up compliance and reduced late-pregnancy complications.</w:t>
      </w:r>
    </w:p>
    <w:p w14:paraId="5E712866" w14:textId="77777777" w:rsidR="00CC5373" w:rsidRDefault="00CC5373" w:rsidP="00EF0802">
      <w:pPr>
        <w:pStyle w:val="Heading3"/>
        <w:spacing w:before="0" w:after="160" w:line="360" w:lineRule="auto"/>
        <w:jc w:val="both"/>
        <w:rPr>
          <w:rStyle w:val="Strong"/>
          <w:rFonts w:ascii="Times New Roman" w:hAnsi="Times New Roman" w:cs="Times New Roman"/>
          <w:i/>
          <w:iCs/>
          <w:color w:val="auto"/>
        </w:rPr>
      </w:pPr>
    </w:p>
    <w:p w14:paraId="2CCCE944" w14:textId="56463521" w:rsidR="00D81433" w:rsidRPr="00077581" w:rsidRDefault="00D81433" w:rsidP="00EF0802">
      <w:pPr>
        <w:pStyle w:val="Heading3"/>
        <w:spacing w:before="0" w:after="160" w:line="360" w:lineRule="auto"/>
        <w:jc w:val="both"/>
        <w:rPr>
          <w:rFonts w:ascii="Times New Roman" w:hAnsi="Times New Roman" w:cs="Times New Roman"/>
          <w:i/>
          <w:iCs/>
          <w:color w:val="auto"/>
        </w:rPr>
      </w:pPr>
      <w:r w:rsidRPr="00077581">
        <w:rPr>
          <w:rStyle w:val="Strong"/>
          <w:rFonts w:ascii="Times New Roman" w:hAnsi="Times New Roman" w:cs="Times New Roman"/>
          <w:i/>
          <w:iCs/>
          <w:color w:val="auto"/>
        </w:rPr>
        <w:t>E. Perception, Satisfaction, and Program Acceptability</w:t>
      </w:r>
    </w:p>
    <w:p w14:paraId="4C1D9102" w14:textId="77777777" w:rsidR="00D81433" w:rsidRPr="00077581" w:rsidRDefault="00D81433" w:rsidP="00EF0802">
      <w:pPr>
        <w:pStyle w:val="NormalWeb"/>
        <w:spacing w:before="0" w:beforeAutospacing="0" w:after="160" w:afterAutospacing="0" w:line="360" w:lineRule="auto"/>
        <w:jc w:val="both"/>
      </w:pPr>
      <w:r w:rsidRPr="00077581">
        <w:t xml:space="preserve">Participant satisfaction and feedback form a critical qualitative dimension of clinical impact. As reported in Table 4.22, 85.0% of women were satisfied or very satisfied with the guidance provided. Furthermore, 75.0% expressed a willingness to continue the adopted lifestyle </w:t>
      </w:r>
      <w:proofErr w:type="spellStart"/>
      <w:r w:rsidRPr="00077581">
        <w:t>behaviors</w:t>
      </w:r>
      <w:proofErr w:type="spellEnd"/>
      <w:r w:rsidRPr="00077581">
        <w:t xml:space="preserve"> post-delivery, suggesting a lasting </w:t>
      </w:r>
      <w:proofErr w:type="spellStart"/>
      <w:r w:rsidRPr="00077581">
        <w:t>behavioral</w:t>
      </w:r>
      <w:proofErr w:type="spellEnd"/>
      <w:r w:rsidRPr="00077581">
        <w:t xml:space="preserve"> imprint.</w:t>
      </w:r>
    </w:p>
    <w:p w14:paraId="2550DDDF" w14:textId="77777777" w:rsidR="00D81433" w:rsidRPr="00077581" w:rsidRDefault="00D81433" w:rsidP="00EF0802">
      <w:pPr>
        <w:pStyle w:val="NormalWeb"/>
        <w:spacing w:before="0" w:beforeAutospacing="0" w:after="160" w:afterAutospacing="0" w:line="360" w:lineRule="auto"/>
        <w:jc w:val="both"/>
      </w:pPr>
      <w:r w:rsidRPr="00077581">
        <w:t>These responses are consistent with patient-</w:t>
      </w:r>
      <w:proofErr w:type="spellStart"/>
      <w:r w:rsidRPr="00077581">
        <w:t>centered</w:t>
      </w:r>
      <w:proofErr w:type="spellEnd"/>
      <w:r w:rsidRPr="00077581">
        <w:t xml:space="preserve"> care models discussed by Bastani et al. (2015), which emphasize empowerment, autonomy, and contextual learning as key elements of antenatal success. When interventions are participatory and responsive to patient needs, satisfaction increases—ultimately translating into better adherence and outcomes. This study's focus on personalized </w:t>
      </w:r>
      <w:proofErr w:type="spellStart"/>
      <w:r w:rsidRPr="00077581">
        <w:t>counseling</w:t>
      </w:r>
      <w:proofErr w:type="spellEnd"/>
      <w:r w:rsidRPr="00077581">
        <w:t xml:space="preserve"> and regular reinforcement during ANC visits likely contributed to the strong satisfaction metrics.</w:t>
      </w:r>
    </w:p>
    <w:p w14:paraId="2A5C719B" w14:textId="77777777" w:rsidR="00D81433" w:rsidRPr="00077581" w:rsidRDefault="00D81433" w:rsidP="00EF0802">
      <w:pPr>
        <w:pStyle w:val="NormalWeb"/>
        <w:spacing w:before="0" w:beforeAutospacing="0" w:after="160" w:afterAutospacing="0" w:line="360" w:lineRule="auto"/>
        <w:jc w:val="both"/>
      </w:pPr>
      <w:r w:rsidRPr="00077581">
        <w:t xml:space="preserve">It is noteworthy, however, that 30.0% of participants faced barriers, including time constraints and lack of familial support. These barriers reflect findings from Goyal et al. (2020), who argued that even well-designed interventions must include family </w:t>
      </w:r>
      <w:proofErr w:type="spellStart"/>
      <w:r w:rsidRPr="00077581">
        <w:t>counseling</w:t>
      </w:r>
      <w:proofErr w:type="spellEnd"/>
      <w:r w:rsidRPr="00077581">
        <w:t xml:space="preserve"> and workplace flexibility components to ensure equitable participation.</w:t>
      </w:r>
    </w:p>
    <w:p w14:paraId="377F06A0" w14:textId="77777777" w:rsidR="00D81433" w:rsidRPr="00077581" w:rsidRDefault="00D81433" w:rsidP="00EF0802">
      <w:pPr>
        <w:spacing w:line="360" w:lineRule="auto"/>
        <w:jc w:val="both"/>
        <w:rPr>
          <w:rFonts w:ascii="Times New Roman" w:hAnsi="Times New Roman" w:cs="Times New Roman"/>
        </w:rPr>
      </w:pPr>
    </w:p>
    <w:p w14:paraId="1F2DEE43" w14:textId="77777777" w:rsidR="00D81433" w:rsidRPr="00077581" w:rsidRDefault="00D81433" w:rsidP="00EF0802">
      <w:pPr>
        <w:pStyle w:val="Heading3"/>
        <w:spacing w:before="0" w:after="160" w:line="360" w:lineRule="auto"/>
        <w:jc w:val="both"/>
        <w:rPr>
          <w:rFonts w:ascii="Times New Roman" w:hAnsi="Times New Roman" w:cs="Times New Roman"/>
          <w:i/>
          <w:iCs/>
          <w:color w:val="auto"/>
        </w:rPr>
      </w:pPr>
      <w:r w:rsidRPr="00077581">
        <w:rPr>
          <w:rStyle w:val="Strong"/>
          <w:rFonts w:ascii="Times New Roman" w:hAnsi="Times New Roman" w:cs="Times New Roman"/>
          <w:i/>
          <w:iCs/>
          <w:color w:val="auto"/>
        </w:rPr>
        <w:t>F. Synthesis of Results with Global and National Guidelines</w:t>
      </w:r>
    </w:p>
    <w:p w14:paraId="401A346A" w14:textId="77777777" w:rsidR="00D81433" w:rsidRPr="00077581" w:rsidRDefault="00D81433" w:rsidP="00EF0802">
      <w:pPr>
        <w:pStyle w:val="NormalWeb"/>
        <w:spacing w:before="0" w:beforeAutospacing="0" w:after="160" w:afterAutospacing="0" w:line="360" w:lineRule="auto"/>
        <w:jc w:val="both"/>
      </w:pPr>
      <w:r w:rsidRPr="00077581">
        <w:t>The outcomes of this study align well with broader maternal health frameworks. The WHO’s “Global Strategy for Women’s, Children’s and Adolescents’ Health (2016–2030)” underscores the importance of integrating lifestyle education into antenatal care. Similarly, India's RMNCH+A strategy advocates for the holistic management of maternal conditions through awareness, early detection, and community-based interventions.</w:t>
      </w:r>
    </w:p>
    <w:p w14:paraId="32CAD819" w14:textId="098FFB38" w:rsidR="00D81433" w:rsidRPr="00077581" w:rsidRDefault="00D81433" w:rsidP="00EF0802">
      <w:pPr>
        <w:pStyle w:val="NormalWeb"/>
        <w:spacing w:before="0" w:beforeAutospacing="0" w:after="160" w:afterAutospacing="0" w:line="360" w:lineRule="auto"/>
        <w:jc w:val="both"/>
      </w:pPr>
      <w:r w:rsidRPr="00077581">
        <w:lastRenderedPageBreak/>
        <w:t xml:space="preserve">The findings also resonate with National Health Mission initiatives such as </w:t>
      </w:r>
      <w:r w:rsidRPr="00077581">
        <w:rPr>
          <w:rStyle w:val="Emphasis"/>
        </w:rPr>
        <w:t xml:space="preserve">Pradhan Mantri </w:t>
      </w:r>
      <w:proofErr w:type="spellStart"/>
      <w:r w:rsidRPr="00077581">
        <w:rPr>
          <w:rStyle w:val="Emphasis"/>
        </w:rPr>
        <w:t>Surakshit</w:t>
      </w:r>
      <w:proofErr w:type="spellEnd"/>
      <w:r w:rsidRPr="00077581">
        <w:rPr>
          <w:rStyle w:val="Emphasis"/>
        </w:rPr>
        <w:t xml:space="preserve"> </w:t>
      </w:r>
      <w:proofErr w:type="spellStart"/>
      <w:r w:rsidRPr="00077581">
        <w:rPr>
          <w:rStyle w:val="Emphasis"/>
        </w:rPr>
        <w:t>Matritva</w:t>
      </w:r>
      <w:proofErr w:type="spellEnd"/>
      <w:r w:rsidRPr="00077581">
        <w:rPr>
          <w:rStyle w:val="Emphasis"/>
        </w:rPr>
        <w:t xml:space="preserve"> Abhiyan (PMSMA)</w:t>
      </w:r>
      <w:r w:rsidRPr="00077581">
        <w:t xml:space="preserve">, which emphasizes early risk identification and </w:t>
      </w:r>
      <w:proofErr w:type="spellStart"/>
      <w:r w:rsidRPr="00077581">
        <w:t>counseling</w:t>
      </w:r>
      <w:proofErr w:type="spellEnd"/>
      <w:r w:rsidRPr="00077581">
        <w:t>. The intervention model tested in this study could be adapted as a scalable component within these frameworks, particularly in semi-urban and rural settings where awareness is lower.</w:t>
      </w:r>
    </w:p>
    <w:p w14:paraId="2AD1084E" w14:textId="77777777" w:rsidR="00D81433" w:rsidRPr="00077581" w:rsidRDefault="00D81433" w:rsidP="00EF0802">
      <w:pPr>
        <w:pStyle w:val="NormalWeb"/>
        <w:spacing w:before="0" w:beforeAutospacing="0" w:after="160" w:afterAutospacing="0" w:line="360" w:lineRule="auto"/>
        <w:jc w:val="both"/>
      </w:pPr>
      <w:r w:rsidRPr="00077581">
        <w:t xml:space="preserve">This study demonstrated that a structured, culturally sensitive lifestyle intervention during pregnancy can significantly improve awareness, health </w:t>
      </w:r>
      <w:proofErr w:type="spellStart"/>
      <w:r w:rsidRPr="00077581">
        <w:t>behaviors</w:t>
      </w:r>
      <w:proofErr w:type="spellEnd"/>
      <w:r w:rsidRPr="00077581">
        <w:t>, clinical outcomes, and participant satisfaction. The results are in alignment with a growing body of literature that supports non-pharmacological strategies for managing thyroid and hypertensive conditions during pregnancy.</w:t>
      </w:r>
    </w:p>
    <w:p w14:paraId="560DFBD3" w14:textId="77777777" w:rsidR="00E9690B" w:rsidRDefault="00D81433" w:rsidP="00EF0802">
      <w:pPr>
        <w:pStyle w:val="NormalWeb"/>
        <w:spacing w:before="0" w:beforeAutospacing="0" w:after="160" w:afterAutospacing="0" w:line="360" w:lineRule="auto"/>
        <w:jc w:val="both"/>
      </w:pPr>
      <w:r w:rsidRPr="00077581">
        <w:t>The findings offer practical insights for maternal health practitioners, program developers, and policymakers, emphasizing that antenatal education—when grounded in evidence, supported with follow-up, and tailored to local needs—can transform maternal health trajectories. Future interventions should address identified barriers, involve family education, and consider long-term tracking to assess postpartum sustainability.</w:t>
      </w:r>
    </w:p>
    <w:p w14:paraId="4B4BB1FA" w14:textId="77777777" w:rsidR="00E9690B" w:rsidRDefault="00E9690B" w:rsidP="00EF0802">
      <w:pPr>
        <w:pStyle w:val="NormalWeb"/>
        <w:spacing w:before="0" w:beforeAutospacing="0" w:after="160" w:afterAutospacing="0" w:line="360" w:lineRule="auto"/>
        <w:jc w:val="both"/>
        <w:rPr>
          <w:b/>
          <w:bCs/>
        </w:rPr>
      </w:pPr>
    </w:p>
    <w:p w14:paraId="08B6E8E5" w14:textId="47560D5E" w:rsidR="00D81433" w:rsidRPr="00DC3CA9" w:rsidRDefault="00D81433" w:rsidP="00EF0802">
      <w:pPr>
        <w:pStyle w:val="NormalWeb"/>
        <w:spacing w:before="0" w:beforeAutospacing="0" w:after="160" w:afterAutospacing="0" w:line="360" w:lineRule="auto"/>
        <w:jc w:val="both"/>
      </w:pPr>
      <w:r w:rsidRPr="00077581">
        <w:rPr>
          <w:b/>
          <w:bCs/>
        </w:rPr>
        <w:t>4.11 Summary of Chapter</w:t>
      </w:r>
    </w:p>
    <w:p w14:paraId="6C115402" w14:textId="77777777" w:rsidR="00D81433" w:rsidRPr="00077581" w:rsidRDefault="00D81433" w:rsidP="00EF0802">
      <w:pPr>
        <w:pStyle w:val="NormalWeb"/>
        <w:spacing w:before="0" w:beforeAutospacing="0" w:after="160" w:afterAutospacing="0" w:line="360" w:lineRule="auto"/>
        <w:jc w:val="both"/>
      </w:pPr>
      <w:r w:rsidRPr="00077581">
        <w:t xml:space="preserve">Chapter 4 presented a detailed analysis of the results obtained from the study on the impact of lifestyle modification interventions among pregnant women with or at risk of thyroid dysfunction and hypertension. The chapter began with a demographic profile of the participants, highlighting diversity in age, education, income, gestational age, and parity. Subsequent sections demonstrated a significant improvement in awareness and knowledge scores following the intervention, as confirmed by paired sample t-tests. Lifestyle </w:t>
      </w:r>
      <w:proofErr w:type="spellStart"/>
      <w:r w:rsidRPr="00077581">
        <w:t>behaviors</w:t>
      </w:r>
      <w:proofErr w:type="spellEnd"/>
      <w:r w:rsidRPr="00077581">
        <w:t>, including diet, exercise, sleep, and stress management, showed statistically significant positive changes, validated through Wilcoxon Signed-Rank and McNemar’s tests.</w:t>
      </w:r>
    </w:p>
    <w:p w14:paraId="7DC6F696" w14:textId="78212246" w:rsidR="00D81433" w:rsidRPr="002A296D" w:rsidRDefault="00D81433" w:rsidP="00EF0802">
      <w:pPr>
        <w:pStyle w:val="NormalWeb"/>
        <w:spacing w:before="0" w:beforeAutospacing="0" w:after="160" w:afterAutospacing="0" w:line="360" w:lineRule="auto"/>
        <w:jc w:val="both"/>
      </w:pPr>
      <w:r w:rsidRPr="00077581">
        <w:t xml:space="preserve">Clinical indicators such as TSH, blood pressure, and glucose levels improved meaningfully, and the presence of proteinuria was notably reduced post-intervention. These changes were statistically supported by paired t-tests, indicating a strong physiological impact of the program. The study also observed a reduction in medication </w:t>
      </w:r>
      <w:r w:rsidRPr="00077581">
        <w:lastRenderedPageBreak/>
        <w:t xml:space="preserve">dependency and enhanced adherence to monitoring routines such as regular blood pressure and thyroid checks. Participant-reported outcomes further confirmed these benefits, with a majority acknowledging improvements in their health, reduced symptoms, and a greater engagement with medical </w:t>
      </w:r>
      <w:proofErr w:type="spellStart"/>
      <w:proofErr w:type="gramStart"/>
      <w:r w:rsidRPr="00077581">
        <w:t>advice.Satisfaction</w:t>
      </w:r>
      <w:proofErr w:type="spellEnd"/>
      <w:proofErr w:type="gramEnd"/>
      <w:r w:rsidRPr="00077581">
        <w:t xml:space="preserve"> levels with the intervention were high, with most participants expressing confidence in continuing lifestyle changes even after pregnancy. While some reported barriers to implementation, the overall response suggested a high degree of acceptability and feasibility of the program. The chapter concluded with a discussion integrating the findings with existing literature, which reinforced the effectiveness of structured, educational interventions in antenatal care. Collectively, the findings support the hypothesis that lifestyle education and </w:t>
      </w:r>
      <w:proofErr w:type="spellStart"/>
      <w:r w:rsidRPr="00077581">
        <w:t>behavioral</w:t>
      </w:r>
      <w:proofErr w:type="spellEnd"/>
      <w:r w:rsidRPr="00077581">
        <w:t xml:space="preserve"> support can produce measurable improvements in awareness, practices, and maternal health outcomes.</w:t>
      </w:r>
    </w:p>
    <w:p w14:paraId="5CBD1F94" w14:textId="77777777" w:rsidR="003D240C" w:rsidRDefault="003D240C" w:rsidP="00EF0802">
      <w:pPr>
        <w:spacing w:line="360" w:lineRule="auto"/>
        <w:jc w:val="center"/>
        <w:rPr>
          <w:rFonts w:ascii="Times New Roman" w:hAnsi="Times New Roman" w:cs="Times New Roman"/>
          <w:b/>
          <w:bCs/>
          <w:sz w:val="28"/>
          <w:szCs w:val="28"/>
        </w:rPr>
      </w:pPr>
    </w:p>
    <w:p w14:paraId="3E334C5B" w14:textId="77777777" w:rsidR="003D240C" w:rsidRDefault="003D240C" w:rsidP="00EF0802">
      <w:pPr>
        <w:spacing w:line="360" w:lineRule="auto"/>
        <w:jc w:val="center"/>
        <w:rPr>
          <w:rFonts w:ascii="Times New Roman" w:hAnsi="Times New Roman" w:cs="Times New Roman"/>
          <w:b/>
          <w:bCs/>
          <w:sz w:val="28"/>
          <w:szCs w:val="28"/>
        </w:rPr>
      </w:pPr>
    </w:p>
    <w:p w14:paraId="4BEF3D59" w14:textId="77777777" w:rsidR="003D240C" w:rsidRDefault="003D240C" w:rsidP="00EF0802">
      <w:pPr>
        <w:spacing w:line="360" w:lineRule="auto"/>
        <w:jc w:val="center"/>
        <w:rPr>
          <w:rFonts w:ascii="Times New Roman" w:hAnsi="Times New Roman" w:cs="Times New Roman"/>
          <w:b/>
          <w:bCs/>
          <w:sz w:val="28"/>
          <w:szCs w:val="28"/>
        </w:rPr>
      </w:pPr>
    </w:p>
    <w:p w14:paraId="173DCE2E" w14:textId="77777777" w:rsidR="003D240C" w:rsidRDefault="003D240C" w:rsidP="00EF0802">
      <w:pPr>
        <w:spacing w:line="360" w:lineRule="auto"/>
        <w:jc w:val="center"/>
        <w:rPr>
          <w:rFonts w:ascii="Times New Roman" w:hAnsi="Times New Roman" w:cs="Times New Roman"/>
          <w:b/>
          <w:bCs/>
          <w:sz w:val="28"/>
          <w:szCs w:val="28"/>
        </w:rPr>
      </w:pPr>
    </w:p>
    <w:p w14:paraId="6BACC120" w14:textId="77777777" w:rsidR="003D240C" w:rsidRDefault="003D240C" w:rsidP="00EF0802">
      <w:pPr>
        <w:spacing w:line="360" w:lineRule="auto"/>
        <w:jc w:val="center"/>
        <w:rPr>
          <w:rFonts w:ascii="Times New Roman" w:hAnsi="Times New Roman" w:cs="Times New Roman"/>
          <w:b/>
          <w:bCs/>
          <w:sz w:val="28"/>
          <w:szCs w:val="28"/>
        </w:rPr>
      </w:pPr>
    </w:p>
    <w:p w14:paraId="26E0760B" w14:textId="77777777" w:rsidR="003D240C" w:rsidRDefault="003D240C" w:rsidP="00EF0802">
      <w:pPr>
        <w:spacing w:line="360" w:lineRule="auto"/>
        <w:jc w:val="center"/>
        <w:rPr>
          <w:rFonts w:ascii="Times New Roman" w:hAnsi="Times New Roman" w:cs="Times New Roman"/>
          <w:b/>
          <w:bCs/>
          <w:sz w:val="28"/>
          <w:szCs w:val="28"/>
        </w:rPr>
      </w:pPr>
    </w:p>
    <w:p w14:paraId="5ACE6D22" w14:textId="77777777" w:rsidR="003D240C" w:rsidRDefault="003D240C" w:rsidP="00EF0802">
      <w:pPr>
        <w:spacing w:line="360" w:lineRule="auto"/>
        <w:jc w:val="center"/>
        <w:rPr>
          <w:rFonts w:ascii="Times New Roman" w:hAnsi="Times New Roman" w:cs="Times New Roman"/>
          <w:b/>
          <w:bCs/>
          <w:sz w:val="28"/>
          <w:szCs w:val="28"/>
        </w:rPr>
      </w:pPr>
    </w:p>
    <w:p w14:paraId="2105FD7B" w14:textId="77777777" w:rsidR="003D240C" w:rsidRDefault="003D240C" w:rsidP="00EF0802">
      <w:pPr>
        <w:spacing w:line="360" w:lineRule="auto"/>
        <w:jc w:val="center"/>
        <w:rPr>
          <w:rFonts w:ascii="Times New Roman" w:hAnsi="Times New Roman" w:cs="Times New Roman"/>
          <w:b/>
          <w:bCs/>
          <w:sz w:val="28"/>
          <w:szCs w:val="28"/>
        </w:rPr>
      </w:pPr>
    </w:p>
    <w:p w14:paraId="35D8DCCB" w14:textId="77777777" w:rsidR="003D240C" w:rsidRDefault="003D240C" w:rsidP="00EF0802">
      <w:pPr>
        <w:spacing w:line="360" w:lineRule="auto"/>
        <w:jc w:val="center"/>
        <w:rPr>
          <w:rFonts w:ascii="Times New Roman" w:hAnsi="Times New Roman" w:cs="Times New Roman"/>
          <w:b/>
          <w:bCs/>
          <w:sz w:val="28"/>
          <w:szCs w:val="28"/>
        </w:rPr>
      </w:pPr>
    </w:p>
    <w:p w14:paraId="6AD2E449" w14:textId="77777777" w:rsidR="003D240C" w:rsidRDefault="003D240C" w:rsidP="00EF0802">
      <w:pPr>
        <w:spacing w:line="360" w:lineRule="auto"/>
        <w:jc w:val="center"/>
        <w:rPr>
          <w:rFonts w:ascii="Times New Roman" w:hAnsi="Times New Roman" w:cs="Times New Roman"/>
          <w:b/>
          <w:bCs/>
          <w:sz w:val="28"/>
          <w:szCs w:val="28"/>
        </w:rPr>
      </w:pPr>
    </w:p>
    <w:p w14:paraId="29F1722B" w14:textId="77777777" w:rsidR="003D240C" w:rsidRDefault="003D240C" w:rsidP="00EF0802">
      <w:pPr>
        <w:spacing w:line="360" w:lineRule="auto"/>
        <w:jc w:val="center"/>
        <w:rPr>
          <w:rFonts w:ascii="Times New Roman" w:hAnsi="Times New Roman" w:cs="Times New Roman"/>
          <w:b/>
          <w:bCs/>
          <w:sz w:val="28"/>
          <w:szCs w:val="28"/>
        </w:rPr>
      </w:pPr>
    </w:p>
    <w:p w14:paraId="0A52F4D0" w14:textId="77777777" w:rsidR="003D240C" w:rsidRDefault="003D240C" w:rsidP="00EF0802">
      <w:pPr>
        <w:spacing w:line="360" w:lineRule="auto"/>
        <w:jc w:val="center"/>
        <w:rPr>
          <w:rFonts w:ascii="Times New Roman" w:hAnsi="Times New Roman" w:cs="Times New Roman"/>
          <w:b/>
          <w:bCs/>
          <w:sz w:val="28"/>
          <w:szCs w:val="28"/>
        </w:rPr>
      </w:pPr>
    </w:p>
    <w:p w14:paraId="625548B1" w14:textId="77777777" w:rsidR="003D240C" w:rsidRDefault="003D240C" w:rsidP="00EF0802">
      <w:pPr>
        <w:spacing w:line="360" w:lineRule="auto"/>
        <w:jc w:val="center"/>
        <w:rPr>
          <w:rFonts w:ascii="Times New Roman" w:hAnsi="Times New Roman" w:cs="Times New Roman"/>
          <w:b/>
          <w:bCs/>
          <w:sz w:val="28"/>
          <w:szCs w:val="28"/>
        </w:rPr>
      </w:pPr>
    </w:p>
    <w:p w14:paraId="12092B6A" w14:textId="77777777" w:rsidR="00CC5373" w:rsidRDefault="00CC5373" w:rsidP="00CC5373">
      <w:pPr>
        <w:spacing w:line="360" w:lineRule="auto"/>
        <w:jc w:val="center"/>
        <w:rPr>
          <w:rFonts w:ascii="Times New Roman" w:hAnsi="Times New Roman" w:cs="Times New Roman"/>
          <w:b/>
          <w:bCs/>
          <w:sz w:val="28"/>
          <w:szCs w:val="28"/>
        </w:rPr>
      </w:pPr>
    </w:p>
    <w:p w14:paraId="54EED579" w14:textId="6BBECE9C" w:rsidR="00D81433" w:rsidRPr="00077581" w:rsidRDefault="00D81433" w:rsidP="00CC5373">
      <w:pPr>
        <w:spacing w:line="360" w:lineRule="auto"/>
        <w:jc w:val="center"/>
        <w:rPr>
          <w:rFonts w:ascii="Times New Roman" w:hAnsi="Times New Roman" w:cs="Times New Roman"/>
          <w:b/>
          <w:bCs/>
          <w:sz w:val="28"/>
          <w:szCs w:val="28"/>
        </w:rPr>
      </w:pPr>
      <w:r w:rsidRPr="00077581">
        <w:rPr>
          <w:rFonts w:ascii="Times New Roman" w:hAnsi="Times New Roman" w:cs="Times New Roman"/>
          <w:b/>
          <w:bCs/>
          <w:sz w:val="28"/>
          <w:szCs w:val="28"/>
        </w:rPr>
        <w:lastRenderedPageBreak/>
        <w:t>Chapter 5</w:t>
      </w:r>
    </w:p>
    <w:p w14:paraId="69805BE5" w14:textId="77777777" w:rsidR="00D81433" w:rsidRPr="00077581" w:rsidRDefault="00D81433" w:rsidP="00EF0802">
      <w:pPr>
        <w:spacing w:line="360" w:lineRule="auto"/>
        <w:jc w:val="center"/>
        <w:rPr>
          <w:rFonts w:ascii="Times New Roman" w:hAnsi="Times New Roman" w:cs="Times New Roman"/>
          <w:b/>
          <w:bCs/>
          <w:sz w:val="28"/>
          <w:szCs w:val="28"/>
        </w:rPr>
      </w:pPr>
      <w:r w:rsidRPr="00077581">
        <w:rPr>
          <w:rFonts w:ascii="Times New Roman" w:hAnsi="Times New Roman" w:cs="Times New Roman"/>
          <w:b/>
          <w:bCs/>
          <w:sz w:val="28"/>
          <w:szCs w:val="28"/>
        </w:rPr>
        <w:t>Summary, Conclusion, And Recommendations</w:t>
      </w:r>
    </w:p>
    <w:p w14:paraId="7C525154" w14:textId="77777777" w:rsidR="00D81433" w:rsidRPr="00077581" w:rsidRDefault="00D81433" w:rsidP="00EF0802">
      <w:pPr>
        <w:spacing w:line="360" w:lineRule="auto"/>
        <w:jc w:val="both"/>
        <w:rPr>
          <w:rFonts w:ascii="Times New Roman" w:hAnsi="Times New Roman" w:cs="Times New Roman"/>
          <w:b/>
          <w:bCs/>
        </w:rPr>
      </w:pPr>
    </w:p>
    <w:p w14:paraId="7D070E5B" w14:textId="77777777" w:rsidR="00D81433" w:rsidRPr="00077581" w:rsidRDefault="00D81433" w:rsidP="00EF0802">
      <w:pPr>
        <w:spacing w:line="360" w:lineRule="auto"/>
        <w:jc w:val="both"/>
        <w:rPr>
          <w:rFonts w:ascii="Times New Roman" w:hAnsi="Times New Roman" w:cs="Times New Roman"/>
          <w:b/>
          <w:bCs/>
        </w:rPr>
      </w:pPr>
      <w:r w:rsidRPr="00077581">
        <w:rPr>
          <w:rFonts w:ascii="Times New Roman" w:hAnsi="Times New Roman" w:cs="Times New Roman"/>
          <w:b/>
          <w:bCs/>
        </w:rPr>
        <w:t xml:space="preserve">5.1 General Introduction </w:t>
      </w:r>
    </w:p>
    <w:p w14:paraId="12BEA93B" w14:textId="77777777" w:rsidR="00D81433" w:rsidRPr="00077581" w:rsidRDefault="00D81433" w:rsidP="00EF0802">
      <w:pPr>
        <w:pStyle w:val="NormalWeb"/>
        <w:spacing w:before="0" w:beforeAutospacing="0" w:after="160" w:afterAutospacing="0" w:line="360" w:lineRule="auto"/>
        <w:jc w:val="both"/>
      </w:pPr>
      <w:r w:rsidRPr="00077581">
        <w:t xml:space="preserve">Chapter 5 presents a comprehensive discussion of the study's key findings, drawing connections between the results obtained and existing literature in the fields of maternal health, endocrinology, and public health education. This chapter interprets the quantitative and qualitative data presented in Chapter 4, critically </w:t>
      </w:r>
      <w:proofErr w:type="spellStart"/>
      <w:r w:rsidRPr="00077581">
        <w:t>analyzing</w:t>
      </w:r>
      <w:proofErr w:type="spellEnd"/>
      <w:r w:rsidRPr="00077581">
        <w:t xml:space="preserve"> the significance, relevance, and implications of the lifestyle modification intervention on the awareness, </w:t>
      </w:r>
      <w:proofErr w:type="spellStart"/>
      <w:r w:rsidRPr="00077581">
        <w:t>behavior</w:t>
      </w:r>
      <w:proofErr w:type="spellEnd"/>
      <w:r w:rsidRPr="00077581">
        <w:t>, and clinical health outcomes of pregnant women affected by or at risk for thyroid dysfunction and hypertensive disorders.</w:t>
      </w:r>
    </w:p>
    <w:p w14:paraId="376EECC3" w14:textId="77777777" w:rsidR="00D81433" w:rsidRPr="00077581" w:rsidRDefault="00D81433" w:rsidP="00EF0802">
      <w:pPr>
        <w:pStyle w:val="NormalWeb"/>
        <w:spacing w:before="0" w:beforeAutospacing="0" w:after="160" w:afterAutospacing="0" w:line="360" w:lineRule="auto"/>
        <w:jc w:val="both"/>
      </w:pPr>
      <w:r w:rsidRPr="00077581">
        <w:t xml:space="preserve">The primary aim of the study was to assess whether structured, targeted lifestyle education could significantly improve awareness levels, encourage the adoption of healthier </w:t>
      </w:r>
      <w:proofErr w:type="spellStart"/>
      <w:r w:rsidRPr="00077581">
        <w:t>behaviors</w:t>
      </w:r>
      <w:proofErr w:type="spellEnd"/>
      <w:r w:rsidRPr="00077581">
        <w:t>, and result in measurable improvements in physiological indicators such as blood pressure and thyroid hormone levels. The intervention was designed with a holistic approach, integrating diet, physical activity, stress management, and regular monitoring, and it was implemented through antenatal care settings to ensure accessibility and contextual relevance.</w:t>
      </w:r>
    </w:p>
    <w:p w14:paraId="357DD4C0" w14:textId="77777777" w:rsidR="00D81433" w:rsidRPr="00077581" w:rsidRDefault="00D81433" w:rsidP="00EF0802">
      <w:pPr>
        <w:pStyle w:val="NormalWeb"/>
        <w:spacing w:before="0" w:beforeAutospacing="0" w:after="160" w:afterAutospacing="0" w:line="360" w:lineRule="auto"/>
        <w:jc w:val="both"/>
      </w:pPr>
      <w:r w:rsidRPr="00077581">
        <w:t xml:space="preserve">This chapter begins by discussing the improvement in awareness and knowledge levels, followed by analysis of changes in lifestyle practices. It then explores the impact on clinical indicators and correlates these outcomes with existing empirical evidence. Particular attention is given to the </w:t>
      </w:r>
      <w:proofErr w:type="spellStart"/>
      <w:r w:rsidRPr="00077581">
        <w:t>behavioral</w:t>
      </w:r>
      <w:proofErr w:type="spellEnd"/>
      <w:r w:rsidRPr="00077581">
        <w:t xml:space="preserve"> sustainability and satisfaction of participants, as these factors are critical for long-term maternal and neonatal health. The chapter also addresses the strengths and limitations of the study, offering suggestions for clinical practice, public health policy, and future research.</w:t>
      </w:r>
    </w:p>
    <w:p w14:paraId="37579069" w14:textId="77777777" w:rsidR="00D81433" w:rsidRPr="00077581" w:rsidRDefault="00D81433" w:rsidP="00EF0802">
      <w:pPr>
        <w:pStyle w:val="NormalWeb"/>
        <w:spacing w:before="0" w:beforeAutospacing="0" w:after="160" w:afterAutospacing="0" w:line="360" w:lineRule="auto"/>
        <w:jc w:val="both"/>
      </w:pPr>
      <w:r w:rsidRPr="00077581">
        <w:t>In sum, Chapter 5 aims to place the findings of this study within a broader scientific and practical framework, highlighting the intervention’s potential as a replicable and scalable model for enhancing maternal health outcomes through non-pharmacological means.</w:t>
      </w:r>
    </w:p>
    <w:p w14:paraId="354BCAA3" w14:textId="77777777" w:rsidR="00D81433" w:rsidRPr="00077581" w:rsidRDefault="00D81433" w:rsidP="00EF0802">
      <w:pPr>
        <w:pStyle w:val="NormalWeb"/>
        <w:spacing w:before="0" w:beforeAutospacing="0" w:after="160" w:afterAutospacing="0" w:line="360" w:lineRule="auto"/>
        <w:jc w:val="both"/>
      </w:pPr>
    </w:p>
    <w:p w14:paraId="37A9956C" w14:textId="77777777" w:rsidR="00D81433" w:rsidRPr="00077581" w:rsidRDefault="00D81433" w:rsidP="00EF0802">
      <w:pPr>
        <w:spacing w:line="360" w:lineRule="auto"/>
        <w:jc w:val="both"/>
        <w:rPr>
          <w:rFonts w:ascii="Times New Roman" w:hAnsi="Times New Roman" w:cs="Times New Roman"/>
          <w:b/>
          <w:bCs/>
        </w:rPr>
      </w:pPr>
      <w:r w:rsidRPr="00077581">
        <w:rPr>
          <w:rFonts w:ascii="Times New Roman" w:hAnsi="Times New Roman" w:cs="Times New Roman"/>
          <w:b/>
          <w:bCs/>
        </w:rPr>
        <w:lastRenderedPageBreak/>
        <w:t xml:space="preserve">5.2 Achievement of Objectives </w:t>
      </w:r>
    </w:p>
    <w:p w14:paraId="7FD631A3" w14:textId="77777777" w:rsidR="00D81433" w:rsidRPr="00077581" w:rsidRDefault="00D81433" w:rsidP="00EF0802">
      <w:pPr>
        <w:pStyle w:val="NormalWeb"/>
        <w:spacing w:before="0" w:beforeAutospacing="0" w:after="160" w:afterAutospacing="0" w:line="360" w:lineRule="auto"/>
        <w:jc w:val="both"/>
      </w:pPr>
      <w:r w:rsidRPr="00077581">
        <w:t>The present study successfully met all three stated objectives through comprehensive data collection, intervention, and evaluation methods.</w:t>
      </w:r>
    </w:p>
    <w:p w14:paraId="573B3F83" w14:textId="77777777" w:rsidR="00D81433" w:rsidRPr="00077581" w:rsidRDefault="00D81433" w:rsidP="00EF0802">
      <w:pPr>
        <w:pStyle w:val="NormalWeb"/>
        <w:spacing w:before="0" w:beforeAutospacing="0" w:after="160" w:afterAutospacing="0" w:line="360" w:lineRule="auto"/>
        <w:jc w:val="both"/>
        <w:rPr>
          <w:rStyle w:val="Strong"/>
        </w:rPr>
      </w:pPr>
      <w:r w:rsidRPr="00077581">
        <w:rPr>
          <w:rStyle w:val="Strong"/>
        </w:rPr>
        <w:t>Achievement of Objective 1: To study the correlation between the level of knowledge and awareness regarding the prevention and management of thyroid and hypertension and selected demographic variables.</w:t>
      </w:r>
    </w:p>
    <w:p w14:paraId="170063D4" w14:textId="77777777" w:rsidR="00D81433" w:rsidRPr="00077581" w:rsidRDefault="00D81433" w:rsidP="00EF0802">
      <w:pPr>
        <w:pStyle w:val="NormalWeb"/>
        <w:spacing w:before="0" w:beforeAutospacing="0" w:after="160" w:afterAutospacing="0" w:line="360" w:lineRule="auto"/>
        <w:jc w:val="both"/>
      </w:pPr>
      <w:r w:rsidRPr="00077581">
        <w:t>This objective was achieved through statistical analysis of pre-test data, where chi-square tests were employed to examine the association between awareness scores and key demographic variables such as age, education, income, and parity. The analysis revealed a statistically significant association between education level and awareness (p &lt; 0.05), as well as moderate correlations with income and parity. These findings indicate that sociodemographic factors play a crucial role in shaping pregnant women’s baseline understanding of thyroid and hypertensive disorders, consistent with previous studies that highlight the impact of literacy and access to information on maternal health knowledge.</w:t>
      </w:r>
    </w:p>
    <w:p w14:paraId="05026A53" w14:textId="77777777" w:rsidR="00D81433" w:rsidRPr="00077581" w:rsidRDefault="00D81433" w:rsidP="00EF0802">
      <w:pPr>
        <w:pStyle w:val="NormalWeb"/>
        <w:spacing w:before="0" w:beforeAutospacing="0" w:after="160" w:afterAutospacing="0" w:line="360" w:lineRule="auto"/>
        <w:jc w:val="both"/>
        <w:rPr>
          <w:rStyle w:val="Strong"/>
        </w:rPr>
      </w:pPr>
    </w:p>
    <w:p w14:paraId="48B5AF5E" w14:textId="77777777" w:rsidR="00D81433" w:rsidRPr="00077581" w:rsidRDefault="00D81433" w:rsidP="00EF0802">
      <w:pPr>
        <w:pStyle w:val="NormalWeb"/>
        <w:spacing w:before="0" w:beforeAutospacing="0" w:after="160" w:afterAutospacing="0" w:line="360" w:lineRule="auto"/>
        <w:jc w:val="both"/>
      </w:pPr>
      <w:r w:rsidRPr="00077581">
        <w:rPr>
          <w:rStyle w:val="Strong"/>
        </w:rPr>
        <w:t>Achievement of Objective 2: To educate and make aware the pregnant women regarding the prevention of thyroid and hypertension by adopting certain lifestyle modifications.</w:t>
      </w:r>
      <w:r w:rsidRPr="00077581">
        <w:br/>
        <w:t>This objective was accomplished through a structured lifestyle intervention that included educational sessions on diet, physical activity, stress reduction, and symptom monitoring. The post-test assessment showed a significant increase in awareness scores (mean increase from 3.44 to 6.25), with a marked shift from low to high knowledge categories. Paired sample t-test results (p &lt; 0.001) confirmed the effectiveness of the educational content. Moreover, post-intervention feedback indicated high levels of satisfaction and perceived usefulness among participants, reinforcing the success of the awareness initiative.</w:t>
      </w:r>
    </w:p>
    <w:p w14:paraId="7D159258" w14:textId="77777777" w:rsidR="00D81433" w:rsidRPr="00077581" w:rsidRDefault="00D81433" w:rsidP="00EF0802">
      <w:pPr>
        <w:pStyle w:val="NormalWeb"/>
        <w:spacing w:before="0" w:beforeAutospacing="0" w:after="160" w:afterAutospacing="0" w:line="360" w:lineRule="auto"/>
        <w:jc w:val="both"/>
        <w:rPr>
          <w:rStyle w:val="Strong"/>
        </w:rPr>
      </w:pPr>
    </w:p>
    <w:p w14:paraId="3F9C3B12" w14:textId="4066F1F4" w:rsidR="00D81433" w:rsidRPr="00077581" w:rsidRDefault="00D81433" w:rsidP="00EF0802">
      <w:pPr>
        <w:pStyle w:val="NormalWeb"/>
        <w:spacing w:before="0" w:beforeAutospacing="0" w:after="160" w:afterAutospacing="0" w:line="360" w:lineRule="auto"/>
        <w:jc w:val="both"/>
      </w:pPr>
      <w:r w:rsidRPr="00077581">
        <w:rPr>
          <w:rStyle w:val="Strong"/>
        </w:rPr>
        <w:t>Achievement of Objective 3: To study and evaluate the effectiveness of lifestyle modification to prevent and manage thyroid and hypertension.</w:t>
      </w:r>
    </w:p>
    <w:p w14:paraId="6792FA2D" w14:textId="77777777" w:rsidR="00D81433" w:rsidRPr="00077581" w:rsidRDefault="00D81433" w:rsidP="00EF0802">
      <w:pPr>
        <w:pStyle w:val="NormalWeb"/>
        <w:spacing w:before="0" w:beforeAutospacing="0" w:after="160" w:afterAutospacing="0" w:line="360" w:lineRule="auto"/>
        <w:jc w:val="both"/>
      </w:pPr>
      <w:r w:rsidRPr="00077581">
        <w:lastRenderedPageBreak/>
        <w:t xml:space="preserve">This objective was fully met, as demonstrated by improvements in both self-reported </w:t>
      </w:r>
      <w:proofErr w:type="spellStart"/>
      <w:r w:rsidRPr="00077581">
        <w:t>behaviors</w:t>
      </w:r>
      <w:proofErr w:type="spellEnd"/>
      <w:r w:rsidRPr="00077581">
        <w:t xml:space="preserve"> and clinical parameters. Wilcoxon Signed-Rank and McNemar’s tests showed significant enhancements in lifestyle practices such as dietary adherence, physical activity frequency, and stress management. Additionally, paired t-tests revealed notable reductions in TSH levels, systolic and diastolic blood pressure, and blood glucose levels post-intervention. The clinical improvements were also validated through participant reports of reduced symptoms and greater health monitoring engagement.</w:t>
      </w:r>
    </w:p>
    <w:p w14:paraId="0C948BFC" w14:textId="77777777" w:rsidR="00D81433" w:rsidRPr="00077581" w:rsidRDefault="00D81433" w:rsidP="00EF0802">
      <w:pPr>
        <w:pStyle w:val="NormalWeb"/>
        <w:spacing w:before="0" w:beforeAutospacing="0" w:after="160" w:afterAutospacing="0" w:line="360" w:lineRule="auto"/>
        <w:jc w:val="both"/>
      </w:pPr>
      <w:r w:rsidRPr="00077581">
        <w:t xml:space="preserve">In conclusion, the study effectively achieved all its objectives, demonstrating that structured lifestyle education not only improves awareness and </w:t>
      </w:r>
      <w:proofErr w:type="spellStart"/>
      <w:r w:rsidRPr="00077581">
        <w:t>behavior</w:t>
      </w:r>
      <w:proofErr w:type="spellEnd"/>
      <w:r w:rsidRPr="00077581">
        <w:t xml:space="preserve"> but also leads to measurable clinical benefits for pregnant women at risk of thyroid and hypertensive disorders.</w:t>
      </w:r>
    </w:p>
    <w:p w14:paraId="39CAEAC9" w14:textId="77777777" w:rsidR="00D81433" w:rsidRPr="00077581" w:rsidRDefault="00D81433" w:rsidP="00EF0802">
      <w:pPr>
        <w:spacing w:line="360" w:lineRule="auto"/>
        <w:jc w:val="both"/>
        <w:rPr>
          <w:rFonts w:ascii="Times New Roman" w:hAnsi="Times New Roman" w:cs="Times New Roman"/>
        </w:rPr>
      </w:pPr>
    </w:p>
    <w:p w14:paraId="389DE940" w14:textId="77777777" w:rsidR="00D81433" w:rsidRPr="00077581" w:rsidRDefault="00D81433" w:rsidP="00EF0802">
      <w:pPr>
        <w:spacing w:line="360" w:lineRule="auto"/>
        <w:jc w:val="both"/>
        <w:rPr>
          <w:rFonts w:ascii="Times New Roman" w:hAnsi="Times New Roman" w:cs="Times New Roman"/>
          <w:b/>
          <w:bCs/>
        </w:rPr>
      </w:pPr>
      <w:r w:rsidRPr="00077581">
        <w:rPr>
          <w:rFonts w:ascii="Times New Roman" w:hAnsi="Times New Roman" w:cs="Times New Roman"/>
          <w:b/>
          <w:bCs/>
        </w:rPr>
        <w:t>5.3 Summary of Findings</w:t>
      </w:r>
    </w:p>
    <w:p w14:paraId="1D0A19FD" w14:textId="77777777" w:rsidR="00D81433" w:rsidRPr="00077581" w:rsidRDefault="00D81433" w:rsidP="00EF0802">
      <w:pPr>
        <w:pStyle w:val="NormalWeb"/>
        <w:spacing w:before="0" w:beforeAutospacing="0" w:after="160" w:afterAutospacing="0" w:line="360" w:lineRule="auto"/>
        <w:jc w:val="both"/>
      </w:pPr>
      <w:r w:rsidRPr="00077581">
        <w:t>This section synthesizes the key outcomes of the study based on the analysis presented in Chapter 4, structured around the core objectives: improvement in knowledge and awareness, adoption of healthy lifestyle practices, clinical effectiveness of the intervention, and participant satisfaction and engagement. The findings are summarized in thematic domains and reflect both quantitative and qualitative dimensions of impact.</w:t>
      </w:r>
    </w:p>
    <w:p w14:paraId="2793BB4E" w14:textId="77777777" w:rsidR="00D81433" w:rsidRPr="00077581" w:rsidRDefault="00D81433" w:rsidP="00EF0802">
      <w:pPr>
        <w:pStyle w:val="Heading3"/>
        <w:spacing w:before="0" w:after="160" w:line="360" w:lineRule="auto"/>
        <w:jc w:val="both"/>
        <w:rPr>
          <w:rFonts w:ascii="Times New Roman" w:hAnsi="Times New Roman" w:cs="Times New Roman"/>
          <w:i/>
          <w:iCs/>
          <w:color w:val="auto"/>
          <w:sz w:val="24"/>
          <w:szCs w:val="24"/>
        </w:rPr>
      </w:pPr>
      <w:r w:rsidRPr="00077581">
        <w:rPr>
          <w:rStyle w:val="Strong"/>
          <w:rFonts w:ascii="Times New Roman" w:hAnsi="Times New Roman" w:cs="Times New Roman"/>
          <w:i/>
          <w:iCs/>
          <w:color w:val="auto"/>
          <w:sz w:val="24"/>
          <w:szCs w:val="24"/>
        </w:rPr>
        <w:t>A. Demographic Profile of Participants</w:t>
      </w:r>
    </w:p>
    <w:p w14:paraId="6985623F" w14:textId="77777777" w:rsidR="00D81433" w:rsidRPr="00077581" w:rsidRDefault="00D81433" w:rsidP="00EF0802">
      <w:pPr>
        <w:pStyle w:val="NormalWeb"/>
        <w:spacing w:before="0" w:beforeAutospacing="0" w:after="160" w:afterAutospacing="0" w:line="360" w:lineRule="auto"/>
        <w:jc w:val="both"/>
      </w:pPr>
      <w:r w:rsidRPr="00077581">
        <w:t>The study involved 200 pregnant women from varied sociodemographic backgrounds. The age distribution showed a concentration in the 26–30-year range (34%), followed by those aged 21–25 years (27%). Most participants were in their second trimester (49.5%), and a large proportion were graduates (35.5%) or had secondary education (30%). The income distribution ranged widely, with 31% in the ₹20,000–₹30,000 bracket. The majority resided in urban or semi-urban areas, and 55% were primigravida. A significant portion had a family history of thyroid (31%) or hypertension (40.5%), suggesting a predisposed risk group. This diversity enhanced the generalizability of the intervention's results.</w:t>
      </w:r>
    </w:p>
    <w:p w14:paraId="337F57AA" w14:textId="77777777" w:rsidR="00D81433" w:rsidRPr="00077581" w:rsidRDefault="00D81433" w:rsidP="00EF0802">
      <w:pPr>
        <w:pStyle w:val="Heading3"/>
        <w:spacing w:before="0" w:after="160" w:line="360" w:lineRule="auto"/>
        <w:jc w:val="both"/>
        <w:rPr>
          <w:rFonts w:ascii="Times New Roman" w:hAnsi="Times New Roman" w:cs="Times New Roman"/>
          <w:i/>
          <w:iCs/>
          <w:color w:val="auto"/>
          <w:sz w:val="24"/>
          <w:szCs w:val="24"/>
        </w:rPr>
      </w:pPr>
      <w:r w:rsidRPr="00077581">
        <w:rPr>
          <w:rStyle w:val="Strong"/>
          <w:rFonts w:ascii="Times New Roman" w:hAnsi="Times New Roman" w:cs="Times New Roman"/>
          <w:i/>
          <w:iCs/>
          <w:color w:val="auto"/>
          <w:sz w:val="24"/>
          <w:szCs w:val="24"/>
        </w:rPr>
        <w:lastRenderedPageBreak/>
        <w:t>B. Awareness and Knowledge Levels (Pre- and Post-Test)</w:t>
      </w:r>
    </w:p>
    <w:p w14:paraId="3752E36F" w14:textId="77777777" w:rsidR="00D81433" w:rsidRPr="00077581" w:rsidRDefault="00D81433" w:rsidP="00EF0802">
      <w:pPr>
        <w:pStyle w:val="NormalWeb"/>
        <w:spacing w:before="0" w:beforeAutospacing="0" w:after="160" w:afterAutospacing="0" w:line="360" w:lineRule="auto"/>
        <w:jc w:val="both"/>
      </w:pPr>
      <w:r w:rsidRPr="00077581">
        <w:t>Initial findings showed limited awareness regarding thyroid and hypertensive conditions in pregnancy. Only 50% had heard of thyroid issues in pregnancy, and 55% were aware of hypertension-related risks. The ability to recognize symptoms and consequences was notably low, with 30–35% expressing uncertainty or incorrect beliefs.</w:t>
      </w:r>
    </w:p>
    <w:p w14:paraId="01EBE887" w14:textId="77777777" w:rsidR="00D81433" w:rsidRPr="00077581" w:rsidRDefault="00D81433" w:rsidP="00EF0802">
      <w:pPr>
        <w:pStyle w:val="NormalWeb"/>
        <w:spacing w:before="0" w:beforeAutospacing="0" w:after="160" w:afterAutospacing="0" w:line="360" w:lineRule="auto"/>
        <w:jc w:val="both"/>
      </w:pPr>
      <w:r w:rsidRPr="00077581">
        <w:t xml:space="preserve">Following the structured intervention, awareness levels significantly improved. Post-test responses revealed that 85% had knowledge of thyroid-related complications, and 90% could identify hypertensive risks. Knowledge of symptomatology also rose substantially. The mean awareness score increased from </w:t>
      </w:r>
      <w:r w:rsidRPr="00251BE4">
        <w:rPr>
          <w:rStyle w:val="Strong"/>
          <w:b w:val="0"/>
          <w:bCs w:val="0"/>
        </w:rPr>
        <w:t>3.44 to 6.25</w:t>
      </w:r>
      <w:r w:rsidRPr="00077581">
        <w:t>, and the proportion of participants categorized under “high knowledge” rose from 15% to 42.5%. The paired sample t-test confirmed this improvement was statistically significant (</w:t>
      </w:r>
      <w:r w:rsidRPr="00251BE4">
        <w:rPr>
          <w:rStyle w:val="Strong"/>
          <w:b w:val="0"/>
          <w:bCs w:val="0"/>
        </w:rPr>
        <w:t>p &lt; 0.001</w:t>
      </w:r>
      <w:r w:rsidRPr="00077581">
        <w:t>), validating Hypothesis 1 and affirming the educational component's impact.</w:t>
      </w:r>
    </w:p>
    <w:p w14:paraId="1DE3BE62" w14:textId="4E37C3B0" w:rsidR="00D81433" w:rsidRPr="00077581" w:rsidRDefault="00D81433" w:rsidP="00EF0802">
      <w:pPr>
        <w:pStyle w:val="Heading3"/>
        <w:spacing w:before="0" w:after="160" w:line="360" w:lineRule="auto"/>
        <w:jc w:val="both"/>
        <w:rPr>
          <w:rFonts w:ascii="Times New Roman" w:hAnsi="Times New Roman" w:cs="Times New Roman"/>
          <w:i/>
          <w:iCs/>
          <w:color w:val="auto"/>
          <w:sz w:val="24"/>
          <w:szCs w:val="24"/>
        </w:rPr>
      </w:pPr>
      <w:r w:rsidRPr="00077581">
        <w:rPr>
          <w:rStyle w:val="Strong"/>
          <w:rFonts w:ascii="Times New Roman" w:hAnsi="Times New Roman" w:cs="Times New Roman"/>
          <w:i/>
          <w:iCs/>
          <w:color w:val="auto"/>
          <w:sz w:val="24"/>
          <w:szCs w:val="24"/>
        </w:rPr>
        <w:t>C. Lifestyle Practices Before and After the Intervention</w:t>
      </w:r>
    </w:p>
    <w:p w14:paraId="450B65A1" w14:textId="77777777" w:rsidR="00D81433" w:rsidRPr="00077581" w:rsidRDefault="00D81433" w:rsidP="00EF0802">
      <w:pPr>
        <w:pStyle w:val="NormalWeb"/>
        <w:spacing w:before="0" w:beforeAutospacing="0" w:after="160" w:afterAutospacing="0" w:line="360" w:lineRule="auto"/>
        <w:jc w:val="both"/>
      </w:pPr>
      <w:r w:rsidRPr="00077581">
        <w:t xml:space="preserve">The study found considerable shifts in lifestyle </w:t>
      </w:r>
      <w:proofErr w:type="spellStart"/>
      <w:r w:rsidRPr="00077581">
        <w:t>behaviors</w:t>
      </w:r>
      <w:proofErr w:type="spellEnd"/>
      <w:r w:rsidRPr="00077581">
        <w:t>, particularly in physical activity, dietary habits, supplement use, stress management, and health-seeking practices:</w:t>
      </w:r>
    </w:p>
    <w:p w14:paraId="6146BBE2" w14:textId="77777777" w:rsidR="00D81433" w:rsidRPr="003D240C" w:rsidRDefault="00D81433" w:rsidP="00EF0802">
      <w:pPr>
        <w:pStyle w:val="NormalWeb"/>
        <w:numPr>
          <w:ilvl w:val="0"/>
          <w:numId w:val="73"/>
        </w:numPr>
        <w:spacing w:before="0" w:beforeAutospacing="0" w:after="160" w:afterAutospacing="0" w:line="360" w:lineRule="auto"/>
        <w:jc w:val="both"/>
      </w:pPr>
      <w:r w:rsidRPr="003D240C">
        <w:rPr>
          <w:rStyle w:val="Strong"/>
          <w:b w:val="0"/>
          <w:bCs w:val="0"/>
        </w:rPr>
        <w:t>Exercise frequency</w:t>
      </w:r>
      <w:r w:rsidRPr="003D240C">
        <w:t xml:space="preserve"> improved notably: daily exercise increased from 11% to 42%.</w:t>
      </w:r>
    </w:p>
    <w:p w14:paraId="71A2CA9B" w14:textId="77777777" w:rsidR="00D81433" w:rsidRPr="003D240C" w:rsidRDefault="00D81433" w:rsidP="00EF0802">
      <w:pPr>
        <w:pStyle w:val="NormalWeb"/>
        <w:numPr>
          <w:ilvl w:val="0"/>
          <w:numId w:val="73"/>
        </w:numPr>
        <w:spacing w:before="0" w:beforeAutospacing="0" w:after="160" w:afterAutospacing="0" w:line="360" w:lineRule="auto"/>
        <w:jc w:val="both"/>
      </w:pPr>
      <w:r w:rsidRPr="003D240C">
        <w:rPr>
          <w:rStyle w:val="Strong"/>
          <w:b w:val="0"/>
          <w:bCs w:val="0"/>
        </w:rPr>
        <w:t>Dietary changes</w:t>
      </w:r>
      <w:r w:rsidRPr="003D240C">
        <w:t xml:space="preserve"> were reported by 80.5% of participants post-intervention, compared to only 51% pre-intervention.</w:t>
      </w:r>
    </w:p>
    <w:p w14:paraId="0D437FAB" w14:textId="77777777" w:rsidR="00D81433" w:rsidRPr="003D240C" w:rsidRDefault="00D81433" w:rsidP="00EF0802">
      <w:pPr>
        <w:pStyle w:val="NormalWeb"/>
        <w:numPr>
          <w:ilvl w:val="0"/>
          <w:numId w:val="73"/>
        </w:numPr>
        <w:spacing w:before="0" w:beforeAutospacing="0" w:after="160" w:afterAutospacing="0" w:line="360" w:lineRule="auto"/>
        <w:jc w:val="both"/>
      </w:pPr>
      <w:r w:rsidRPr="003D240C">
        <w:t>The number of women following a prescribed diet increased from 28% to 65%.</w:t>
      </w:r>
    </w:p>
    <w:p w14:paraId="71857133" w14:textId="77777777" w:rsidR="00D81433" w:rsidRPr="003D240C" w:rsidRDefault="00D81433" w:rsidP="00EF0802">
      <w:pPr>
        <w:pStyle w:val="NormalWeb"/>
        <w:numPr>
          <w:ilvl w:val="0"/>
          <w:numId w:val="73"/>
        </w:numPr>
        <w:spacing w:before="0" w:beforeAutospacing="0" w:after="160" w:afterAutospacing="0" w:line="360" w:lineRule="auto"/>
        <w:jc w:val="both"/>
      </w:pPr>
      <w:r w:rsidRPr="003D240C">
        <w:rPr>
          <w:rStyle w:val="Strong"/>
          <w:b w:val="0"/>
          <w:bCs w:val="0"/>
        </w:rPr>
        <w:t>Stress relief practices</w:t>
      </w:r>
      <w:r w:rsidRPr="003D240C">
        <w:t xml:space="preserve"> saw a notable rise from 43% to 78.5%.</w:t>
      </w:r>
    </w:p>
    <w:p w14:paraId="2754A691" w14:textId="77777777" w:rsidR="00D81433" w:rsidRPr="003D240C" w:rsidRDefault="00D81433" w:rsidP="00EF0802">
      <w:pPr>
        <w:pStyle w:val="NormalWeb"/>
        <w:numPr>
          <w:ilvl w:val="0"/>
          <w:numId w:val="73"/>
        </w:numPr>
        <w:spacing w:before="0" w:beforeAutospacing="0" w:after="160" w:afterAutospacing="0" w:line="360" w:lineRule="auto"/>
        <w:jc w:val="both"/>
      </w:pPr>
      <w:r w:rsidRPr="003D240C">
        <w:t>Supplement intake (e.g., iron, folic acid, iodine) rose from 67% to 78.5%.</w:t>
      </w:r>
    </w:p>
    <w:p w14:paraId="7586D806" w14:textId="77777777" w:rsidR="00D81433" w:rsidRPr="00077581" w:rsidRDefault="00D81433" w:rsidP="00EF0802">
      <w:pPr>
        <w:pStyle w:val="NormalWeb"/>
        <w:numPr>
          <w:ilvl w:val="0"/>
          <w:numId w:val="73"/>
        </w:numPr>
        <w:spacing w:before="0" w:beforeAutospacing="0" w:after="160" w:afterAutospacing="0" w:line="360" w:lineRule="auto"/>
        <w:jc w:val="both"/>
      </w:pPr>
      <w:r w:rsidRPr="003D240C">
        <w:t xml:space="preserve">Participants reporting </w:t>
      </w:r>
      <w:r w:rsidRPr="003D240C">
        <w:rPr>
          <w:rStyle w:val="Strong"/>
          <w:b w:val="0"/>
          <w:bCs w:val="0"/>
        </w:rPr>
        <w:t>adequate sleep</w:t>
      </w:r>
      <w:r w:rsidRPr="003D240C">
        <w:t xml:space="preserve"> (7–8</w:t>
      </w:r>
      <w:r w:rsidRPr="00077581">
        <w:t xml:space="preserve"> hours) increased significantly (from 30% to 42.5%).</w:t>
      </w:r>
    </w:p>
    <w:p w14:paraId="511A45BB" w14:textId="77777777" w:rsidR="00D81433" w:rsidRPr="00077581" w:rsidRDefault="00D81433" w:rsidP="00EF0802">
      <w:pPr>
        <w:pStyle w:val="NormalWeb"/>
        <w:spacing w:before="0" w:beforeAutospacing="0" w:after="160" w:afterAutospacing="0" w:line="360" w:lineRule="auto"/>
        <w:jc w:val="both"/>
      </w:pPr>
      <w:r w:rsidRPr="00077581">
        <w:t xml:space="preserve">Wilcoxon Signed-Rank Test and McNemar’s Test showed statistically significant differences </w:t>
      </w:r>
      <w:r w:rsidRPr="003D240C">
        <w:rPr>
          <w:b/>
          <w:bCs/>
        </w:rPr>
        <w:t>(</w:t>
      </w:r>
      <w:r w:rsidRPr="003D240C">
        <w:rPr>
          <w:rStyle w:val="Strong"/>
          <w:b w:val="0"/>
          <w:bCs w:val="0"/>
        </w:rPr>
        <w:t>p &lt; 0.001</w:t>
      </w:r>
      <w:r w:rsidRPr="003D240C">
        <w:rPr>
          <w:b/>
          <w:bCs/>
        </w:rPr>
        <w:t>)</w:t>
      </w:r>
      <w:r w:rsidRPr="00077581">
        <w:t xml:space="preserve"> across all these dimensions, leading to the acceptance of </w:t>
      </w:r>
      <w:r w:rsidRPr="00077581">
        <w:lastRenderedPageBreak/>
        <w:t xml:space="preserve">Hypothesis 3. The results confirm that lifestyle education successfully influenced </w:t>
      </w:r>
      <w:proofErr w:type="spellStart"/>
      <w:r w:rsidRPr="00077581">
        <w:t>behavioral</w:t>
      </w:r>
      <w:proofErr w:type="spellEnd"/>
      <w:r w:rsidRPr="00077581">
        <w:t xml:space="preserve"> adoption.</w:t>
      </w:r>
    </w:p>
    <w:p w14:paraId="17DCAB89" w14:textId="77777777" w:rsidR="00D81433" w:rsidRPr="00077581" w:rsidRDefault="00D81433" w:rsidP="00EF0802">
      <w:pPr>
        <w:pStyle w:val="Heading3"/>
        <w:spacing w:before="0" w:after="160" w:line="360" w:lineRule="auto"/>
        <w:jc w:val="both"/>
        <w:rPr>
          <w:rFonts w:ascii="Times New Roman" w:hAnsi="Times New Roman" w:cs="Times New Roman"/>
          <w:i/>
          <w:iCs/>
          <w:color w:val="auto"/>
          <w:sz w:val="24"/>
          <w:szCs w:val="24"/>
        </w:rPr>
      </w:pPr>
      <w:r w:rsidRPr="00077581">
        <w:rPr>
          <w:rStyle w:val="Strong"/>
          <w:rFonts w:ascii="Times New Roman" w:hAnsi="Times New Roman" w:cs="Times New Roman"/>
          <w:i/>
          <w:iCs/>
          <w:color w:val="auto"/>
          <w:sz w:val="24"/>
          <w:szCs w:val="24"/>
        </w:rPr>
        <w:t>D. Clinical Outcomes and Health Indicators</w:t>
      </w:r>
    </w:p>
    <w:p w14:paraId="07AD64BD" w14:textId="77777777" w:rsidR="00D81433" w:rsidRPr="00077581" w:rsidRDefault="00D81433" w:rsidP="00EF0802">
      <w:pPr>
        <w:pStyle w:val="NormalWeb"/>
        <w:spacing w:before="0" w:beforeAutospacing="0" w:after="160" w:afterAutospacing="0" w:line="360" w:lineRule="auto"/>
        <w:jc w:val="both"/>
      </w:pPr>
      <w:r w:rsidRPr="00077581">
        <w:t>A key focus of the study was the physiological impact of the lifestyle intervention. Comparative analysis of clinical indicators revealed:</w:t>
      </w:r>
    </w:p>
    <w:p w14:paraId="61E7DC29" w14:textId="7AE1E863" w:rsidR="00251BE4" w:rsidRDefault="003E554F" w:rsidP="00EF0802">
      <w:pPr>
        <w:pStyle w:val="NormalWeb"/>
        <w:numPr>
          <w:ilvl w:val="0"/>
          <w:numId w:val="73"/>
        </w:numPr>
        <w:spacing w:before="0" w:beforeAutospacing="0" w:after="160" w:afterAutospacing="0" w:line="360" w:lineRule="auto"/>
      </w:pPr>
      <w:r>
        <w:t>TSH</w:t>
      </w:r>
      <w:r w:rsidR="00251BE4">
        <w:t xml:space="preserve"> levels decreased from 4.8 to 2.8 </w:t>
      </w:r>
      <w:proofErr w:type="spellStart"/>
      <w:r w:rsidR="00251BE4">
        <w:t>mIU</w:t>
      </w:r>
      <w:proofErr w:type="spellEnd"/>
      <w:r w:rsidR="00251BE4">
        <w:t>/L.</w:t>
      </w:r>
    </w:p>
    <w:p w14:paraId="16F609E8" w14:textId="479D0644" w:rsidR="00251BE4" w:rsidRDefault="003E554F" w:rsidP="00EF0802">
      <w:pPr>
        <w:pStyle w:val="NormalWeb"/>
        <w:numPr>
          <w:ilvl w:val="0"/>
          <w:numId w:val="73"/>
        </w:numPr>
        <w:spacing w:before="0" w:beforeAutospacing="0" w:after="160" w:afterAutospacing="0" w:line="360" w:lineRule="auto"/>
      </w:pPr>
      <w:r>
        <w:t>Free</w:t>
      </w:r>
      <w:r w:rsidR="00251BE4">
        <w:t xml:space="preserve"> T3 and T4 values showed improvements, indicating better thyroid regulation.</w:t>
      </w:r>
    </w:p>
    <w:p w14:paraId="77E6CA2B" w14:textId="6E06328C" w:rsidR="00251BE4" w:rsidRDefault="003E554F" w:rsidP="00EF0802">
      <w:pPr>
        <w:pStyle w:val="NormalWeb"/>
        <w:numPr>
          <w:ilvl w:val="0"/>
          <w:numId w:val="73"/>
        </w:numPr>
        <w:spacing w:before="0" w:beforeAutospacing="0" w:after="160" w:afterAutospacing="0" w:line="360" w:lineRule="auto"/>
      </w:pPr>
      <w:r>
        <w:t>Systolic</w:t>
      </w:r>
      <w:r w:rsidR="00251BE4">
        <w:t xml:space="preserve"> BP decreased from 132 mmHg to 120 mmHg, and diastolic BP from 85 to 78 mmHg.</w:t>
      </w:r>
    </w:p>
    <w:p w14:paraId="6BE6B8FF" w14:textId="7ECE0883" w:rsidR="00251BE4" w:rsidRDefault="003E554F" w:rsidP="00EF0802">
      <w:pPr>
        <w:pStyle w:val="NormalWeb"/>
        <w:numPr>
          <w:ilvl w:val="0"/>
          <w:numId w:val="73"/>
        </w:numPr>
        <w:spacing w:before="0" w:beforeAutospacing="0" w:after="160" w:afterAutospacing="0" w:line="360" w:lineRule="auto"/>
      </w:pPr>
      <w:r>
        <w:t>Fasting</w:t>
      </w:r>
      <w:r w:rsidR="00251BE4">
        <w:t xml:space="preserve"> and random blood sugar levels also dropped significantly, suggesting better metabolic control.</w:t>
      </w:r>
    </w:p>
    <w:p w14:paraId="0D5405B4" w14:textId="412979E8" w:rsidR="00251BE4" w:rsidRDefault="003E554F" w:rsidP="00EF0802">
      <w:pPr>
        <w:pStyle w:val="NormalWeb"/>
        <w:numPr>
          <w:ilvl w:val="0"/>
          <w:numId w:val="73"/>
        </w:numPr>
        <w:spacing w:before="0" w:beforeAutospacing="0" w:after="160" w:afterAutospacing="0" w:line="360" w:lineRule="auto"/>
      </w:pPr>
      <w:r>
        <w:t>Proteinuria</w:t>
      </w:r>
      <w:r w:rsidR="00251BE4">
        <w:t xml:space="preserve"> prevalence decreased from 30% to 10%.</w:t>
      </w:r>
    </w:p>
    <w:p w14:paraId="6B6B6FA1" w14:textId="6F369DE8" w:rsidR="00251BE4" w:rsidRDefault="003E554F" w:rsidP="00EF0802">
      <w:pPr>
        <w:pStyle w:val="NormalWeb"/>
        <w:numPr>
          <w:ilvl w:val="0"/>
          <w:numId w:val="73"/>
        </w:numPr>
        <w:spacing w:before="0" w:beforeAutospacing="0" w:after="160" w:afterAutospacing="0" w:line="360" w:lineRule="auto"/>
      </w:pPr>
      <w:r>
        <w:t>Medication</w:t>
      </w:r>
      <w:r w:rsidR="00251BE4">
        <w:t xml:space="preserve"> use reduced slightly post-intervention, and 25% of participants were advised to reduce their dosage—indicative of clinical stabilization.</w:t>
      </w:r>
    </w:p>
    <w:p w14:paraId="59EA59BD" w14:textId="68C9AF19" w:rsidR="00D81433" w:rsidRDefault="00D81433" w:rsidP="00EF0802">
      <w:pPr>
        <w:pStyle w:val="NormalWeb"/>
        <w:spacing w:before="0" w:beforeAutospacing="0" w:after="160" w:afterAutospacing="0" w:line="360" w:lineRule="auto"/>
        <w:jc w:val="both"/>
        <w:rPr>
          <w:rStyle w:val="Strong"/>
          <w:b w:val="0"/>
          <w:bCs w:val="0"/>
        </w:rPr>
      </w:pPr>
      <w:r w:rsidRPr="00077581">
        <w:t>Paired t-tests confirmed that these changes were statistically significant (</w:t>
      </w:r>
      <w:r w:rsidRPr="00EF44DB">
        <w:rPr>
          <w:rStyle w:val="Strong"/>
          <w:b w:val="0"/>
          <w:bCs w:val="0"/>
        </w:rPr>
        <w:t>p &lt; 0.0001</w:t>
      </w:r>
      <w:r w:rsidRPr="00077581">
        <w:t>), validating Hypothesis 4. The results demonstrate that lifestyle modifications had a tangible impact on key medical markers.</w:t>
      </w:r>
    </w:p>
    <w:p w14:paraId="0E81A000" w14:textId="1D54CB50" w:rsidR="00D81433" w:rsidRPr="00077581" w:rsidRDefault="00D81433" w:rsidP="00EF0802">
      <w:pPr>
        <w:pStyle w:val="Heading3"/>
        <w:spacing w:before="0" w:after="160" w:line="360" w:lineRule="auto"/>
        <w:jc w:val="both"/>
        <w:rPr>
          <w:rFonts w:ascii="Times New Roman" w:hAnsi="Times New Roman" w:cs="Times New Roman"/>
          <w:i/>
          <w:iCs/>
          <w:color w:val="auto"/>
          <w:sz w:val="24"/>
          <w:szCs w:val="24"/>
        </w:rPr>
      </w:pPr>
      <w:r w:rsidRPr="00077581">
        <w:rPr>
          <w:rStyle w:val="Strong"/>
          <w:rFonts w:ascii="Times New Roman" w:hAnsi="Times New Roman" w:cs="Times New Roman"/>
          <w:i/>
          <w:iCs/>
          <w:color w:val="auto"/>
          <w:sz w:val="24"/>
          <w:szCs w:val="24"/>
        </w:rPr>
        <w:t>E. Lifestyle Sustainability and Participant Engagement</w:t>
      </w:r>
    </w:p>
    <w:p w14:paraId="1DE3C88A" w14:textId="77777777" w:rsidR="00D81433" w:rsidRPr="00077581" w:rsidRDefault="00D81433" w:rsidP="00EF0802">
      <w:pPr>
        <w:pStyle w:val="NormalWeb"/>
        <w:spacing w:before="0" w:beforeAutospacing="0" w:after="160" w:afterAutospacing="0" w:line="360" w:lineRule="auto"/>
        <w:jc w:val="both"/>
      </w:pPr>
      <w:r w:rsidRPr="00077581">
        <w:t xml:space="preserve">Post-intervention data showed that </w:t>
      </w:r>
      <w:r w:rsidRPr="003D240C">
        <w:rPr>
          <w:rStyle w:val="Strong"/>
          <w:b w:val="0"/>
          <w:bCs w:val="0"/>
        </w:rPr>
        <w:t>85%</w:t>
      </w:r>
      <w:r w:rsidRPr="00077581">
        <w:t xml:space="preserve"> of women adopted at least one lifestyle modification. Among those who did not (15%), common reasons cited included time constraints and inconvenience, suggesting a need for more flexible or home-based models of intervention.</w:t>
      </w:r>
    </w:p>
    <w:p w14:paraId="469113E0" w14:textId="77777777" w:rsidR="00D81433" w:rsidRPr="00077581" w:rsidRDefault="00D81433" w:rsidP="00EF0802">
      <w:pPr>
        <w:pStyle w:val="NormalWeb"/>
        <w:spacing w:before="0" w:beforeAutospacing="0" w:after="160" w:afterAutospacing="0" w:line="360" w:lineRule="auto"/>
        <w:jc w:val="both"/>
      </w:pPr>
      <w:r w:rsidRPr="00077581">
        <w:t>The most frequently adopted changes were dietary modification (84.5%), medication adherence (81.5%), and stress management (64%). Among those using stress management, over 70% practiced meditation, breathing exercises, or mindfulness. Adherence to dietary recommendations was also high, with 52% following advice very closely.</w:t>
      </w:r>
    </w:p>
    <w:p w14:paraId="46B445A0" w14:textId="77777777" w:rsidR="00D81433" w:rsidRPr="00077581" w:rsidRDefault="00D81433" w:rsidP="00EF0802">
      <w:pPr>
        <w:pStyle w:val="NormalWeb"/>
        <w:spacing w:before="0" w:beforeAutospacing="0" w:after="160" w:afterAutospacing="0" w:line="360" w:lineRule="auto"/>
        <w:jc w:val="both"/>
      </w:pPr>
      <w:r w:rsidRPr="00077581">
        <w:lastRenderedPageBreak/>
        <w:t xml:space="preserve">These </w:t>
      </w:r>
      <w:proofErr w:type="spellStart"/>
      <w:r w:rsidRPr="00077581">
        <w:t>behavioral</w:t>
      </w:r>
      <w:proofErr w:type="spellEnd"/>
      <w:r w:rsidRPr="00077581">
        <w:t xml:space="preserve"> shifts were not only implemented but also perceived as beneficial—highlighted by the fact that </w:t>
      </w:r>
      <w:r w:rsidRPr="00EF44DB">
        <w:rPr>
          <w:rStyle w:val="Strong"/>
          <w:b w:val="0"/>
          <w:bCs w:val="0"/>
        </w:rPr>
        <w:t>75% of participants intended to continue the practices after pregnancy</w:t>
      </w:r>
      <w:r w:rsidRPr="00077581">
        <w:t>, supporting the long-term applicability of the intervention.</w:t>
      </w:r>
    </w:p>
    <w:p w14:paraId="0CDFEF62" w14:textId="485CEDF7" w:rsidR="00D81433" w:rsidRPr="00077581" w:rsidRDefault="00D81433" w:rsidP="00EF0802">
      <w:pPr>
        <w:pStyle w:val="Heading3"/>
        <w:spacing w:before="0" w:after="160" w:line="360" w:lineRule="auto"/>
        <w:jc w:val="both"/>
        <w:rPr>
          <w:rFonts w:ascii="Times New Roman" w:hAnsi="Times New Roman" w:cs="Times New Roman"/>
          <w:i/>
          <w:iCs/>
          <w:color w:val="auto"/>
          <w:sz w:val="24"/>
          <w:szCs w:val="24"/>
        </w:rPr>
      </w:pPr>
      <w:r w:rsidRPr="00077581">
        <w:rPr>
          <w:rStyle w:val="Strong"/>
          <w:rFonts w:ascii="Times New Roman" w:hAnsi="Times New Roman" w:cs="Times New Roman"/>
          <w:i/>
          <w:iCs/>
          <w:color w:val="auto"/>
          <w:sz w:val="24"/>
          <w:szCs w:val="24"/>
        </w:rPr>
        <w:t>F. Monitoring, Symptom Reduction, and Perceived Improvement</w:t>
      </w:r>
    </w:p>
    <w:p w14:paraId="05EF376E" w14:textId="77777777" w:rsidR="00D81433" w:rsidRPr="00077581" w:rsidRDefault="00D81433" w:rsidP="00EF0802">
      <w:pPr>
        <w:pStyle w:val="NormalWeb"/>
        <w:spacing w:before="0" w:beforeAutospacing="0" w:after="160" w:afterAutospacing="0" w:line="360" w:lineRule="auto"/>
        <w:jc w:val="both"/>
      </w:pPr>
      <w:r w:rsidRPr="00077581">
        <w:t>Participants self-reported marked improvements in health post-intervention:</w:t>
      </w:r>
    </w:p>
    <w:p w14:paraId="452E2C9C" w14:textId="77777777" w:rsidR="00D81433" w:rsidRPr="00077581" w:rsidRDefault="00D81433" w:rsidP="00EF0802">
      <w:pPr>
        <w:pStyle w:val="NormalWeb"/>
        <w:numPr>
          <w:ilvl w:val="0"/>
          <w:numId w:val="75"/>
        </w:numPr>
        <w:spacing w:before="0" w:beforeAutospacing="0" w:after="160" w:afterAutospacing="0" w:line="360" w:lineRule="auto"/>
        <w:jc w:val="both"/>
      </w:pPr>
      <w:r w:rsidRPr="00724FE7">
        <w:rPr>
          <w:rStyle w:val="Strong"/>
          <w:b w:val="0"/>
          <w:bCs w:val="0"/>
        </w:rPr>
        <w:t>47%</w:t>
      </w:r>
      <w:r w:rsidRPr="00077581">
        <w:t xml:space="preserve"> noticed moderate BP improvement, and </w:t>
      </w:r>
      <w:r w:rsidRPr="00722236">
        <w:rPr>
          <w:rStyle w:val="Strong"/>
          <w:b w:val="0"/>
          <w:bCs w:val="0"/>
        </w:rPr>
        <w:t>36%</w:t>
      </w:r>
      <w:r w:rsidRPr="00077581">
        <w:t xml:space="preserve"> reported significant improvement.</w:t>
      </w:r>
    </w:p>
    <w:p w14:paraId="1772389D" w14:textId="77777777" w:rsidR="00D81433" w:rsidRPr="00077581" w:rsidRDefault="00D81433" w:rsidP="00EF0802">
      <w:pPr>
        <w:pStyle w:val="NormalWeb"/>
        <w:numPr>
          <w:ilvl w:val="0"/>
          <w:numId w:val="75"/>
        </w:numPr>
        <w:spacing w:before="0" w:beforeAutospacing="0" w:after="160" w:afterAutospacing="0" w:line="360" w:lineRule="auto"/>
        <w:jc w:val="both"/>
      </w:pPr>
      <w:r w:rsidRPr="00724FE7">
        <w:rPr>
          <w:rStyle w:val="Strong"/>
          <w:b w:val="0"/>
          <w:bCs w:val="0"/>
        </w:rPr>
        <w:t>49%</w:t>
      </w:r>
      <w:r w:rsidRPr="00077581">
        <w:t xml:space="preserve"> reported improvement in thyroid function, and </w:t>
      </w:r>
      <w:r w:rsidRPr="00722236">
        <w:rPr>
          <w:rStyle w:val="Strong"/>
          <w:b w:val="0"/>
          <w:bCs w:val="0"/>
        </w:rPr>
        <w:t>61%</w:t>
      </w:r>
      <w:r w:rsidRPr="00077581">
        <w:t xml:space="preserve"> noted a reduction in thyroid-related symptoms.</w:t>
      </w:r>
    </w:p>
    <w:p w14:paraId="13F28DA5" w14:textId="77777777" w:rsidR="00D81433" w:rsidRPr="00077581" w:rsidRDefault="00D81433" w:rsidP="00EF0802">
      <w:pPr>
        <w:pStyle w:val="NormalWeb"/>
        <w:numPr>
          <w:ilvl w:val="0"/>
          <w:numId w:val="75"/>
        </w:numPr>
        <w:spacing w:before="0" w:beforeAutospacing="0" w:after="160" w:afterAutospacing="0" w:line="360" w:lineRule="auto"/>
        <w:jc w:val="both"/>
      </w:pPr>
      <w:r w:rsidRPr="00724FE7">
        <w:rPr>
          <w:rStyle w:val="Strong"/>
          <w:b w:val="0"/>
          <w:bCs w:val="0"/>
        </w:rPr>
        <w:t>65%</w:t>
      </w:r>
      <w:r w:rsidRPr="00077581">
        <w:t xml:space="preserve"> reported relief from hypertension-related symptoms.</w:t>
      </w:r>
    </w:p>
    <w:p w14:paraId="5B30A5AB" w14:textId="77777777" w:rsidR="00D81433" w:rsidRPr="00077581" w:rsidRDefault="00D81433" w:rsidP="00EF0802">
      <w:pPr>
        <w:pStyle w:val="NormalWeb"/>
        <w:numPr>
          <w:ilvl w:val="0"/>
          <w:numId w:val="75"/>
        </w:numPr>
        <w:spacing w:before="0" w:beforeAutospacing="0" w:after="160" w:afterAutospacing="0" w:line="360" w:lineRule="auto"/>
        <w:jc w:val="both"/>
      </w:pPr>
      <w:r w:rsidRPr="00077581">
        <w:t xml:space="preserve">Health monitoring </w:t>
      </w:r>
      <w:proofErr w:type="spellStart"/>
      <w:r w:rsidRPr="00077581">
        <w:t>behavior</w:t>
      </w:r>
      <w:proofErr w:type="spellEnd"/>
      <w:r w:rsidRPr="00077581">
        <w:t xml:space="preserve"> improved, with more participants checking BP and thyroid levels regularly (40% checked BP weekly or more often).</w:t>
      </w:r>
    </w:p>
    <w:p w14:paraId="745069D5" w14:textId="77777777" w:rsidR="00D81433" w:rsidRPr="00077581" w:rsidRDefault="00D81433" w:rsidP="00EF0802">
      <w:pPr>
        <w:pStyle w:val="NormalWeb"/>
        <w:spacing w:before="0" w:beforeAutospacing="0" w:after="160" w:afterAutospacing="0" w:line="360" w:lineRule="auto"/>
        <w:jc w:val="both"/>
      </w:pPr>
      <w:r w:rsidRPr="00077581">
        <w:t>These self-perceptions align with the clinical outcomes recorded and suggest that participants not only adopted but also monitored the effectiveness of their lifestyle changes, a critical factor for sustained maternal health.</w:t>
      </w:r>
    </w:p>
    <w:p w14:paraId="4BF912FB" w14:textId="36AE3025" w:rsidR="00D81433" w:rsidRPr="00077581" w:rsidRDefault="00D81433" w:rsidP="00EF0802">
      <w:pPr>
        <w:pStyle w:val="Heading3"/>
        <w:spacing w:before="0" w:after="160" w:line="360" w:lineRule="auto"/>
        <w:jc w:val="both"/>
        <w:rPr>
          <w:rFonts w:ascii="Times New Roman" w:hAnsi="Times New Roman" w:cs="Times New Roman"/>
          <w:color w:val="auto"/>
          <w:sz w:val="24"/>
          <w:szCs w:val="24"/>
        </w:rPr>
      </w:pPr>
      <w:r>
        <w:rPr>
          <w:rStyle w:val="Strong"/>
          <w:rFonts w:ascii="Times New Roman" w:hAnsi="Times New Roman" w:cs="Times New Roman"/>
          <w:color w:val="auto"/>
          <w:sz w:val="24"/>
          <w:szCs w:val="24"/>
        </w:rPr>
        <w:t>G</w:t>
      </w:r>
      <w:r w:rsidRPr="00077581">
        <w:rPr>
          <w:rStyle w:val="Strong"/>
          <w:rFonts w:ascii="Times New Roman" w:hAnsi="Times New Roman" w:cs="Times New Roman"/>
          <w:color w:val="auto"/>
          <w:sz w:val="24"/>
          <w:szCs w:val="24"/>
        </w:rPr>
        <w:t>. Participant Satisfaction and Program Acceptability</w:t>
      </w:r>
    </w:p>
    <w:p w14:paraId="2D59F1BD" w14:textId="77777777" w:rsidR="00D81433" w:rsidRPr="00077581" w:rsidRDefault="00D81433" w:rsidP="00EF0802">
      <w:pPr>
        <w:pStyle w:val="NormalWeb"/>
        <w:spacing w:before="0" w:beforeAutospacing="0" w:after="160" w:afterAutospacing="0" w:line="360" w:lineRule="auto"/>
        <w:jc w:val="both"/>
      </w:pPr>
      <w:r w:rsidRPr="00077581">
        <w:t>Participant satisfaction with the intervention was high:</w:t>
      </w:r>
    </w:p>
    <w:p w14:paraId="6E9BAF3B" w14:textId="77777777" w:rsidR="00D81433" w:rsidRPr="00077581" w:rsidRDefault="00D81433" w:rsidP="00EF0802">
      <w:pPr>
        <w:pStyle w:val="NormalWeb"/>
        <w:numPr>
          <w:ilvl w:val="0"/>
          <w:numId w:val="76"/>
        </w:numPr>
        <w:spacing w:before="0" w:beforeAutospacing="0" w:after="160" w:afterAutospacing="0" w:line="360" w:lineRule="auto"/>
        <w:jc w:val="both"/>
      </w:pPr>
      <w:r w:rsidRPr="001C473F">
        <w:rPr>
          <w:rStyle w:val="Strong"/>
          <w:b w:val="0"/>
          <w:bCs w:val="0"/>
        </w:rPr>
        <w:t>50%</w:t>
      </w:r>
      <w:r w:rsidRPr="00077581">
        <w:t xml:space="preserve"> were very satisfied and </w:t>
      </w:r>
      <w:r w:rsidRPr="001C473F">
        <w:rPr>
          <w:rStyle w:val="Strong"/>
          <w:b w:val="0"/>
          <w:bCs w:val="0"/>
        </w:rPr>
        <w:t>35%</w:t>
      </w:r>
      <w:r w:rsidRPr="00077581">
        <w:t xml:space="preserve"> satisfied with the guidance received.</w:t>
      </w:r>
    </w:p>
    <w:p w14:paraId="659E66E3" w14:textId="77777777" w:rsidR="00D81433" w:rsidRPr="00077581" w:rsidRDefault="00D81433" w:rsidP="00EF0802">
      <w:pPr>
        <w:pStyle w:val="NormalWeb"/>
        <w:numPr>
          <w:ilvl w:val="0"/>
          <w:numId w:val="76"/>
        </w:numPr>
        <w:spacing w:before="0" w:beforeAutospacing="0" w:after="160" w:afterAutospacing="0" w:line="360" w:lineRule="auto"/>
        <w:jc w:val="both"/>
      </w:pPr>
      <w:r w:rsidRPr="001C473F">
        <w:rPr>
          <w:rStyle w:val="Strong"/>
          <w:b w:val="0"/>
          <w:bCs w:val="0"/>
        </w:rPr>
        <w:t>45% strongly agreed</w:t>
      </w:r>
      <w:r w:rsidRPr="00077581">
        <w:t xml:space="preserve"> and </w:t>
      </w:r>
      <w:r w:rsidRPr="001C473F">
        <w:rPr>
          <w:rStyle w:val="Strong"/>
          <w:b w:val="0"/>
          <w:bCs w:val="0"/>
        </w:rPr>
        <w:t>37.5% agreed</w:t>
      </w:r>
      <w:r w:rsidRPr="00077581">
        <w:t xml:space="preserve"> that their health improved because of lifestyle changes.</w:t>
      </w:r>
    </w:p>
    <w:p w14:paraId="08DE076E" w14:textId="77777777" w:rsidR="00D81433" w:rsidRPr="00077581" w:rsidRDefault="00D81433" w:rsidP="00EF0802">
      <w:pPr>
        <w:pStyle w:val="NormalWeb"/>
        <w:numPr>
          <w:ilvl w:val="0"/>
          <w:numId w:val="76"/>
        </w:numPr>
        <w:spacing w:before="0" w:beforeAutospacing="0" w:after="160" w:afterAutospacing="0" w:line="360" w:lineRule="auto"/>
        <w:jc w:val="both"/>
      </w:pPr>
      <w:r w:rsidRPr="001C473F">
        <w:rPr>
          <w:rStyle w:val="Strong"/>
          <w:b w:val="0"/>
          <w:bCs w:val="0"/>
        </w:rPr>
        <w:t>42.5%</w:t>
      </w:r>
      <w:r w:rsidRPr="00077581">
        <w:t xml:space="preserve"> rated the changes as very effective, and </w:t>
      </w:r>
      <w:r w:rsidRPr="001C473F">
        <w:rPr>
          <w:rStyle w:val="Strong"/>
          <w:b w:val="0"/>
          <w:bCs w:val="0"/>
        </w:rPr>
        <w:t>40%</w:t>
      </w:r>
      <w:r w:rsidRPr="00077581">
        <w:t xml:space="preserve"> as somewhat effective.</w:t>
      </w:r>
    </w:p>
    <w:p w14:paraId="48CFCF31" w14:textId="77777777" w:rsidR="00D81433" w:rsidRPr="00077581" w:rsidRDefault="00D81433" w:rsidP="00EF0802">
      <w:pPr>
        <w:pStyle w:val="NormalWeb"/>
        <w:numPr>
          <w:ilvl w:val="0"/>
          <w:numId w:val="76"/>
        </w:numPr>
        <w:spacing w:before="0" w:beforeAutospacing="0" w:after="160" w:afterAutospacing="0" w:line="360" w:lineRule="auto"/>
        <w:jc w:val="both"/>
      </w:pPr>
      <w:r w:rsidRPr="00077581">
        <w:t>Only 30% of participants faced barriers, indicating that the program was largely feasible and acceptable.</w:t>
      </w:r>
    </w:p>
    <w:p w14:paraId="674C6889" w14:textId="77777777" w:rsidR="00D81433" w:rsidRPr="00077581" w:rsidRDefault="00D81433" w:rsidP="00EF0802">
      <w:pPr>
        <w:pStyle w:val="NormalWeb"/>
        <w:spacing w:before="0" w:beforeAutospacing="0" w:after="160" w:afterAutospacing="0" w:line="360" w:lineRule="auto"/>
        <w:jc w:val="both"/>
      </w:pPr>
      <w:r w:rsidRPr="00077581">
        <w:t xml:space="preserve">The results confirm the intervention’s success in not just delivering health education but in motivating real-life </w:t>
      </w:r>
      <w:proofErr w:type="spellStart"/>
      <w:r w:rsidRPr="00077581">
        <w:t>behavioral</w:t>
      </w:r>
      <w:proofErr w:type="spellEnd"/>
      <w:r w:rsidRPr="00077581">
        <w:t xml:space="preserve"> adoption, monitoring, and maintenance.</w:t>
      </w:r>
    </w:p>
    <w:p w14:paraId="4BB95B41" w14:textId="205F2356" w:rsidR="003D240C" w:rsidRPr="00EF0802" w:rsidRDefault="00D81433" w:rsidP="00EF0802">
      <w:pPr>
        <w:pStyle w:val="NormalWeb"/>
        <w:spacing w:before="0" w:beforeAutospacing="0" w:after="160" w:afterAutospacing="0" w:line="360" w:lineRule="auto"/>
        <w:jc w:val="both"/>
      </w:pPr>
      <w:r w:rsidRPr="00077581">
        <w:t xml:space="preserve">In summary, the findings provide strong evidence that structured lifestyle education can significantly improve knowledge, </w:t>
      </w:r>
      <w:proofErr w:type="spellStart"/>
      <w:r w:rsidRPr="00077581">
        <w:t>behavior</w:t>
      </w:r>
      <w:proofErr w:type="spellEnd"/>
      <w:r w:rsidRPr="00077581">
        <w:t xml:space="preserve">, and health outcomes among pregnant women at risk of thyroid and hypertensive disorders. The intervention model was </w:t>
      </w:r>
      <w:r w:rsidRPr="00077581">
        <w:lastRenderedPageBreak/>
        <w:t>practical, well-received, and led to statistically and clinically meaningful changes. These findings support the integration of similar programs into routine antenatal care to reduce maternal health risks through preventive, low-cost strategies.</w:t>
      </w:r>
    </w:p>
    <w:p w14:paraId="7CB1361D" w14:textId="77777777" w:rsidR="003D240C" w:rsidRDefault="003D240C" w:rsidP="00EF0802">
      <w:pPr>
        <w:spacing w:line="360" w:lineRule="auto"/>
        <w:jc w:val="both"/>
        <w:rPr>
          <w:rFonts w:ascii="Times New Roman" w:hAnsi="Times New Roman" w:cs="Times New Roman"/>
          <w:b/>
          <w:bCs/>
        </w:rPr>
      </w:pPr>
    </w:p>
    <w:p w14:paraId="07C627F5" w14:textId="20EE9AB1" w:rsidR="00D81433" w:rsidRPr="00077581" w:rsidRDefault="00D81433" w:rsidP="00EF0802">
      <w:pPr>
        <w:spacing w:line="360" w:lineRule="auto"/>
        <w:jc w:val="both"/>
        <w:rPr>
          <w:rFonts w:ascii="Times New Roman" w:hAnsi="Times New Roman" w:cs="Times New Roman"/>
          <w:b/>
          <w:bCs/>
        </w:rPr>
      </w:pPr>
      <w:r w:rsidRPr="00077581">
        <w:rPr>
          <w:rFonts w:ascii="Times New Roman" w:hAnsi="Times New Roman" w:cs="Times New Roman"/>
          <w:b/>
          <w:bCs/>
        </w:rPr>
        <w:t xml:space="preserve">5.4 Concluding Remarks </w:t>
      </w:r>
    </w:p>
    <w:p w14:paraId="57F79D6C" w14:textId="77777777" w:rsidR="00D81433" w:rsidRPr="00077581" w:rsidRDefault="00D81433" w:rsidP="00EF0802">
      <w:pPr>
        <w:pStyle w:val="NormalWeb"/>
        <w:spacing w:before="0" w:beforeAutospacing="0" w:after="160" w:afterAutospacing="0" w:line="360" w:lineRule="auto"/>
        <w:jc w:val="both"/>
      </w:pPr>
      <w:r w:rsidRPr="00077581">
        <w:t xml:space="preserve">The current study set out to explore and evaluate the effectiveness of structured lifestyle interventions in enhancing awareness, modifying </w:t>
      </w:r>
      <w:proofErr w:type="spellStart"/>
      <w:r w:rsidRPr="00077581">
        <w:t>behavior</w:t>
      </w:r>
      <w:proofErr w:type="spellEnd"/>
      <w:r w:rsidRPr="00077581">
        <w:t>, and improving clinical outcomes among pregnant women at risk for or diagnosed with thyroid dysfunction and hypertension. Through a carefully planned pre- and post-test design, quantitative and qualitative data collection, and statistically validated tools, the study comprehensively assessed whether informed lifestyle changes could serve as a preventative and management tool in antenatal care. The outcomes were overwhelmingly affirmative, supporting the notion that a non-pharmacological, education-</w:t>
      </w:r>
      <w:proofErr w:type="spellStart"/>
      <w:r w:rsidRPr="00077581">
        <w:t>centered</w:t>
      </w:r>
      <w:proofErr w:type="spellEnd"/>
      <w:r w:rsidRPr="00077581">
        <w:t xml:space="preserve"> approach can make a measurable difference in maternal health outcomes.</w:t>
      </w:r>
    </w:p>
    <w:p w14:paraId="515F13A5" w14:textId="77777777" w:rsidR="00D81433" w:rsidRPr="00077581" w:rsidRDefault="00D81433" w:rsidP="00EF0802">
      <w:pPr>
        <w:pStyle w:val="NormalWeb"/>
        <w:spacing w:before="0" w:beforeAutospacing="0" w:after="160" w:afterAutospacing="0" w:line="360" w:lineRule="auto"/>
        <w:jc w:val="both"/>
      </w:pPr>
      <w:r w:rsidRPr="00077581">
        <w:t xml:space="preserve">Thyroid and hypertensive disorders are among the most prevalent medical complications during pregnancy, contributing significantly to maternal and </w:t>
      </w:r>
      <w:proofErr w:type="spellStart"/>
      <w:r w:rsidRPr="00077581">
        <w:t>fetal</w:t>
      </w:r>
      <w:proofErr w:type="spellEnd"/>
      <w:r w:rsidRPr="00077581">
        <w:t xml:space="preserve"> morbidity. In many low- and middle-income contexts, these conditions often go underdiagnosed or poorly managed due to lack of awareness, cultural myths, healthcare access issues, and a general undervaluation of antenatal education. This study directly addressed these barriers by delivering targeted educational interventions through an accessible medium—antenatal care units—and evaluating their effect through pre/post measurements of knowledge, </w:t>
      </w:r>
      <w:proofErr w:type="spellStart"/>
      <w:r w:rsidRPr="00077581">
        <w:t>behavior</w:t>
      </w:r>
      <w:proofErr w:type="spellEnd"/>
      <w:r w:rsidRPr="00077581">
        <w:t>, and clinical data.</w:t>
      </w:r>
    </w:p>
    <w:p w14:paraId="478191DC" w14:textId="77777777" w:rsidR="00D81433" w:rsidRPr="00077581" w:rsidRDefault="00D81433" w:rsidP="00EF0802">
      <w:pPr>
        <w:pStyle w:val="NormalWeb"/>
        <w:spacing w:before="0" w:beforeAutospacing="0" w:after="160" w:afterAutospacing="0" w:line="360" w:lineRule="auto"/>
        <w:jc w:val="both"/>
      </w:pPr>
      <w:r w:rsidRPr="00077581">
        <w:t xml:space="preserve">One of the most striking findings of the study was the improvement in participants’ awareness and understanding of thyroid dysfunction and hypertensive disorders during pregnancy. At baseline, nearly half of the participants were unaware of the implications of untreated thyroid issues, and a substantial portion did not recognize hypertension as a risk factor for pregnancy complications. However, after the intervention, awareness scores increased dramatically. The proportion of participants categorized under "high knowledge" rose from 15% to over 42.5%. This is not merely a statistical achievement—it represents a meaningful shift in the health literacy of a vulnerable population. Knowledge, especially in maternal healthcare, is the cornerstone of prevention, early detection, and timely action. The ability of the intervention to </w:t>
      </w:r>
      <w:r w:rsidRPr="00077581">
        <w:lastRenderedPageBreak/>
        <w:t>significantly elevate awareness demonstrates that even a short-term, structured program can yield measurable cognitive gains.</w:t>
      </w:r>
    </w:p>
    <w:p w14:paraId="50C5747F" w14:textId="77777777" w:rsidR="00D81433" w:rsidRPr="00077581" w:rsidRDefault="00D81433" w:rsidP="00EF0802">
      <w:pPr>
        <w:pStyle w:val="NormalWeb"/>
        <w:spacing w:before="0" w:beforeAutospacing="0" w:after="160" w:afterAutospacing="0" w:line="360" w:lineRule="auto"/>
        <w:jc w:val="both"/>
      </w:pPr>
      <w:r w:rsidRPr="00077581">
        <w:t xml:space="preserve">In parallel with the rise in knowledge, significant </w:t>
      </w:r>
      <w:proofErr w:type="spellStart"/>
      <w:r w:rsidRPr="00077581">
        <w:t>behavioral</w:t>
      </w:r>
      <w:proofErr w:type="spellEnd"/>
      <w:r w:rsidRPr="00077581">
        <w:t xml:space="preserve"> changes were observed. Post-intervention data revealed that more women engaged in regular physical activity, made deliberate dietary modifications, practiced stress management techniques, and adhered more closely to medical guidance. The percentage of women exercising daily rose from 11% to 42%, and those following specific dietary guidelines increased from 28% to 65%. This </w:t>
      </w:r>
      <w:proofErr w:type="spellStart"/>
      <w:r w:rsidRPr="00077581">
        <w:t>behavioral</w:t>
      </w:r>
      <w:proofErr w:type="spellEnd"/>
      <w:r w:rsidRPr="00077581">
        <w:t xml:space="preserve"> transformation is a strong indicator of the intervention's practical utility and its success in translating information into action. Importantly, these changes were not imposed but self-selected, which suggests that the intervention succeeded in motivating participants through understanding rather than enforcement. Empowered by new knowledge and supported through follow-ups, the women were able to make informed decisions that contributed to better health outcomes for themselves and their unborn children.</w:t>
      </w:r>
    </w:p>
    <w:p w14:paraId="4213023B" w14:textId="77777777" w:rsidR="00D81433" w:rsidRPr="00077581" w:rsidRDefault="00D81433" w:rsidP="00EF0802">
      <w:pPr>
        <w:pStyle w:val="NormalWeb"/>
        <w:spacing w:before="0" w:beforeAutospacing="0" w:after="160" w:afterAutospacing="0" w:line="360" w:lineRule="auto"/>
        <w:jc w:val="both"/>
      </w:pPr>
      <w:r w:rsidRPr="00077581">
        <w:t xml:space="preserve">The changes were not only perceptual or </w:t>
      </w:r>
      <w:proofErr w:type="spellStart"/>
      <w:r w:rsidRPr="00077581">
        <w:t>behavioral</w:t>
      </w:r>
      <w:proofErr w:type="spellEnd"/>
      <w:r w:rsidRPr="00077581">
        <w:t xml:space="preserve">—they were physiological and clinical. The paired sample t-tests conducted on pre- and post-intervention health indicators such as TSH, Free T3 and T4, blood pressure, and blood glucose levels revealed statistically significant improvements across all measures. TSH levels dropped from an average of 4.8 </w:t>
      </w:r>
      <w:proofErr w:type="spellStart"/>
      <w:r w:rsidRPr="00077581">
        <w:t>mIU</w:t>
      </w:r>
      <w:proofErr w:type="spellEnd"/>
      <w:r w:rsidRPr="00077581">
        <w:t xml:space="preserve">/L to 2.8 </w:t>
      </w:r>
      <w:proofErr w:type="spellStart"/>
      <w:r w:rsidRPr="00077581">
        <w:t>mIU</w:t>
      </w:r>
      <w:proofErr w:type="spellEnd"/>
      <w:r w:rsidRPr="00077581">
        <w:t>/L, and systolic blood pressure decreased from 132 mmHg to 120 mmHg. These shifts indicate not just better disease awareness but actual medical benefit, validating lifestyle changes as an adjunct or, in some cases, an alternative to pharmacological treatment. Further evidence supporting the intervention's effectiveness includes a decrease in proteinuria from 30% to 10%, fewer women requiring thyroid or hypertensive medications, and notable improvements in participants' self-reported symptoms.</w:t>
      </w:r>
    </w:p>
    <w:p w14:paraId="6E495FF5" w14:textId="77777777" w:rsidR="00D81433" w:rsidRPr="00077581" w:rsidRDefault="00D81433" w:rsidP="00EF0802">
      <w:pPr>
        <w:pStyle w:val="NormalWeb"/>
        <w:spacing w:before="0" w:beforeAutospacing="0" w:after="160" w:afterAutospacing="0" w:line="360" w:lineRule="auto"/>
        <w:jc w:val="both"/>
      </w:pPr>
      <w:r w:rsidRPr="00077581">
        <w:t xml:space="preserve">Another dimension of the intervention's success lies in its sustainability and acceptability. A considerable majority of participants (85%) adopted at least one lifestyle change post-intervention, and 75% expressed intent to continue these practices after pregnancy. These statistics are vital in a healthcare setting where many </w:t>
      </w:r>
      <w:proofErr w:type="spellStart"/>
      <w:r w:rsidRPr="00077581">
        <w:t>behavior</w:t>
      </w:r>
      <w:proofErr w:type="spellEnd"/>
      <w:r w:rsidRPr="00077581">
        <w:t xml:space="preserve">-based interventions fail due to poor adherence or cultural mismatch. The participants not only responded positively but also showed a high degree of satisfaction with the guidance received. Nearly 85% rated the program as very or somewhat effective, and </w:t>
      </w:r>
      <w:r w:rsidRPr="00077581">
        <w:lastRenderedPageBreak/>
        <w:t>70% reported no barriers to implementation. This speaks to the intervention’s design—its cultural appropriateness, simplicity, and relevance to real-life scenarios—and the crucial role that context-sensitive, patient-</w:t>
      </w:r>
      <w:proofErr w:type="spellStart"/>
      <w:r w:rsidRPr="00077581">
        <w:t>centered</w:t>
      </w:r>
      <w:proofErr w:type="spellEnd"/>
      <w:r w:rsidRPr="00077581">
        <w:t xml:space="preserve"> education plays in healthcare delivery.</w:t>
      </w:r>
    </w:p>
    <w:p w14:paraId="0FF321A2" w14:textId="77777777" w:rsidR="00D81433" w:rsidRPr="00077581" w:rsidRDefault="00D81433" w:rsidP="00EF0802">
      <w:pPr>
        <w:pStyle w:val="NormalWeb"/>
        <w:spacing w:before="0" w:beforeAutospacing="0" w:after="160" w:afterAutospacing="0" w:line="360" w:lineRule="auto"/>
        <w:jc w:val="both"/>
      </w:pPr>
      <w:r w:rsidRPr="00077581">
        <w:t>Beyond individual outcomes, this study contributes to the growing body of evidence supporting community-based, lifestyle-oriented antenatal care. With rising non-communicable disease (NCD) burdens globally, especially in developing nations, healthcare systems are increasingly strained by chronic conditions like hypertension and thyroid dysfunction. These conditions, if unaddressed during pregnancy, can have transgenerational consequences. The findings from this study present a strong case for integrating structured lifestyle education into routine antenatal checkups as a preventative strategy, thereby reducing the future healthcare load and improving public health metrics.</w:t>
      </w:r>
    </w:p>
    <w:p w14:paraId="7D5DFF6B" w14:textId="77777777" w:rsidR="00D81433" w:rsidRPr="00077581" w:rsidRDefault="00D81433" w:rsidP="00EF0802">
      <w:pPr>
        <w:pStyle w:val="NormalWeb"/>
        <w:spacing w:before="0" w:beforeAutospacing="0" w:after="160" w:afterAutospacing="0" w:line="360" w:lineRule="auto"/>
        <w:jc w:val="both"/>
      </w:pPr>
      <w:r w:rsidRPr="00077581">
        <w:t xml:space="preserve">In addition to validating its own hypotheses, this research aligns with global literature emphasizing the importance of health education in maternal care. Multiple studies have shown that prenatal </w:t>
      </w:r>
      <w:proofErr w:type="spellStart"/>
      <w:r w:rsidRPr="00077581">
        <w:t>counseling</w:t>
      </w:r>
      <w:proofErr w:type="spellEnd"/>
      <w:r w:rsidRPr="00077581">
        <w:t xml:space="preserve"> on diet, exercise, and stress management can reduce gestational complications and promote maternal-</w:t>
      </w:r>
      <w:proofErr w:type="spellStart"/>
      <w:r w:rsidRPr="00077581">
        <w:t>fetal</w:t>
      </w:r>
      <w:proofErr w:type="spellEnd"/>
      <w:r w:rsidRPr="00077581">
        <w:t xml:space="preserve"> well-being. This study goes a step further by providing statistically rigorous evidence from an Indian setting, offering localized insights into how these global recommendations play out in practice. The alignment with international research reinforces the universal value of health literacy, while the unique findings add cultural and demographic nuance.</w:t>
      </w:r>
    </w:p>
    <w:p w14:paraId="1A1C9539" w14:textId="77777777" w:rsidR="00D81433" w:rsidRPr="00077581" w:rsidRDefault="00D81433" w:rsidP="00EF0802">
      <w:pPr>
        <w:pStyle w:val="NormalWeb"/>
        <w:spacing w:before="0" w:beforeAutospacing="0" w:after="160" w:afterAutospacing="0" w:line="360" w:lineRule="auto"/>
        <w:jc w:val="both"/>
      </w:pPr>
      <w:r w:rsidRPr="00077581">
        <w:t xml:space="preserve">The study also illuminated some challenges and limitations. Despite the positive response, about 15% of participants did not adopt any lifestyle changes. Reasons included time constraints, inconvenient routines, or lack of perceived benefit. These responses highlight the need for more flexible, perhaps technology-driven, follow-up mechanisms like mobile health (mHealth) interventions or peer support groups. Moreover, while the sample size was sufficient for statistical analysis, the study was limited to a specific geographic region, which may affect its generalizability. Future research could expand to rural or tribal populations, assess long-term retention of </w:t>
      </w:r>
      <w:proofErr w:type="spellStart"/>
      <w:r w:rsidRPr="00077581">
        <w:t>behavioral</w:t>
      </w:r>
      <w:proofErr w:type="spellEnd"/>
      <w:r w:rsidRPr="00077581">
        <w:t xml:space="preserve"> changes, and explore integration with digital platforms for scalability.</w:t>
      </w:r>
    </w:p>
    <w:p w14:paraId="55956E2B" w14:textId="77777777" w:rsidR="00D81433" w:rsidRPr="00077581" w:rsidRDefault="00D81433" w:rsidP="00EF0802">
      <w:pPr>
        <w:pStyle w:val="NormalWeb"/>
        <w:spacing w:before="0" w:beforeAutospacing="0" w:after="160" w:afterAutospacing="0" w:line="360" w:lineRule="auto"/>
        <w:jc w:val="both"/>
      </w:pPr>
      <w:r w:rsidRPr="00077581">
        <w:t xml:space="preserve">Another critical insight emerged from the demographic correlations. Awareness levels were significantly associated with education, income, and parity. Women with higher </w:t>
      </w:r>
      <w:r w:rsidRPr="00077581">
        <w:lastRenderedPageBreak/>
        <w:t>education and income levels showed better baseline knowledge and adopted changes more readily. This finding indicates a persistent disparity in health literacy, reinforcing the need for targeted outreach programs among lower socioeconomic groups. Additionally, primigravida women were more receptive to new information and practices, possibly due to heightened concern or curiosity during their first pregnancy. These nuanced differences should be considered when designing future interventions to ensure inclusivity and equity.</w:t>
      </w:r>
    </w:p>
    <w:p w14:paraId="60B045E1" w14:textId="77777777" w:rsidR="00D81433" w:rsidRPr="00077581" w:rsidRDefault="00D81433" w:rsidP="00EF0802">
      <w:pPr>
        <w:pStyle w:val="NormalWeb"/>
        <w:spacing w:before="0" w:beforeAutospacing="0" w:after="160" w:afterAutospacing="0" w:line="360" w:lineRule="auto"/>
        <w:jc w:val="both"/>
      </w:pPr>
      <w:r w:rsidRPr="00077581">
        <w:t>Importantly, the intervention’s emphasis on holistic wellness rather than strict medical compliance contributed to its success. Women were encouraged to make small, manageable changes rather than adopt drastic measures, which likely improved adherence. The tone of the sessions—supportive rather than prescriptive—was essential in building trust and rapport. Participants felt respected and involved, not simply instructed. This shift from a disease-</w:t>
      </w:r>
      <w:proofErr w:type="spellStart"/>
      <w:r w:rsidRPr="00077581">
        <w:t>centered</w:t>
      </w:r>
      <w:proofErr w:type="spellEnd"/>
      <w:r w:rsidRPr="00077581">
        <w:t xml:space="preserve"> to a wellness-</w:t>
      </w:r>
      <w:proofErr w:type="spellStart"/>
      <w:r w:rsidRPr="00077581">
        <w:t>centered</w:t>
      </w:r>
      <w:proofErr w:type="spellEnd"/>
      <w:r w:rsidRPr="00077581">
        <w:t xml:space="preserve"> model is a subtle but powerful evolution in healthcare, especially in maternal settings where emotional, social, and physical well-being are deeply interconnected.</w:t>
      </w:r>
    </w:p>
    <w:p w14:paraId="6575B5E8" w14:textId="77777777" w:rsidR="00D81433" w:rsidRPr="00077581" w:rsidRDefault="00D81433" w:rsidP="00EF0802">
      <w:pPr>
        <w:pStyle w:val="NormalWeb"/>
        <w:spacing w:before="0" w:beforeAutospacing="0" w:after="160" w:afterAutospacing="0" w:line="360" w:lineRule="auto"/>
        <w:jc w:val="both"/>
      </w:pPr>
      <w:r w:rsidRPr="00077581">
        <w:t xml:space="preserve">In summation, the study affirms that lifestyle modification—when guided, contextualized, and embedded within antenatal care—can be a powerful tool for improving awareness, promoting healthier </w:t>
      </w:r>
      <w:proofErr w:type="spellStart"/>
      <w:r w:rsidRPr="00077581">
        <w:t>behavior</w:t>
      </w:r>
      <w:proofErr w:type="spellEnd"/>
      <w:r w:rsidRPr="00077581">
        <w:t>, and enhancing clinical outcomes in pregnant women. The intervention proved to be effective, feasible, and acceptable, making it a promising model for integration into maternal health programs. It bridged knowledge gaps, empowered participants, and demonstrated measurable health benefits—all with minimal cost and no side effects.</w:t>
      </w:r>
    </w:p>
    <w:p w14:paraId="6FD07812" w14:textId="77777777" w:rsidR="00D81433" w:rsidRPr="00077581" w:rsidRDefault="00D81433" w:rsidP="00EF0802">
      <w:pPr>
        <w:pStyle w:val="NormalWeb"/>
        <w:spacing w:before="0" w:beforeAutospacing="0" w:after="160" w:afterAutospacing="0" w:line="360" w:lineRule="auto"/>
        <w:jc w:val="both"/>
      </w:pPr>
      <w:r w:rsidRPr="00077581">
        <w:t>As the global maternal health agenda continues to prioritize equitable, sustainable, and patient-</w:t>
      </w:r>
      <w:proofErr w:type="spellStart"/>
      <w:r w:rsidRPr="00077581">
        <w:t>centered</w:t>
      </w:r>
      <w:proofErr w:type="spellEnd"/>
      <w:r w:rsidRPr="00077581">
        <w:t xml:space="preserve"> care, studies like this serve as both evidence and inspiration. They remind us that empowering women with knowledge and choice can transform not only individual health trajectories but also the health of families and future generations.</w:t>
      </w:r>
    </w:p>
    <w:p w14:paraId="2B9B2EDF" w14:textId="77777777" w:rsidR="00D81433" w:rsidRPr="00077581" w:rsidRDefault="00D81433" w:rsidP="00EF0802">
      <w:pPr>
        <w:spacing w:line="360" w:lineRule="auto"/>
        <w:jc w:val="both"/>
        <w:rPr>
          <w:rFonts w:ascii="Times New Roman" w:hAnsi="Times New Roman" w:cs="Times New Roman"/>
        </w:rPr>
      </w:pPr>
    </w:p>
    <w:p w14:paraId="7B61DCE0" w14:textId="77777777" w:rsidR="00D81433" w:rsidRPr="00077581" w:rsidRDefault="00D81433" w:rsidP="00EF0802">
      <w:pPr>
        <w:pStyle w:val="Heading3"/>
        <w:spacing w:before="0" w:after="160" w:line="360" w:lineRule="auto"/>
        <w:jc w:val="both"/>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5.5 Major Conclusions</w:t>
      </w:r>
    </w:p>
    <w:p w14:paraId="74638298" w14:textId="77777777" w:rsidR="00D81433" w:rsidRPr="00077581" w:rsidRDefault="00D81433" w:rsidP="00EF0802">
      <w:pPr>
        <w:pStyle w:val="NormalWeb"/>
        <w:spacing w:before="0" w:beforeAutospacing="0" w:after="160" w:afterAutospacing="0" w:line="360" w:lineRule="auto"/>
        <w:jc w:val="both"/>
      </w:pPr>
      <w:r w:rsidRPr="00077581">
        <w:t xml:space="preserve">Based on the findings and analysis conducted throughout the study, several major conclusions can be drawn regarding the effectiveness of structured lifestyle </w:t>
      </w:r>
      <w:r w:rsidRPr="00077581">
        <w:lastRenderedPageBreak/>
        <w:t xml:space="preserve">modification interventions on awareness, </w:t>
      </w:r>
      <w:proofErr w:type="spellStart"/>
      <w:r w:rsidRPr="00077581">
        <w:t>behavior</w:t>
      </w:r>
      <w:proofErr w:type="spellEnd"/>
      <w:r w:rsidRPr="00077581">
        <w:t>, and clinical outcomes in pregnant women at risk for thyroid dysfunction and hypertension.</w:t>
      </w:r>
    </w:p>
    <w:p w14:paraId="2895FFED" w14:textId="77777777" w:rsidR="00D81433" w:rsidRPr="00077581" w:rsidRDefault="00D81433" w:rsidP="00EF0802">
      <w:pPr>
        <w:pStyle w:val="NormalWeb"/>
        <w:numPr>
          <w:ilvl w:val="0"/>
          <w:numId w:val="82"/>
        </w:numPr>
        <w:spacing w:before="0" w:beforeAutospacing="0" w:after="160" w:afterAutospacing="0" w:line="360" w:lineRule="auto"/>
        <w:jc w:val="both"/>
      </w:pPr>
      <w:r w:rsidRPr="00077581">
        <w:rPr>
          <w:rStyle w:val="Strong"/>
        </w:rPr>
        <w:t>Awareness and Knowledge Significantly Improve with Targeted Education</w:t>
      </w:r>
      <w:r>
        <w:rPr>
          <w:rStyle w:val="Strong"/>
        </w:rPr>
        <w:t xml:space="preserve">: </w:t>
      </w:r>
      <w:r w:rsidRPr="00077581">
        <w:t>The study demonstrated a substantial improvement in participants’ awareness and understanding of thyroid and hypertensive disorders during pregnancy following the lifestyle intervention. Mean knowledge scores significantly increased post-intervention, confirming that structured antenatal health education is both necessary and effective in addressing knowledge gaps among expectant mothers.</w:t>
      </w:r>
    </w:p>
    <w:p w14:paraId="1D87E092" w14:textId="77777777" w:rsidR="00D81433" w:rsidRPr="00077581" w:rsidRDefault="00D81433" w:rsidP="00EF0802">
      <w:pPr>
        <w:pStyle w:val="NormalWeb"/>
        <w:numPr>
          <w:ilvl w:val="0"/>
          <w:numId w:val="82"/>
        </w:numPr>
        <w:spacing w:before="0" w:beforeAutospacing="0" w:after="160" w:afterAutospacing="0" w:line="360" w:lineRule="auto"/>
        <w:jc w:val="both"/>
      </w:pPr>
      <w:r w:rsidRPr="00077581">
        <w:rPr>
          <w:rStyle w:val="Strong"/>
        </w:rPr>
        <w:t>Sociodemographic Factors Influence Baseline Awareness</w:t>
      </w:r>
      <w:r>
        <w:rPr>
          <w:rStyle w:val="Strong"/>
        </w:rPr>
        <w:t xml:space="preserve">: </w:t>
      </w:r>
      <w:r w:rsidRPr="00077581">
        <w:t>There was a statistically significant association between certain demographic variables—particularly education level and parity—and awareness levels. These findings emphasize the need to tailor educational efforts based on participants’ backgrounds to ensure maximum reach and efficacy, especially among low-literacy groups.</w:t>
      </w:r>
    </w:p>
    <w:p w14:paraId="00BF00BB" w14:textId="77777777" w:rsidR="00D81433" w:rsidRPr="00077581" w:rsidRDefault="00D81433" w:rsidP="00EF0802">
      <w:pPr>
        <w:pStyle w:val="NormalWeb"/>
        <w:numPr>
          <w:ilvl w:val="0"/>
          <w:numId w:val="82"/>
        </w:numPr>
        <w:spacing w:before="0" w:beforeAutospacing="0" w:after="160" w:afterAutospacing="0" w:line="360" w:lineRule="auto"/>
        <w:jc w:val="both"/>
      </w:pPr>
      <w:r w:rsidRPr="00077581">
        <w:rPr>
          <w:rStyle w:val="Strong"/>
        </w:rPr>
        <w:t xml:space="preserve">Lifestyle </w:t>
      </w:r>
      <w:proofErr w:type="spellStart"/>
      <w:r w:rsidRPr="00077581">
        <w:rPr>
          <w:rStyle w:val="Strong"/>
        </w:rPr>
        <w:t>Behaviors</w:t>
      </w:r>
      <w:proofErr w:type="spellEnd"/>
      <w:r w:rsidRPr="00077581">
        <w:rPr>
          <w:rStyle w:val="Strong"/>
        </w:rPr>
        <w:t xml:space="preserve"> Can Be Modified Through Structured Interventions</w:t>
      </w:r>
      <w:r>
        <w:rPr>
          <w:rStyle w:val="Strong"/>
        </w:rPr>
        <w:t xml:space="preserve">: </w:t>
      </w:r>
      <w:r w:rsidRPr="00077581">
        <w:t xml:space="preserve">The intervention led to measurable improvements in dietary habits, physical activity, stress management, supplement intake, and sleep routines. The adoption of healthier </w:t>
      </w:r>
      <w:proofErr w:type="spellStart"/>
      <w:r w:rsidRPr="00077581">
        <w:t>behaviors</w:t>
      </w:r>
      <w:proofErr w:type="spellEnd"/>
      <w:r w:rsidRPr="00077581">
        <w:t xml:space="preserve"> post-intervention indicates that pregnant women are both receptive and responsive to lifestyle guidance when delivered in an engaging and supportive format.</w:t>
      </w:r>
    </w:p>
    <w:p w14:paraId="3A8BC88C" w14:textId="77777777" w:rsidR="00D81433" w:rsidRPr="00077581" w:rsidRDefault="00D81433" w:rsidP="00EF0802">
      <w:pPr>
        <w:pStyle w:val="NormalWeb"/>
        <w:numPr>
          <w:ilvl w:val="0"/>
          <w:numId w:val="82"/>
        </w:numPr>
        <w:spacing w:before="0" w:beforeAutospacing="0" w:after="160" w:afterAutospacing="0" w:line="360" w:lineRule="auto"/>
        <w:jc w:val="both"/>
      </w:pPr>
      <w:r w:rsidRPr="00077581">
        <w:rPr>
          <w:rStyle w:val="Strong"/>
        </w:rPr>
        <w:t>Clinical Indicators Reflect the Impact of Non-Pharmacological Interventions</w:t>
      </w:r>
      <w:r>
        <w:rPr>
          <w:rStyle w:val="Strong"/>
        </w:rPr>
        <w:t xml:space="preserve">: </w:t>
      </w:r>
      <w:r w:rsidRPr="00077581">
        <w:t>Improvements in clinical parameters such as TSH levels, blood pressure, and blood glucose levels were statistically significant. These results confirm that lifestyle changes can positively influence health outcomes, serving as complementary or even primary management strategies for thyroid and hypertensive conditions in pregnancy.</w:t>
      </w:r>
    </w:p>
    <w:p w14:paraId="1F9968B2" w14:textId="77777777" w:rsidR="00D81433" w:rsidRPr="00077581" w:rsidRDefault="00D81433" w:rsidP="00EF0802">
      <w:pPr>
        <w:pStyle w:val="NormalWeb"/>
        <w:numPr>
          <w:ilvl w:val="0"/>
          <w:numId w:val="82"/>
        </w:numPr>
        <w:spacing w:before="0" w:beforeAutospacing="0" w:after="160" w:afterAutospacing="0" w:line="360" w:lineRule="auto"/>
        <w:jc w:val="both"/>
      </w:pPr>
      <w:proofErr w:type="spellStart"/>
      <w:r w:rsidRPr="00077581">
        <w:rPr>
          <w:rStyle w:val="Strong"/>
        </w:rPr>
        <w:t>Behavioral</w:t>
      </w:r>
      <w:proofErr w:type="spellEnd"/>
      <w:r w:rsidRPr="00077581">
        <w:rPr>
          <w:rStyle w:val="Strong"/>
        </w:rPr>
        <w:t xml:space="preserve"> Changes Were Sustained and Well-Received by Participants</w:t>
      </w:r>
      <w:r>
        <w:rPr>
          <w:rStyle w:val="Strong"/>
        </w:rPr>
        <w:t xml:space="preserve">: </w:t>
      </w:r>
      <w:r w:rsidRPr="00077581">
        <w:t xml:space="preserve">Most participants expressed high satisfaction with the intervention and intended to continue the adopted lifestyle practices beyond pregnancy. This suggests that </w:t>
      </w:r>
      <w:r w:rsidRPr="00077581">
        <w:lastRenderedPageBreak/>
        <w:t xml:space="preserve">the program was not only educationally impactful but also sustainable and </w:t>
      </w:r>
      <w:proofErr w:type="spellStart"/>
      <w:r w:rsidRPr="00077581">
        <w:t>behaviorally</w:t>
      </w:r>
      <w:proofErr w:type="spellEnd"/>
      <w:r w:rsidRPr="00077581">
        <w:t xml:space="preserve"> ingrained.</w:t>
      </w:r>
    </w:p>
    <w:p w14:paraId="5B523EB1" w14:textId="77777777" w:rsidR="00D81433" w:rsidRPr="00077581" w:rsidRDefault="00D81433" w:rsidP="00EF0802">
      <w:pPr>
        <w:pStyle w:val="NormalWeb"/>
        <w:numPr>
          <w:ilvl w:val="0"/>
          <w:numId w:val="82"/>
        </w:numPr>
        <w:spacing w:before="0" w:beforeAutospacing="0" w:after="160" w:afterAutospacing="0" w:line="360" w:lineRule="auto"/>
        <w:jc w:val="both"/>
      </w:pPr>
      <w:r w:rsidRPr="00077581">
        <w:rPr>
          <w:rStyle w:val="Strong"/>
        </w:rPr>
        <w:t>Educational Interventions Enhance Health Monitoring and Self-Management</w:t>
      </w:r>
      <w:r>
        <w:rPr>
          <w:rStyle w:val="Strong"/>
        </w:rPr>
        <w:t xml:space="preserve">: </w:t>
      </w:r>
      <w:r w:rsidRPr="00077581">
        <w:t>Post-intervention, more women engaged in routine monitoring of blood pressure and thyroid levels, and a majority reported reductions in symptoms associated with both conditions. This shift toward proactive health management is a critical step in preventing complications during and after pregnancy.</w:t>
      </w:r>
    </w:p>
    <w:p w14:paraId="7D3BF7D2" w14:textId="77777777" w:rsidR="00D81433" w:rsidRPr="00077581" w:rsidRDefault="00D81433" w:rsidP="00EF0802">
      <w:pPr>
        <w:pStyle w:val="NormalWeb"/>
        <w:numPr>
          <w:ilvl w:val="0"/>
          <w:numId w:val="82"/>
        </w:numPr>
        <w:spacing w:before="0" w:beforeAutospacing="0" w:after="160" w:afterAutospacing="0" w:line="360" w:lineRule="auto"/>
        <w:jc w:val="both"/>
      </w:pPr>
      <w:r w:rsidRPr="00077581">
        <w:rPr>
          <w:rStyle w:val="Strong"/>
        </w:rPr>
        <w:t>Lifestyle Education is a Cost-Effective, Scalable Strategy in Maternal Health</w:t>
      </w:r>
      <w:r>
        <w:rPr>
          <w:rStyle w:val="Strong"/>
        </w:rPr>
        <w:t xml:space="preserve">: </w:t>
      </w:r>
      <w:r w:rsidRPr="00077581">
        <w:t>The success of this intervention—achieved with minimal resources and infrastructure—demonstrates its potential for integration into routine antenatal care. Given its high acceptability and effectiveness, similar models can be adapted at community and primary healthcare levels.</w:t>
      </w:r>
    </w:p>
    <w:p w14:paraId="08AFEC09" w14:textId="77777777" w:rsidR="003D240C" w:rsidRDefault="003D240C" w:rsidP="00EF0802">
      <w:pPr>
        <w:pStyle w:val="Heading3"/>
        <w:spacing w:before="0" w:after="160" w:line="360" w:lineRule="auto"/>
        <w:jc w:val="both"/>
        <w:rPr>
          <w:rStyle w:val="Strong"/>
          <w:rFonts w:ascii="Times New Roman" w:hAnsi="Times New Roman" w:cs="Times New Roman"/>
          <w:color w:val="auto"/>
          <w:sz w:val="24"/>
          <w:szCs w:val="24"/>
        </w:rPr>
      </w:pPr>
    </w:p>
    <w:p w14:paraId="009F263C" w14:textId="3575F11E" w:rsidR="00D81433" w:rsidRPr="00077581" w:rsidRDefault="00D81433" w:rsidP="00EF0802">
      <w:pPr>
        <w:pStyle w:val="Heading3"/>
        <w:spacing w:before="0" w:after="160" w:line="360" w:lineRule="auto"/>
        <w:jc w:val="both"/>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5.6 Recommendations</w:t>
      </w:r>
    </w:p>
    <w:p w14:paraId="748A717C" w14:textId="77777777" w:rsidR="00D81433" w:rsidRPr="00077581" w:rsidRDefault="00D81433" w:rsidP="00EF0802">
      <w:pPr>
        <w:pStyle w:val="NormalWeb"/>
        <w:spacing w:before="0" w:beforeAutospacing="0" w:after="160" w:afterAutospacing="0" w:line="360" w:lineRule="auto"/>
        <w:jc w:val="both"/>
      </w:pPr>
      <w:r w:rsidRPr="00077581">
        <w:t>Based on the findings and outcomes of this study, the following recommendations are proposed to strengthen maternal health practices and effectively integrate lifestyle modifications into antenatal care frameworks:</w:t>
      </w:r>
    </w:p>
    <w:p w14:paraId="7E3089E5" w14:textId="77777777" w:rsidR="00D81433" w:rsidRPr="00077581" w:rsidRDefault="00D81433" w:rsidP="00EF0802">
      <w:pPr>
        <w:pStyle w:val="NormalWeb"/>
        <w:numPr>
          <w:ilvl w:val="0"/>
          <w:numId w:val="83"/>
        </w:numPr>
        <w:spacing w:before="0" w:beforeAutospacing="0" w:after="160" w:afterAutospacing="0" w:line="360" w:lineRule="auto"/>
        <w:jc w:val="both"/>
      </w:pPr>
      <w:r w:rsidRPr="00077581">
        <w:rPr>
          <w:rStyle w:val="Strong"/>
        </w:rPr>
        <w:t>Integration of Lifestyle Education into Antenatal Care Programs</w:t>
      </w:r>
      <w:r>
        <w:rPr>
          <w:rStyle w:val="Strong"/>
        </w:rPr>
        <w:t xml:space="preserve">: </w:t>
      </w:r>
      <w:r w:rsidRPr="00077581">
        <w:t>Structured and evidence-based lifestyle education focusing on the prevention and management of thyroid dysfunction and hypertension should be formally incorporated into routine antenatal services. Doing so can facilitate early risk identification, enhance preventive strategies, and promote healthier maternal-</w:t>
      </w:r>
      <w:proofErr w:type="spellStart"/>
      <w:r w:rsidRPr="00077581">
        <w:t>fetal</w:t>
      </w:r>
      <w:proofErr w:type="spellEnd"/>
      <w:r w:rsidRPr="00077581">
        <w:t xml:space="preserve"> outcomes.</w:t>
      </w:r>
    </w:p>
    <w:p w14:paraId="2727187E" w14:textId="77777777" w:rsidR="00D81433" w:rsidRPr="00077581" w:rsidRDefault="00D81433" w:rsidP="00EF0802">
      <w:pPr>
        <w:pStyle w:val="NormalWeb"/>
        <w:numPr>
          <w:ilvl w:val="0"/>
          <w:numId w:val="83"/>
        </w:numPr>
        <w:spacing w:before="0" w:beforeAutospacing="0" w:after="160" w:afterAutospacing="0" w:line="360" w:lineRule="auto"/>
        <w:jc w:val="both"/>
      </w:pPr>
      <w:r w:rsidRPr="00077581">
        <w:rPr>
          <w:rStyle w:val="Strong"/>
        </w:rPr>
        <w:t>Development of Culturally Relevant and Literacy-Sensitive Educational Materials</w:t>
      </w:r>
      <w:r>
        <w:rPr>
          <w:rStyle w:val="Strong"/>
        </w:rPr>
        <w:t xml:space="preserve">: </w:t>
      </w:r>
      <w:r w:rsidRPr="00077581">
        <w:t>Educational content should be tailored to the socio-cultural background and literacy levels of pregnant women. The use of local languages, visual tools, storyboards, and audio-visual formats can improve comprehension and inclusivity, especially among women with limited formal education.</w:t>
      </w:r>
    </w:p>
    <w:p w14:paraId="21E36ED2" w14:textId="77777777" w:rsidR="00D81433" w:rsidRPr="00077581" w:rsidRDefault="00D81433" w:rsidP="00EF0802">
      <w:pPr>
        <w:pStyle w:val="NormalWeb"/>
        <w:numPr>
          <w:ilvl w:val="0"/>
          <w:numId w:val="83"/>
        </w:numPr>
        <w:spacing w:before="0" w:beforeAutospacing="0" w:after="160" w:afterAutospacing="0" w:line="360" w:lineRule="auto"/>
        <w:jc w:val="both"/>
      </w:pPr>
      <w:r w:rsidRPr="00077581">
        <w:rPr>
          <w:rStyle w:val="Strong"/>
        </w:rPr>
        <w:lastRenderedPageBreak/>
        <w:t>Capacity Building for Healthcare Professionals</w:t>
      </w:r>
      <w:r>
        <w:rPr>
          <w:rStyle w:val="Strong"/>
        </w:rPr>
        <w:t xml:space="preserve">: </w:t>
      </w:r>
      <w:r w:rsidRPr="00077581">
        <w:t xml:space="preserve">Midwives, nurses, and obstetricians should receive specialized training in lifestyle </w:t>
      </w:r>
      <w:proofErr w:type="spellStart"/>
      <w:r w:rsidRPr="00077581">
        <w:t>counseling</w:t>
      </w:r>
      <w:proofErr w:type="spellEnd"/>
      <w:r w:rsidRPr="00077581">
        <w:t xml:space="preserve"> and preventive care approaches. Equipping healthcare personnel with appropriate communication skills and knowledge can ensure more effective delivery of health education during antenatal visits.</w:t>
      </w:r>
    </w:p>
    <w:p w14:paraId="2D1F27FC" w14:textId="77777777" w:rsidR="00D81433" w:rsidRPr="00077581" w:rsidRDefault="00D81433" w:rsidP="00EF0802">
      <w:pPr>
        <w:pStyle w:val="NormalWeb"/>
        <w:numPr>
          <w:ilvl w:val="0"/>
          <w:numId w:val="83"/>
        </w:numPr>
        <w:spacing w:before="0" w:beforeAutospacing="0" w:after="160" w:afterAutospacing="0" w:line="360" w:lineRule="auto"/>
        <w:jc w:val="both"/>
      </w:pPr>
      <w:r w:rsidRPr="00077581">
        <w:rPr>
          <w:rStyle w:val="Strong"/>
        </w:rPr>
        <w:t>Promotion of Family and Community Engagement</w:t>
      </w:r>
      <w:r>
        <w:rPr>
          <w:rStyle w:val="Strong"/>
        </w:rPr>
        <w:t xml:space="preserve">: </w:t>
      </w:r>
      <w:r w:rsidRPr="00077581">
        <w:t xml:space="preserve">Family members—especially husbands and elder caregivers—should be included in antenatal education initiatives to foster a supportive home environment. Community health workers and peer educators can also play a vital role in reinforcing lifestyle practices at the household and </w:t>
      </w:r>
      <w:proofErr w:type="spellStart"/>
      <w:r w:rsidRPr="00077581">
        <w:t>neighborhood</w:t>
      </w:r>
      <w:proofErr w:type="spellEnd"/>
      <w:r w:rsidRPr="00077581">
        <w:t xml:space="preserve"> levels.</w:t>
      </w:r>
    </w:p>
    <w:p w14:paraId="1F4DC325" w14:textId="77777777" w:rsidR="00D81433" w:rsidRPr="00077581" w:rsidRDefault="00D81433" w:rsidP="00EF0802">
      <w:pPr>
        <w:pStyle w:val="NormalWeb"/>
        <w:numPr>
          <w:ilvl w:val="0"/>
          <w:numId w:val="83"/>
        </w:numPr>
        <w:spacing w:before="0" w:beforeAutospacing="0" w:after="160" w:afterAutospacing="0" w:line="360" w:lineRule="auto"/>
        <w:jc w:val="both"/>
      </w:pPr>
      <w:r w:rsidRPr="00077581">
        <w:rPr>
          <w:rStyle w:val="Strong"/>
        </w:rPr>
        <w:t>Leveraging Mobile and Digital Technologies for Continued Support</w:t>
      </w:r>
      <w:r>
        <w:rPr>
          <w:rStyle w:val="Strong"/>
        </w:rPr>
        <w:t xml:space="preserve">: </w:t>
      </w:r>
      <w:r w:rsidRPr="00077581">
        <w:t>Health tools such as mobile apps, SMS reminders, and WhatsApp groups should be utilized to provide ongoing guidance, track adherence, and reinforce educational messages. These platforms can be especially beneficial in maintaining continuity of care between clinical appointments.</w:t>
      </w:r>
    </w:p>
    <w:p w14:paraId="054418B2" w14:textId="77777777" w:rsidR="00D81433" w:rsidRPr="00077581" w:rsidRDefault="00D81433" w:rsidP="00EF0802">
      <w:pPr>
        <w:pStyle w:val="NormalWeb"/>
        <w:numPr>
          <w:ilvl w:val="0"/>
          <w:numId w:val="83"/>
        </w:numPr>
        <w:spacing w:before="0" w:beforeAutospacing="0" w:after="160" w:afterAutospacing="0" w:line="360" w:lineRule="auto"/>
        <w:jc w:val="both"/>
      </w:pPr>
      <w:r w:rsidRPr="00077581">
        <w:rPr>
          <w:rStyle w:val="Strong"/>
        </w:rPr>
        <w:t>Expansion Through Government and NGO Health Platforms</w:t>
      </w:r>
      <w:r>
        <w:rPr>
          <w:rStyle w:val="Strong"/>
        </w:rPr>
        <w:t xml:space="preserve">: </w:t>
      </w:r>
      <w:r w:rsidRPr="00077581">
        <w:t>Given its success and feasibility, the lifestyle intervention model presented in this study should be scaled up through public health programs and non-governmental organizations. This would enable broader reach, particularly among underserved populations in rural and resource-limited settings.</w:t>
      </w:r>
    </w:p>
    <w:p w14:paraId="20740543" w14:textId="77777777" w:rsidR="00D81433" w:rsidRPr="00077581" w:rsidRDefault="00D81433" w:rsidP="00EF0802">
      <w:pPr>
        <w:spacing w:line="360" w:lineRule="auto"/>
        <w:jc w:val="both"/>
        <w:rPr>
          <w:rFonts w:ascii="Times New Roman" w:hAnsi="Times New Roman" w:cs="Times New Roman"/>
        </w:rPr>
      </w:pPr>
    </w:p>
    <w:p w14:paraId="1DFA8F58" w14:textId="77777777" w:rsidR="00D81433" w:rsidRPr="00077581" w:rsidRDefault="00D81433" w:rsidP="00EF0802">
      <w:pPr>
        <w:pStyle w:val="Heading2"/>
        <w:spacing w:before="0" w:after="160" w:line="360" w:lineRule="auto"/>
        <w:jc w:val="both"/>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5.7 Limitations of the Study</w:t>
      </w:r>
    </w:p>
    <w:p w14:paraId="3059D8B2" w14:textId="77777777" w:rsidR="00D81433" w:rsidRPr="00077581" w:rsidRDefault="00D81433" w:rsidP="00EF0802">
      <w:pPr>
        <w:pStyle w:val="NormalWeb"/>
        <w:spacing w:before="0" w:beforeAutospacing="0" w:after="160" w:afterAutospacing="0" w:line="360" w:lineRule="auto"/>
        <w:jc w:val="both"/>
      </w:pPr>
      <w:r w:rsidRPr="00077581">
        <w:t>Despite the significant outcomes, several limitations should be acknowledged:</w:t>
      </w:r>
    </w:p>
    <w:p w14:paraId="01DAE136" w14:textId="77777777" w:rsidR="00D81433" w:rsidRPr="00077581" w:rsidRDefault="00D81433" w:rsidP="00EF0802">
      <w:pPr>
        <w:pStyle w:val="NormalWeb"/>
        <w:numPr>
          <w:ilvl w:val="0"/>
          <w:numId w:val="79"/>
        </w:numPr>
        <w:spacing w:before="0" w:beforeAutospacing="0" w:after="160" w:afterAutospacing="0" w:line="360" w:lineRule="auto"/>
        <w:jc w:val="both"/>
      </w:pPr>
      <w:r w:rsidRPr="00077581">
        <w:rPr>
          <w:rStyle w:val="Strong"/>
        </w:rPr>
        <w:t>Limited Geographic Coverage</w:t>
      </w:r>
      <w:r>
        <w:rPr>
          <w:rStyle w:val="Strong"/>
        </w:rPr>
        <w:t xml:space="preserve">: </w:t>
      </w:r>
      <w:r w:rsidRPr="00077581">
        <w:t xml:space="preserve">The study was confined to selected urban and semi-urban health </w:t>
      </w:r>
      <w:proofErr w:type="spellStart"/>
      <w:r w:rsidRPr="00077581">
        <w:t>centers</w:t>
      </w:r>
      <w:proofErr w:type="spellEnd"/>
      <w:r w:rsidRPr="00077581">
        <w:t>. This may restrict generalizability to rural, tribal, or remote populations where resources and health awareness levels may differ.</w:t>
      </w:r>
    </w:p>
    <w:p w14:paraId="44FE7F1A" w14:textId="77777777" w:rsidR="00D81433" w:rsidRPr="00077581" w:rsidRDefault="00D81433" w:rsidP="00EF0802">
      <w:pPr>
        <w:pStyle w:val="NormalWeb"/>
        <w:numPr>
          <w:ilvl w:val="0"/>
          <w:numId w:val="79"/>
        </w:numPr>
        <w:spacing w:before="0" w:beforeAutospacing="0" w:after="160" w:afterAutospacing="0" w:line="360" w:lineRule="auto"/>
        <w:jc w:val="both"/>
      </w:pPr>
      <w:r w:rsidRPr="00077581">
        <w:rPr>
          <w:rStyle w:val="Strong"/>
        </w:rPr>
        <w:t>Short-Term Assessment</w:t>
      </w:r>
      <w:r>
        <w:rPr>
          <w:rStyle w:val="Strong"/>
        </w:rPr>
        <w:t xml:space="preserve">: </w:t>
      </w:r>
      <w:r w:rsidRPr="00077581">
        <w:t>The study measured outcomes immediately after the intervention. The sustainability of lifestyle changes and their impact during postpartum or future pregnancies were not assessed.</w:t>
      </w:r>
    </w:p>
    <w:p w14:paraId="725EE1E9" w14:textId="77777777" w:rsidR="00D81433" w:rsidRPr="00077581" w:rsidRDefault="00D81433" w:rsidP="00EF0802">
      <w:pPr>
        <w:pStyle w:val="NormalWeb"/>
        <w:numPr>
          <w:ilvl w:val="0"/>
          <w:numId w:val="79"/>
        </w:numPr>
        <w:spacing w:before="0" w:beforeAutospacing="0" w:after="160" w:afterAutospacing="0" w:line="360" w:lineRule="auto"/>
        <w:jc w:val="both"/>
      </w:pPr>
      <w:r w:rsidRPr="00077581">
        <w:rPr>
          <w:rStyle w:val="Strong"/>
        </w:rPr>
        <w:lastRenderedPageBreak/>
        <w:t>Self-Reported Data</w:t>
      </w:r>
      <w:r>
        <w:rPr>
          <w:rStyle w:val="Strong"/>
        </w:rPr>
        <w:t xml:space="preserve">: </w:t>
      </w:r>
      <w:r w:rsidRPr="00077581">
        <w:t xml:space="preserve">Some lifestyle </w:t>
      </w:r>
      <w:proofErr w:type="spellStart"/>
      <w:r w:rsidRPr="00077581">
        <w:t>behaviors</w:t>
      </w:r>
      <w:proofErr w:type="spellEnd"/>
      <w:r w:rsidRPr="00077581">
        <w:t xml:space="preserve"> and symptom improvements were self-reported, which may introduce recall bias or socially desirable responses.</w:t>
      </w:r>
    </w:p>
    <w:p w14:paraId="3D0D93D7" w14:textId="77777777" w:rsidR="00D81433" w:rsidRPr="00077581" w:rsidRDefault="00D81433" w:rsidP="00EF0802">
      <w:pPr>
        <w:pStyle w:val="NormalWeb"/>
        <w:numPr>
          <w:ilvl w:val="0"/>
          <w:numId w:val="79"/>
        </w:numPr>
        <w:spacing w:before="0" w:beforeAutospacing="0" w:after="160" w:afterAutospacing="0" w:line="360" w:lineRule="auto"/>
        <w:jc w:val="both"/>
      </w:pPr>
      <w:r w:rsidRPr="00077581">
        <w:rPr>
          <w:rStyle w:val="Strong"/>
        </w:rPr>
        <w:t>Exclusion of High-Risk Pregnancies</w:t>
      </w:r>
      <w:r>
        <w:rPr>
          <w:rStyle w:val="Strong"/>
        </w:rPr>
        <w:t xml:space="preserve">: </w:t>
      </w:r>
      <w:r w:rsidRPr="00077581">
        <w:t>Women with medically complex pregnancies were excluded, which limits the applicability of the findings to more vulnerable subgroups.</w:t>
      </w:r>
    </w:p>
    <w:p w14:paraId="4CED8409" w14:textId="77777777" w:rsidR="00D81433" w:rsidRPr="00077581" w:rsidRDefault="00D81433" w:rsidP="00EF0802">
      <w:pPr>
        <w:pStyle w:val="NormalWeb"/>
        <w:numPr>
          <w:ilvl w:val="0"/>
          <w:numId w:val="79"/>
        </w:numPr>
        <w:spacing w:before="0" w:beforeAutospacing="0" w:after="160" w:afterAutospacing="0" w:line="360" w:lineRule="auto"/>
        <w:jc w:val="both"/>
      </w:pPr>
      <w:r w:rsidRPr="00077581">
        <w:rPr>
          <w:rStyle w:val="Strong"/>
        </w:rPr>
        <w:t>Lack of a Control Group</w:t>
      </w:r>
      <w:r>
        <w:rPr>
          <w:rStyle w:val="Strong"/>
        </w:rPr>
        <w:t xml:space="preserve">: </w:t>
      </w:r>
      <w:r w:rsidRPr="00077581">
        <w:t>The study employed a one-group pre-test/post-test design. Without a non-intervention control group, the exclusive attribution of effects to the intervention cannot be confirmed definitively.</w:t>
      </w:r>
    </w:p>
    <w:p w14:paraId="4EEF1A72" w14:textId="77777777" w:rsidR="00D81433" w:rsidRPr="00077581" w:rsidRDefault="00D81433" w:rsidP="00EF0802">
      <w:pPr>
        <w:spacing w:line="360" w:lineRule="auto"/>
        <w:jc w:val="both"/>
        <w:rPr>
          <w:rFonts w:ascii="Times New Roman" w:hAnsi="Times New Roman" w:cs="Times New Roman"/>
        </w:rPr>
      </w:pPr>
    </w:p>
    <w:p w14:paraId="45D664B3" w14:textId="77777777" w:rsidR="00D81433" w:rsidRPr="00077581" w:rsidRDefault="00D81433" w:rsidP="00EF0802">
      <w:pPr>
        <w:pStyle w:val="Heading2"/>
        <w:spacing w:before="0" w:after="160" w:line="360" w:lineRule="auto"/>
        <w:jc w:val="both"/>
        <w:rPr>
          <w:rFonts w:ascii="Times New Roman" w:hAnsi="Times New Roman" w:cs="Times New Roman"/>
          <w:color w:val="auto"/>
          <w:sz w:val="24"/>
          <w:szCs w:val="24"/>
        </w:rPr>
      </w:pPr>
      <w:r w:rsidRPr="00077581">
        <w:rPr>
          <w:rStyle w:val="Strong"/>
          <w:rFonts w:ascii="Times New Roman" w:hAnsi="Times New Roman" w:cs="Times New Roman"/>
          <w:color w:val="auto"/>
          <w:sz w:val="24"/>
          <w:szCs w:val="24"/>
        </w:rPr>
        <w:t>5.8 Suggestions for Future Research</w:t>
      </w:r>
    </w:p>
    <w:p w14:paraId="4CE20656" w14:textId="77777777" w:rsidR="00D81433" w:rsidRPr="00077581" w:rsidRDefault="00D81433" w:rsidP="00EF0802">
      <w:pPr>
        <w:pStyle w:val="NormalWeb"/>
        <w:spacing w:before="0" w:beforeAutospacing="0" w:after="160" w:afterAutospacing="0" w:line="360" w:lineRule="auto"/>
        <w:jc w:val="both"/>
      </w:pPr>
      <w:r w:rsidRPr="00077581">
        <w:t>To enhance the scope and depth of knowledge on this topic, the following areas are recommended for future research:</w:t>
      </w:r>
    </w:p>
    <w:p w14:paraId="1619ECE2" w14:textId="77777777" w:rsidR="00D81433" w:rsidRPr="00077581" w:rsidRDefault="00D81433" w:rsidP="00EF0802">
      <w:pPr>
        <w:pStyle w:val="NormalWeb"/>
        <w:numPr>
          <w:ilvl w:val="0"/>
          <w:numId w:val="80"/>
        </w:numPr>
        <w:spacing w:before="0" w:beforeAutospacing="0" w:after="160" w:afterAutospacing="0" w:line="360" w:lineRule="auto"/>
        <w:jc w:val="both"/>
      </w:pPr>
      <w:r w:rsidRPr="00077581">
        <w:rPr>
          <w:rStyle w:val="Strong"/>
        </w:rPr>
        <w:t>Longitudinal Studies</w:t>
      </w:r>
      <w:r>
        <w:rPr>
          <w:rStyle w:val="Strong"/>
        </w:rPr>
        <w:t xml:space="preserve">: </w:t>
      </w:r>
      <w:r w:rsidRPr="00077581">
        <w:t>Future research should explore the long-term effects of lifestyle education on maternal and neonatal health, tracking participants through delivery and postpartum periods.</w:t>
      </w:r>
    </w:p>
    <w:p w14:paraId="7BA15332" w14:textId="77777777" w:rsidR="00D81433" w:rsidRPr="00077581" w:rsidRDefault="00D81433" w:rsidP="00EF0802">
      <w:pPr>
        <w:pStyle w:val="NormalWeb"/>
        <w:numPr>
          <w:ilvl w:val="0"/>
          <w:numId w:val="80"/>
        </w:numPr>
        <w:spacing w:before="0" w:beforeAutospacing="0" w:after="160" w:afterAutospacing="0" w:line="360" w:lineRule="auto"/>
        <w:jc w:val="both"/>
      </w:pPr>
      <w:r w:rsidRPr="00077581">
        <w:rPr>
          <w:rStyle w:val="Strong"/>
        </w:rPr>
        <w:t>Randomized Controlled Trials (RCTs)</w:t>
      </w:r>
      <w:r>
        <w:rPr>
          <w:rStyle w:val="Strong"/>
        </w:rPr>
        <w:t xml:space="preserve">: </w:t>
      </w:r>
      <w:r w:rsidRPr="00077581">
        <w:t>Conducting RCTs with appropriate control groups will strengthen causal inference and provide higher levels of scientific evidence for policy advocacy.</w:t>
      </w:r>
    </w:p>
    <w:p w14:paraId="77018EBC" w14:textId="77777777" w:rsidR="00D81433" w:rsidRPr="00077581" w:rsidRDefault="00D81433" w:rsidP="00EF0802">
      <w:pPr>
        <w:pStyle w:val="NormalWeb"/>
        <w:numPr>
          <w:ilvl w:val="0"/>
          <w:numId w:val="80"/>
        </w:numPr>
        <w:spacing w:before="0" w:beforeAutospacing="0" w:after="160" w:afterAutospacing="0" w:line="360" w:lineRule="auto"/>
        <w:jc w:val="both"/>
      </w:pPr>
      <w:r w:rsidRPr="00077581">
        <w:rPr>
          <w:rStyle w:val="Strong"/>
        </w:rPr>
        <w:t>Inclusion of High-Risk Pregnancies</w:t>
      </w:r>
      <w:r>
        <w:rPr>
          <w:rStyle w:val="Strong"/>
        </w:rPr>
        <w:t xml:space="preserve">: </w:t>
      </w:r>
      <w:r w:rsidRPr="00077581">
        <w:t>Studies involving women with gestational diabetes, cardiovascular disease, or multiple comorbidities would help assess the efficacy of lifestyle education across broader medical profiles.</w:t>
      </w:r>
    </w:p>
    <w:p w14:paraId="11CDBFF4" w14:textId="77777777" w:rsidR="00D81433" w:rsidRPr="00077581" w:rsidRDefault="00D81433" w:rsidP="00EF0802">
      <w:pPr>
        <w:pStyle w:val="NormalWeb"/>
        <w:numPr>
          <w:ilvl w:val="0"/>
          <w:numId w:val="80"/>
        </w:numPr>
        <w:spacing w:before="0" w:beforeAutospacing="0" w:after="160" w:afterAutospacing="0" w:line="360" w:lineRule="auto"/>
        <w:jc w:val="both"/>
      </w:pPr>
      <w:r w:rsidRPr="00077581">
        <w:rPr>
          <w:rStyle w:val="Strong"/>
        </w:rPr>
        <w:t>Evaluation of Digital Health Platforms</w:t>
      </w:r>
      <w:r>
        <w:rPr>
          <w:rStyle w:val="Strong"/>
        </w:rPr>
        <w:t xml:space="preserve">: </w:t>
      </w:r>
      <w:r w:rsidRPr="00077581">
        <w:t>Investigating the role of mobile applications, SMS-based education, and online follow-ups could provide scalable, cost-effective alternatives for health education.</w:t>
      </w:r>
    </w:p>
    <w:p w14:paraId="1D49BEA5" w14:textId="77777777" w:rsidR="00D81433" w:rsidRPr="00077581" w:rsidRDefault="00D81433" w:rsidP="00EF0802">
      <w:pPr>
        <w:pStyle w:val="NormalWeb"/>
        <w:numPr>
          <w:ilvl w:val="0"/>
          <w:numId w:val="80"/>
        </w:numPr>
        <w:spacing w:before="0" w:beforeAutospacing="0" w:after="160" w:afterAutospacing="0" w:line="360" w:lineRule="auto"/>
        <w:jc w:val="both"/>
      </w:pPr>
      <w:r w:rsidRPr="00077581">
        <w:rPr>
          <w:rStyle w:val="Strong"/>
        </w:rPr>
        <w:t>Exploration of Family-Based Interventions</w:t>
      </w:r>
      <w:r>
        <w:rPr>
          <w:rStyle w:val="Strong"/>
        </w:rPr>
        <w:t xml:space="preserve">: </w:t>
      </w:r>
      <w:r w:rsidRPr="00077581">
        <w:t xml:space="preserve">Research that involves family members in lifestyle modification programs could yield insights into the role of familial support in sustaining </w:t>
      </w:r>
      <w:proofErr w:type="spellStart"/>
      <w:r w:rsidRPr="00077581">
        <w:t>behavioral</w:t>
      </w:r>
      <w:proofErr w:type="spellEnd"/>
      <w:r w:rsidRPr="00077581">
        <w:t xml:space="preserve"> change.</w:t>
      </w:r>
    </w:p>
    <w:p w14:paraId="312392F7" w14:textId="77777777" w:rsidR="00D81433" w:rsidRPr="00077581" w:rsidRDefault="00D81433" w:rsidP="00EF0802">
      <w:pPr>
        <w:pStyle w:val="NormalWeb"/>
        <w:numPr>
          <w:ilvl w:val="0"/>
          <w:numId w:val="80"/>
        </w:numPr>
        <w:spacing w:before="0" w:beforeAutospacing="0" w:after="160" w:afterAutospacing="0" w:line="360" w:lineRule="auto"/>
        <w:jc w:val="both"/>
      </w:pPr>
      <w:r w:rsidRPr="00077581">
        <w:rPr>
          <w:rStyle w:val="Strong"/>
        </w:rPr>
        <w:lastRenderedPageBreak/>
        <w:t>Cost-Effectiveness Studies</w:t>
      </w:r>
      <w:r>
        <w:rPr>
          <w:rStyle w:val="Strong"/>
        </w:rPr>
        <w:t xml:space="preserve">: </w:t>
      </w:r>
      <w:r w:rsidRPr="00077581">
        <w:t>A comparative analysis of lifestyle education versus conventional pharmacological interventions can help policymakers allocate resources efficiently.</w:t>
      </w:r>
    </w:p>
    <w:p w14:paraId="3CC9CB19" w14:textId="77777777" w:rsidR="00D81433" w:rsidRDefault="00D81433" w:rsidP="00EF0802">
      <w:pPr>
        <w:spacing w:line="360" w:lineRule="auto"/>
        <w:rPr>
          <w:rFonts w:ascii="Times New Roman" w:hAnsi="Times New Roman" w:cs="Times New Roman"/>
        </w:rPr>
      </w:pPr>
    </w:p>
    <w:p w14:paraId="5B0DF09F" w14:textId="77777777" w:rsidR="002F72DC" w:rsidRDefault="002F72DC" w:rsidP="00EF0802">
      <w:pPr>
        <w:spacing w:line="360" w:lineRule="auto"/>
        <w:rPr>
          <w:rFonts w:ascii="Times New Roman" w:hAnsi="Times New Roman" w:cs="Times New Roman"/>
        </w:rPr>
      </w:pPr>
    </w:p>
    <w:p w14:paraId="44066EEF" w14:textId="77777777" w:rsidR="002F72DC" w:rsidRPr="00077581" w:rsidRDefault="002F72DC" w:rsidP="00EF0802">
      <w:pPr>
        <w:spacing w:line="360" w:lineRule="auto"/>
        <w:rPr>
          <w:rFonts w:ascii="Times New Roman" w:hAnsi="Times New Roman" w:cs="Times New Roman"/>
        </w:rPr>
      </w:pPr>
    </w:p>
    <w:p w14:paraId="4CAA3615" w14:textId="77777777" w:rsidR="003D240C" w:rsidRDefault="003D240C" w:rsidP="00EF0802">
      <w:pPr>
        <w:spacing w:line="360" w:lineRule="auto"/>
        <w:rPr>
          <w:rFonts w:ascii="Times New Roman" w:hAnsi="Times New Roman" w:cs="Times New Roman"/>
          <w:b/>
          <w:bCs/>
        </w:rPr>
      </w:pPr>
    </w:p>
    <w:p w14:paraId="784493FE" w14:textId="77777777" w:rsidR="003D240C" w:rsidRDefault="003D240C" w:rsidP="00EF0802">
      <w:pPr>
        <w:spacing w:line="360" w:lineRule="auto"/>
        <w:rPr>
          <w:rFonts w:ascii="Times New Roman" w:hAnsi="Times New Roman" w:cs="Times New Roman"/>
          <w:b/>
          <w:bCs/>
        </w:rPr>
      </w:pPr>
    </w:p>
    <w:p w14:paraId="49AA14D4" w14:textId="77777777" w:rsidR="003D240C" w:rsidRDefault="003D240C" w:rsidP="00EF0802">
      <w:pPr>
        <w:spacing w:line="360" w:lineRule="auto"/>
        <w:rPr>
          <w:rFonts w:ascii="Times New Roman" w:hAnsi="Times New Roman" w:cs="Times New Roman"/>
          <w:b/>
          <w:bCs/>
        </w:rPr>
      </w:pPr>
    </w:p>
    <w:p w14:paraId="6B41D2F4" w14:textId="77777777" w:rsidR="003D240C" w:rsidRDefault="003D240C" w:rsidP="00EF0802">
      <w:pPr>
        <w:spacing w:line="360" w:lineRule="auto"/>
        <w:rPr>
          <w:rFonts w:ascii="Times New Roman" w:hAnsi="Times New Roman" w:cs="Times New Roman"/>
          <w:b/>
          <w:bCs/>
        </w:rPr>
      </w:pPr>
    </w:p>
    <w:p w14:paraId="547A1FE3" w14:textId="77777777" w:rsidR="003D240C" w:rsidRDefault="003D240C" w:rsidP="00EF0802">
      <w:pPr>
        <w:spacing w:line="360" w:lineRule="auto"/>
        <w:rPr>
          <w:rFonts w:ascii="Times New Roman" w:hAnsi="Times New Roman" w:cs="Times New Roman"/>
          <w:b/>
          <w:bCs/>
        </w:rPr>
      </w:pPr>
    </w:p>
    <w:p w14:paraId="0F344F5D" w14:textId="77777777" w:rsidR="003D240C" w:rsidRDefault="003D240C" w:rsidP="00EF0802">
      <w:pPr>
        <w:spacing w:line="360" w:lineRule="auto"/>
        <w:rPr>
          <w:rFonts w:ascii="Times New Roman" w:hAnsi="Times New Roman" w:cs="Times New Roman"/>
          <w:b/>
          <w:bCs/>
        </w:rPr>
      </w:pPr>
    </w:p>
    <w:p w14:paraId="674F9A87" w14:textId="77777777" w:rsidR="003D240C" w:rsidRDefault="003D240C" w:rsidP="00EF0802">
      <w:pPr>
        <w:spacing w:line="360" w:lineRule="auto"/>
        <w:rPr>
          <w:rFonts w:ascii="Times New Roman" w:hAnsi="Times New Roman" w:cs="Times New Roman"/>
          <w:b/>
          <w:bCs/>
        </w:rPr>
      </w:pPr>
    </w:p>
    <w:p w14:paraId="29C40219" w14:textId="77777777" w:rsidR="003D240C" w:rsidRDefault="003D240C" w:rsidP="00EF0802">
      <w:pPr>
        <w:spacing w:line="360" w:lineRule="auto"/>
        <w:rPr>
          <w:rFonts w:ascii="Times New Roman" w:hAnsi="Times New Roman" w:cs="Times New Roman"/>
          <w:b/>
          <w:bCs/>
        </w:rPr>
      </w:pPr>
    </w:p>
    <w:p w14:paraId="6526F967" w14:textId="77777777" w:rsidR="003D240C" w:rsidRDefault="003D240C" w:rsidP="00EF0802">
      <w:pPr>
        <w:spacing w:line="360" w:lineRule="auto"/>
        <w:rPr>
          <w:rFonts w:ascii="Times New Roman" w:hAnsi="Times New Roman" w:cs="Times New Roman"/>
          <w:b/>
          <w:bCs/>
        </w:rPr>
      </w:pPr>
    </w:p>
    <w:p w14:paraId="25503A36" w14:textId="77777777" w:rsidR="003D240C" w:rsidRDefault="003D240C" w:rsidP="00EF0802">
      <w:pPr>
        <w:spacing w:line="360" w:lineRule="auto"/>
        <w:rPr>
          <w:rFonts w:ascii="Times New Roman" w:hAnsi="Times New Roman" w:cs="Times New Roman"/>
          <w:b/>
          <w:bCs/>
        </w:rPr>
      </w:pPr>
    </w:p>
    <w:p w14:paraId="5833097D" w14:textId="77777777" w:rsidR="003D240C" w:rsidRDefault="003D240C" w:rsidP="00EF0802">
      <w:pPr>
        <w:spacing w:line="360" w:lineRule="auto"/>
        <w:rPr>
          <w:rFonts w:ascii="Times New Roman" w:hAnsi="Times New Roman" w:cs="Times New Roman"/>
          <w:b/>
          <w:bCs/>
        </w:rPr>
      </w:pPr>
    </w:p>
    <w:p w14:paraId="4B72CEC4" w14:textId="77777777" w:rsidR="003D240C" w:rsidRDefault="003D240C" w:rsidP="00EF0802">
      <w:pPr>
        <w:spacing w:line="360" w:lineRule="auto"/>
        <w:rPr>
          <w:rFonts w:ascii="Times New Roman" w:hAnsi="Times New Roman" w:cs="Times New Roman"/>
          <w:b/>
          <w:bCs/>
        </w:rPr>
      </w:pPr>
    </w:p>
    <w:p w14:paraId="6E73F1E8" w14:textId="77777777" w:rsidR="003D240C" w:rsidRDefault="003D240C" w:rsidP="00EF0802">
      <w:pPr>
        <w:spacing w:line="360" w:lineRule="auto"/>
        <w:rPr>
          <w:rFonts w:ascii="Times New Roman" w:hAnsi="Times New Roman" w:cs="Times New Roman"/>
          <w:b/>
          <w:bCs/>
        </w:rPr>
      </w:pPr>
    </w:p>
    <w:p w14:paraId="338C9389" w14:textId="77777777" w:rsidR="003D240C" w:rsidRDefault="003D240C" w:rsidP="00EF0802">
      <w:pPr>
        <w:spacing w:line="360" w:lineRule="auto"/>
        <w:rPr>
          <w:rFonts w:ascii="Times New Roman" w:hAnsi="Times New Roman" w:cs="Times New Roman"/>
          <w:b/>
          <w:bCs/>
        </w:rPr>
      </w:pPr>
    </w:p>
    <w:p w14:paraId="59519D30" w14:textId="77777777" w:rsidR="003D240C" w:rsidRDefault="003D240C" w:rsidP="00EF0802">
      <w:pPr>
        <w:spacing w:line="360" w:lineRule="auto"/>
        <w:rPr>
          <w:rFonts w:ascii="Times New Roman" w:hAnsi="Times New Roman" w:cs="Times New Roman"/>
          <w:b/>
          <w:bCs/>
        </w:rPr>
      </w:pPr>
    </w:p>
    <w:p w14:paraId="1C6B4712" w14:textId="77777777" w:rsidR="003D240C" w:rsidRDefault="003D240C" w:rsidP="00EF0802">
      <w:pPr>
        <w:spacing w:line="360" w:lineRule="auto"/>
        <w:rPr>
          <w:rFonts w:ascii="Times New Roman" w:hAnsi="Times New Roman" w:cs="Times New Roman"/>
          <w:b/>
          <w:bCs/>
        </w:rPr>
      </w:pPr>
    </w:p>
    <w:p w14:paraId="06E1FF42" w14:textId="77777777" w:rsidR="00EF0802" w:rsidRDefault="00EF0802" w:rsidP="00EF0802">
      <w:pPr>
        <w:spacing w:line="360" w:lineRule="auto"/>
        <w:rPr>
          <w:rFonts w:ascii="Times New Roman" w:hAnsi="Times New Roman" w:cs="Times New Roman"/>
          <w:b/>
          <w:bCs/>
        </w:rPr>
      </w:pPr>
    </w:p>
    <w:p w14:paraId="4D96CFA4" w14:textId="77777777" w:rsidR="00EF0802" w:rsidRDefault="00EF0802" w:rsidP="00EF0802">
      <w:pPr>
        <w:spacing w:line="360" w:lineRule="auto"/>
        <w:rPr>
          <w:rFonts w:ascii="Times New Roman" w:hAnsi="Times New Roman" w:cs="Times New Roman"/>
          <w:b/>
          <w:bCs/>
        </w:rPr>
      </w:pPr>
    </w:p>
    <w:p w14:paraId="39FF3075" w14:textId="77777777" w:rsidR="00EF0802" w:rsidRDefault="00EF0802" w:rsidP="00EF0802">
      <w:pPr>
        <w:spacing w:line="360" w:lineRule="auto"/>
        <w:rPr>
          <w:rFonts w:ascii="Times New Roman" w:hAnsi="Times New Roman" w:cs="Times New Roman"/>
          <w:b/>
          <w:bCs/>
        </w:rPr>
      </w:pPr>
    </w:p>
    <w:p w14:paraId="24814EDB" w14:textId="79F3E37E" w:rsidR="00D81433" w:rsidRPr="00CC5373" w:rsidRDefault="00D81433" w:rsidP="00CC5373">
      <w:pPr>
        <w:spacing w:line="360" w:lineRule="auto"/>
        <w:jc w:val="both"/>
        <w:rPr>
          <w:rFonts w:ascii="Times New Roman" w:hAnsi="Times New Roman" w:cs="Times New Roman"/>
          <w:b/>
          <w:bCs/>
        </w:rPr>
      </w:pPr>
      <w:r w:rsidRPr="00CC5373">
        <w:rPr>
          <w:rFonts w:ascii="Times New Roman" w:hAnsi="Times New Roman" w:cs="Times New Roman"/>
          <w:b/>
          <w:bCs/>
        </w:rPr>
        <w:lastRenderedPageBreak/>
        <w:t>References</w:t>
      </w:r>
    </w:p>
    <w:p w14:paraId="7EA7819F" w14:textId="3B2D7C39"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Pr>
          <w:rFonts w:ascii="Times New Roman" w:hAnsi="Times New Roman" w:cs="Times New Roman"/>
          <w:b/>
          <w:bCs/>
        </w:rPr>
        <w:fldChar w:fldCharType="begin" w:fldLock="1"/>
      </w:r>
      <w:r w:rsidRPr="00CC5373">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Pr="00CC5373">
        <w:rPr>
          <w:rFonts w:ascii="Times New Roman" w:hAnsi="Times New Roman" w:cs="Times New Roman"/>
          <w:noProof/>
          <w:kern w:val="0"/>
        </w:rPr>
        <w:t xml:space="preserve">Abbasalizadeh, S., Abam, F., Mirghafourvand, M., Abbasalizadeh, F., Taghavi, S., &amp; Hajizadeh, K. (2020). Comparing levels of vitamin D, calcium and phosphorus in normotensive pregnant women and pregnant women with preeclampsia. </w:t>
      </w:r>
      <w:r w:rsidRPr="00CC5373">
        <w:rPr>
          <w:rFonts w:ascii="Times New Roman" w:hAnsi="Times New Roman" w:cs="Times New Roman"/>
          <w:i/>
          <w:iCs/>
          <w:noProof/>
          <w:kern w:val="0"/>
        </w:rPr>
        <w:t>Journal of Obstetrics and Gynaecology</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40</w:t>
      </w:r>
      <w:r w:rsidRPr="00CC5373">
        <w:rPr>
          <w:rFonts w:ascii="Times New Roman" w:hAnsi="Times New Roman" w:cs="Times New Roman"/>
          <w:noProof/>
          <w:kern w:val="0"/>
        </w:rPr>
        <w:t>(8), 1069–1073. https://doi.org/10.1080/01443615.2019.1678575</w:t>
      </w:r>
    </w:p>
    <w:p w14:paraId="7B24B289"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Abbasi, R., Bakhshimoghaddam, F., &amp; Alizadeh, M. (2021). Major dietary patterns in relation to preeclampsia among Iranian pregnant women: a case–control study. </w:t>
      </w:r>
      <w:r w:rsidRPr="00CC5373">
        <w:rPr>
          <w:rFonts w:ascii="Times New Roman" w:hAnsi="Times New Roman" w:cs="Times New Roman"/>
          <w:i/>
          <w:iCs/>
          <w:noProof/>
          <w:kern w:val="0"/>
        </w:rPr>
        <w:t>Journal of Maternal-Fetal and Neonatal Medicine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34</w:t>
      </w:r>
      <w:r w:rsidRPr="00CC5373">
        <w:rPr>
          <w:rFonts w:ascii="Times New Roman" w:hAnsi="Times New Roman" w:cs="Times New Roman"/>
          <w:noProof/>
          <w:kern w:val="0"/>
        </w:rPr>
        <w:t>(21), 3529–3536. https://doi.org/10.1080/14767058.2019.1686474</w:t>
      </w:r>
    </w:p>
    <w:p w14:paraId="49E222B0"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Aboagye, E., Jensen, I., Bergström, G., Hagberg, J., Axén, I., &amp; Lohela-Karlsson, M. (2016). Validity and test-retest reliability of an at-work production loss instrument. </w:t>
      </w:r>
      <w:r w:rsidRPr="00CC5373">
        <w:rPr>
          <w:rFonts w:ascii="Times New Roman" w:hAnsi="Times New Roman" w:cs="Times New Roman"/>
          <w:i/>
          <w:iCs/>
          <w:noProof/>
          <w:kern w:val="0"/>
        </w:rPr>
        <w:t>Occupational Medicine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66</w:t>
      </w:r>
      <w:r w:rsidRPr="00CC5373">
        <w:rPr>
          <w:rFonts w:ascii="Times New Roman" w:hAnsi="Times New Roman" w:cs="Times New Roman"/>
          <w:noProof/>
          <w:kern w:val="0"/>
        </w:rPr>
        <w:t>(5), 377–382. https://doi.org/10.1093/occmed/kqw021</w:t>
      </w:r>
    </w:p>
    <w:p w14:paraId="03598997"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Achamrah, N., &amp; Ditisheim, A. (2018). Nutritional approach to preeclampsia prevention. </w:t>
      </w:r>
      <w:r w:rsidRPr="00CC5373">
        <w:rPr>
          <w:rFonts w:ascii="Times New Roman" w:hAnsi="Times New Roman" w:cs="Times New Roman"/>
          <w:i/>
          <w:iCs/>
          <w:noProof/>
          <w:kern w:val="0"/>
        </w:rPr>
        <w:t>Current Opinion in Clinical Nutrition and Metabolic Care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21</w:t>
      </w:r>
      <w:r w:rsidRPr="00CC5373">
        <w:rPr>
          <w:rFonts w:ascii="Times New Roman" w:hAnsi="Times New Roman" w:cs="Times New Roman"/>
          <w:noProof/>
          <w:kern w:val="0"/>
        </w:rPr>
        <w:t>(3), 168–173. https://doi.org/10.1097/MCO.0000000000000462</w:t>
      </w:r>
    </w:p>
    <w:p w14:paraId="1D001C8E"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ACOG. (2019). Clinical Management Guidelines for Obstetrician : Chronic Hypertension in Pregnancy. </w:t>
      </w:r>
      <w:r w:rsidRPr="00CC5373">
        <w:rPr>
          <w:rFonts w:ascii="Times New Roman" w:hAnsi="Times New Roman" w:cs="Times New Roman"/>
          <w:i/>
          <w:iCs/>
          <w:noProof/>
          <w:kern w:val="0"/>
        </w:rPr>
        <w:t>Obstetrics &amp; Gynecology</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133</w:t>
      </w:r>
      <w:r w:rsidRPr="00CC5373">
        <w:rPr>
          <w:rFonts w:ascii="Times New Roman" w:hAnsi="Times New Roman" w:cs="Times New Roman"/>
          <w:noProof/>
          <w:kern w:val="0"/>
        </w:rPr>
        <w:t>(76), 168–186. https://www.acog.org/clinical/clinical-guidance/practice-bulletin/articles/2020/07/diagnosis-and-management-of-vulvar-skin-disorders</w:t>
      </w:r>
    </w:p>
    <w:p w14:paraId="28543DFE"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Aggarwal, R., Chiu, N., Wadhera, R. K., Moran, A. E., Raber, I., Shen, C., Yeh, R. W., &amp; Kazi, D. S. (2021). Racial/Ethnic Disparities in Hypertension Prevalence, Awareness, Treatment, and Control in the United States, 2013 to 2018. </w:t>
      </w:r>
      <w:r w:rsidRPr="00CC5373">
        <w:rPr>
          <w:rFonts w:ascii="Times New Roman" w:hAnsi="Times New Roman" w:cs="Times New Roman"/>
          <w:i/>
          <w:iCs/>
          <w:noProof/>
          <w:kern w:val="0"/>
        </w:rPr>
        <w:t>Hypertension</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78</w:t>
      </w:r>
      <w:r w:rsidRPr="00CC5373">
        <w:rPr>
          <w:rFonts w:ascii="Times New Roman" w:hAnsi="Times New Roman" w:cs="Times New Roman"/>
          <w:noProof/>
          <w:kern w:val="0"/>
        </w:rPr>
        <w:t>(6), 1719–1726. https://doi.org/10.1161/HYPERTENSIONAHA.121.17570</w:t>
      </w:r>
    </w:p>
    <w:p w14:paraId="42DAFAE9"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Ahmed, R., Dunford, J., Mehran, R., Robson, S., &amp; Kunadian, V. (2014). Pre-eclampsia and future cardiovascular risk among women: A review. </w:t>
      </w:r>
      <w:r w:rsidRPr="00CC5373">
        <w:rPr>
          <w:rFonts w:ascii="Times New Roman" w:hAnsi="Times New Roman" w:cs="Times New Roman"/>
          <w:i/>
          <w:iCs/>
          <w:noProof/>
          <w:kern w:val="0"/>
        </w:rPr>
        <w:t>Journal of the American College of Cardiology</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63</w:t>
      </w:r>
      <w:r w:rsidRPr="00CC5373">
        <w:rPr>
          <w:rFonts w:ascii="Times New Roman" w:hAnsi="Times New Roman" w:cs="Times New Roman"/>
          <w:noProof/>
          <w:kern w:val="0"/>
        </w:rPr>
        <w:t>(18), 1815–1822. https://doi.org/10.1016/j.jacc.2014.02.529</w:t>
      </w:r>
    </w:p>
    <w:p w14:paraId="65D89AFA"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Akasaka, H., Yamamoto, K., Rakugi, H., Nagasawa, M., Nakamaru, R., Ichijo, T., Takeda, Y., Kurihara, I., Katabami, T., Tsuiki, M., Wada, N., Ogawa, Y., Kawashima, J., Sone, M., Kamemura, K., Yoshimoto, T., Matsuda, Y., Fujita, </w:t>
      </w:r>
      <w:r w:rsidRPr="00CC5373">
        <w:rPr>
          <w:rFonts w:ascii="Times New Roman" w:hAnsi="Times New Roman" w:cs="Times New Roman"/>
          <w:noProof/>
          <w:kern w:val="0"/>
        </w:rPr>
        <w:lastRenderedPageBreak/>
        <w:t xml:space="preserve">M., Kobayashi, H., … Naruse, M. (2019). Sex Difference in the Association between Subtype Distribution and Age at Diagnosis in Patients with Primary Aldosteronism. </w:t>
      </w:r>
      <w:r w:rsidRPr="00CC5373">
        <w:rPr>
          <w:rFonts w:ascii="Times New Roman" w:hAnsi="Times New Roman" w:cs="Times New Roman"/>
          <w:i/>
          <w:iCs/>
          <w:noProof/>
          <w:kern w:val="0"/>
        </w:rPr>
        <w:t>Hypertension</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74</w:t>
      </w:r>
      <w:r w:rsidRPr="00CC5373">
        <w:rPr>
          <w:rFonts w:ascii="Times New Roman" w:hAnsi="Times New Roman" w:cs="Times New Roman"/>
          <w:noProof/>
          <w:kern w:val="0"/>
        </w:rPr>
        <w:t>(2), 368–374. https://doi.org/10.1161/HYPERTENSIONAHA.119.13006</w:t>
      </w:r>
    </w:p>
    <w:p w14:paraId="41BE5CF6"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Alamneh, A. A., Endris, B. S., &amp; Gebreyesus, S. H. (2020). Caffeine, alcohol, khat, and tobacco use during pregnancy in Butajira, South Central Ethiopia. </w:t>
      </w:r>
      <w:r w:rsidRPr="00CC5373">
        <w:rPr>
          <w:rFonts w:ascii="Times New Roman" w:hAnsi="Times New Roman" w:cs="Times New Roman"/>
          <w:i/>
          <w:iCs/>
          <w:noProof/>
          <w:kern w:val="0"/>
        </w:rPr>
        <w:t>PLoS ONE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15</w:t>
      </w:r>
      <w:r w:rsidRPr="00CC5373">
        <w:rPr>
          <w:rFonts w:ascii="Times New Roman" w:hAnsi="Times New Roman" w:cs="Times New Roman"/>
          <w:noProof/>
          <w:kern w:val="0"/>
        </w:rPr>
        <w:t>(5), 1–18. https://doi.org/10.1371/journal.pone.0232712</w:t>
      </w:r>
    </w:p>
    <w:p w14:paraId="3F0111AC"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Alese, M. O., Moodley, J., &amp; Naicker, T. (2021). Preeclampsia and HELLP syndrome, the role of the liver. </w:t>
      </w:r>
      <w:r w:rsidRPr="00CC5373">
        <w:rPr>
          <w:rFonts w:ascii="Times New Roman" w:hAnsi="Times New Roman" w:cs="Times New Roman"/>
          <w:i/>
          <w:iCs/>
          <w:noProof/>
          <w:kern w:val="0"/>
        </w:rPr>
        <w:t>Journal of Maternal-Fetal and Neonatal Medicine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34</w:t>
      </w:r>
      <w:r w:rsidRPr="00CC5373">
        <w:rPr>
          <w:rFonts w:ascii="Times New Roman" w:hAnsi="Times New Roman" w:cs="Times New Roman"/>
          <w:noProof/>
          <w:kern w:val="0"/>
        </w:rPr>
        <w:t>(1), 117–123. https://doi.org/10.1080/14767058.2019.1572737</w:t>
      </w:r>
    </w:p>
    <w:p w14:paraId="270FD831"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Allen, R., Rogozinska, E., Sivarajasingam, P., Khan, K. S., &amp; Thangaratinam, S. (2014). Effect of diet- And lifestyle-based metabolic risk-modifying interventions on preeclampsia: A meta-analysis. </w:t>
      </w:r>
      <w:r w:rsidRPr="00CC5373">
        <w:rPr>
          <w:rFonts w:ascii="Times New Roman" w:hAnsi="Times New Roman" w:cs="Times New Roman"/>
          <w:i/>
          <w:iCs/>
          <w:noProof/>
          <w:kern w:val="0"/>
        </w:rPr>
        <w:t>Acta Obstetricia et Gynecologica Scandinavica</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93</w:t>
      </w:r>
      <w:r w:rsidRPr="00CC5373">
        <w:rPr>
          <w:rFonts w:ascii="Times New Roman" w:hAnsi="Times New Roman" w:cs="Times New Roman"/>
          <w:noProof/>
          <w:kern w:val="0"/>
        </w:rPr>
        <w:t>(10), 973–985. https://doi.org/10.1111/aogs.12467</w:t>
      </w:r>
    </w:p>
    <w:p w14:paraId="25E58813"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Appel, L. J., Moore, T. J., Obarzanek, E., Vollmer, W. M., Svetkey, L. P., Sacks, F. M., Bray, G. A., Vogt, T. M., Cutler, J. A., Windhauser, M. M., Lin, P.-H., Karanja, N., Simons-Morton, D., McCullough, M., Swain, J., Steele, P., Evans, M. A., Miller, E. R., &amp; Harsha, D. W. (1997). A Clinical Trial of the Effects of Dietary Patterns on Blood Pressure. </w:t>
      </w:r>
      <w:r w:rsidRPr="00CC5373">
        <w:rPr>
          <w:rFonts w:ascii="Times New Roman" w:hAnsi="Times New Roman" w:cs="Times New Roman"/>
          <w:i/>
          <w:iCs/>
          <w:noProof/>
          <w:kern w:val="0"/>
        </w:rPr>
        <w:t>New England Journal of Medicine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336</w:t>
      </w:r>
      <w:r w:rsidRPr="00CC5373">
        <w:rPr>
          <w:rFonts w:ascii="Times New Roman" w:hAnsi="Times New Roman" w:cs="Times New Roman"/>
          <w:noProof/>
          <w:kern w:val="0"/>
        </w:rPr>
        <w:t>(16), 1117–1124. https://doi.org/10.1056/nejm199704173361601</w:t>
      </w:r>
    </w:p>
    <w:p w14:paraId="71A2042F"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Baber, R. J., Panay, N., &amp; Fenton, A. (2016). 2016 IMS Recommendations on womens midlife health and menopause hormone therapy. </w:t>
      </w:r>
      <w:r w:rsidRPr="00CC5373">
        <w:rPr>
          <w:rFonts w:ascii="Times New Roman" w:hAnsi="Times New Roman" w:cs="Times New Roman"/>
          <w:i/>
          <w:iCs/>
          <w:noProof/>
          <w:kern w:val="0"/>
        </w:rPr>
        <w:t>Climacteric</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19</w:t>
      </w:r>
      <w:r w:rsidRPr="00CC5373">
        <w:rPr>
          <w:rFonts w:ascii="Times New Roman" w:hAnsi="Times New Roman" w:cs="Times New Roman"/>
          <w:noProof/>
          <w:kern w:val="0"/>
        </w:rPr>
        <w:t>(2), 109–150. https://doi.org/10.3109/13697137.2015.1129166</w:t>
      </w:r>
    </w:p>
    <w:p w14:paraId="6F87839F"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Black, P. H., &amp; Garbutt, L. D. (2002). Stress, inflammation and cardiovascular disease. </w:t>
      </w:r>
      <w:r w:rsidRPr="00CC5373">
        <w:rPr>
          <w:rFonts w:ascii="Times New Roman" w:hAnsi="Times New Roman" w:cs="Times New Roman"/>
          <w:i/>
          <w:iCs/>
          <w:noProof/>
          <w:kern w:val="0"/>
        </w:rPr>
        <w:t>Journal of Psychosomatic Research</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52</w:t>
      </w:r>
      <w:r w:rsidRPr="00CC5373">
        <w:rPr>
          <w:rFonts w:ascii="Times New Roman" w:hAnsi="Times New Roman" w:cs="Times New Roman"/>
          <w:noProof/>
          <w:kern w:val="0"/>
        </w:rPr>
        <w:t>(1), 1–23. https://doi.org/10.1016/S0022-3999(01)00302-6</w:t>
      </w:r>
    </w:p>
    <w:p w14:paraId="3CD1510A"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Boardman, H. M. P., Hartley, L., Eisinga, A., Main, C., Roqué i Figuls, M., Bonfill Cosp, X., Gabriel Sanchez, R., &amp; Knight, B. (2015). Hormone therapy for preventing cardiovascular disease in post-menopausal women. </w:t>
      </w:r>
      <w:r w:rsidRPr="00CC5373">
        <w:rPr>
          <w:rFonts w:ascii="Times New Roman" w:hAnsi="Times New Roman" w:cs="Times New Roman"/>
          <w:i/>
          <w:iCs/>
          <w:noProof/>
          <w:kern w:val="0"/>
        </w:rPr>
        <w:t>Cochrane Database of Systematic Reviews</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2015</w:t>
      </w:r>
      <w:r w:rsidRPr="00CC5373">
        <w:rPr>
          <w:rFonts w:ascii="Times New Roman" w:hAnsi="Times New Roman" w:cs="Times New Roman"/>
          <w:noProof/>
          <w:kern w:val="0"/>
        </w:rPr>
        <w:t>(3). https://doi.org/10.1002/14651858.CD002229.pub4</w:t>
      </w:r>
    </w:p>
    <w:p w14:paraId="451EC439"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Bowman, T. S., Gaziano, J. M., Buring, J. E., &amp; Sesso, H. D. (2007). A Prospective Study of Cigarette Smoking and Risk of Incident Hypertension in </w:t>
      </w:r>
      <w:r w:rsidRPr="00CC5373">
        <w:rPr>
          <w:rFonts w:ascii="Times New Roman" w:hAnsi="Times New Roman" w:cs="Times New Roman"/>
          <w:noProof/>
          <w:kern w:val="0"/>
        </w:rPr>
        <w:lastRenderedPageBreak/>
        <w:t xml:space="preserve">Women. </w:t>
      </w:r>
      <w:r w:rsidRPr="00CC5373">
        <w:rPr>
          <w:rFonts w:ascii="Times New Roman" w:hAnsi="Times New Roman" w:cs="Times New Roman"/>
          <w:i/>
          <w:iCs/>
          <w:noProof/>
          <w:kern w:val="0"/>
        </w:rPr>
        <w:t>Journal of the American College of Cardiology</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50</w:t>
      </w:r>
      <w:r w:rsidRPr="00CC5373">
        <w:rPr>
          <w:rFonts w:ascii="Times New Roman" w:hAnsi="Times New Roman" w:cs="Times New Roman"/>
          <w:noProof/>
          <w:kern w:val="0"/>
        </w:rPr>
        <w:t>(21), 2085–2092. https://doi.org/10.1016/j.jacc.2007.08.017</w:t>
      </w:r>
    </w:p>
    <w:p w14:paraId="485AA582"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Broder, M. S., Neary, M. P., Chang, E., Cherepanov, D., &amp; Ludlam, W. H. (2015). Incidence of Cushing’s syndrome and Cushing’s disease in commercially-insured patients &lt;65 years old in the United States. </w:t>
      </w:r>
      <w:r w:rsidRPr="00CC5373">
        <w:rPr>
          <w:rFonts w:ascii="Times New Roman" w:hAnsi="Times New Roman" w:cs="Times New Roman"/>
          <w:i/>
          <w:iCs/>
          <w:noProof/>
          <w:kern w:val="0"/>
        </w:rPr>
        <w:t>Pituitary</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18</w:t>
      </w:r>
      <w:r w:rsidRPr="00CC5373">
        <w:rPr>
          <w:rFonts w:ascii="Times New Roman" w:hAnsi="Times New Roman" w:cs="Times New Roman"/>
          <w:noProof/>
          <w:kern w:val="0"/>
        </w:rPr>
        <w:t>(3), 283–289. https://doi.org/10.1007/s11102-014-0569-6</w:t>
      </w:r>
    </w:p>
    <w:p w14:paraId="588C4E28"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Caminha, T. C. S., Ferreira, H. S., Costa, N. S., Nakano, R. P., Carvalho, R. E. S., Xavier, A. F. S., &amp; Assunção, M. L. (2017). Waist-to-height ratio is the best anthropometric predictor of hypertension: A population-based study with women from a state of northeast of Brazil. </w:t>
      </w:r>
      <w:r w:rsidRPr="00CC5373">
        <w:rPr>
          <w:rFonts w:ascii="Times New Roman" w:hAnsi="Times New Roman" w:cs="Times New Roman"/>
          <w:i/>
          <w:iCs/>
          <w:noProof/>
          <w:kern w:val="0"/>
        </w:rPr>
        <w:t>Medicine (United States)</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96</w:t>
      </w:r>
      <w:r w:rsidRPr="00CC5373">
        <w:rPr>
          <w:rFonts w:ascii="Times New Roman" w:hAnsi="Times New Roman" w:cs="Times New Roman"/>
          <w:noProof/>
          <w:kern w:val="0"/>
        </w:rPr>
        <w:t>(2). https://doi.org/10.1097/MD.0000000000005874</w:t>
      </w:r>
    </w:p>
    <w:p w14:paraId="199F3DE2"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Chahal, J., Dagar, V., Dagher, L., Rao, A., &amp; Udemba, E. N. (2023). The crisis effect in TPB as a moderator for post-pandemic entrepreneurial intentions among higher education students: PLS-SEM and ANN approach. </w:t>
      </w:r>
      <w:r w:rsidRPr="00CC5373">
        <w:rPr>
          <w:rFonts w:ascii="Times New Roman" w:hAnsi="Times New Roman" w:cs="Times New Roman"/>
          <w:i/>
          <w:iCs/>
          <w:noProof/>
          <w:kern w:val="0"/>
        </w:rPr>
        <w:t>The International Journal of Management Education</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21</w:t>
      </w:r>
      <w:r w:rsidRPr="00CC5373">
        <w:rPr>
          <w:rFonts w:ascii="Times New Roman" w:hAnsi="Times New Roman" w:cs="Times New Roman"/>
          <w:noProof/>
          <w:kern w:val="0"/>
        </w:rPr>
        <w:t>(100878), 3. https://doi.org/https://doi.org/10.1016/j.ijme.2023.100878</w:t>
      </w:r>
    </w:p>
    <w:p w14:paraId="0D15C96B"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Chahal, J., Shoukat, M. H., Massoud, H. K., &amp; Ayoubi, R. M. (2024). Analysing the impact of post-pandemic factors on entrepreneurial intentions: the enduring significance of self-efficacy in student planned behaviour. </w:t>
      </w:r>
      <w:r w:rsidRPr="00CC5373">
        <w:rPr>
          <w:rFonts w:ascii="Times New Roman" w:hAnsi="Times New Roman" w:cs="Times New Roman"/>
          <w:i/>
          <w:iCs/>
          <w:noProof/>
          <w:kern w:val="0"/>
        </w:rPr>
        <w:t>Cogent Business and Management</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11</w:t>
      </w:r>
      <w:r w:rsidRPr="00CC5373">
        <w:rPr>
          <w:rFonts w:ascii="Times New Roman" w:hAnsi="Times New Roman" w:cs="Times New Roman"/>
          <w:noProof/>
          <w:kern w:val="0"/>
        </w:rPr>
        <w:t>(1). https://doi.org/10.1080/23311975.2024.2302796</w:t>
      </w:r>
    </w:p>
    <w:p w14:paraId="17DCB7D5"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Chan, S. Y., Marsh, M. S., Gilbert, J., Boelaert, K., Evans, C., &amp; Dhillon-Smith, R. (2025). Management of Thyroid Disorders in Pregnancy. </w:t>
      </w:r>
      <w:r w:rsidRPr="00CC5373">
        <w:rPr>
          <w:rFonts w:ascii="Times New Roman" w:hAnsi="Times New Roman" w:cs="Times New Roman"/>
          <w:i/>
          <w:iCs/>
          <w:noProof/>
          <w:kern w:val="0"/>
        </w:rPr>
        <w:t>BJOG: An International Journal of Obstetrics and Gynaecology</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132</w:t>
      </w:r>
      <w:r w:rsidRPr="00CC5373">
        <w:rPr>
          <w:rFonts w:ascii="Times New Roman" w:hAnsi="Times New Roman" w:cs="Times New Roman"/>
          <w:noProof/>
          <w:kern w:val="0"/>
        </w:rPr>
        <w:t>(8), e130–e161. https://doi.org/10.1111/1471-0528.18088</w:t>
      </w:r>
    </w:p>
    <w:p w14:paraId="0985356F"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Chiavaroli, L., Viguiliouk, E., Nishi, S. K., Mejia, S. B., Rahelić, D., Kahleová, H., Salas-Salvadó, J., Kendall, C. W. C., &amp; Sievenpiper, J. L. (2019). DASH dietary pattern and cardiometabolic outcomes: An umbrella review of systematic reviews and meta-analyses. </w:t>
      </w:r>
      <w:r w:rsidRPr="00CC5373">
        <w:rPr>
          <w:rFonts w:ascii="Times New Roman" w:hAnsi="Times New Roman" w:cs="Times New Roman"/>
          <w:i/>
          <w:iCs/>
          <w:noProof/>
          <w:kern w:val="0"/>
        </w:rPr>
        <w:t>Nutrients</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11</w:t>
      </w:r>
      <w:r w:rsidRPr="00CC5373">
        <w:rPr>
          <w:rFonts w:ascii="Times New Roman" w:hAnsi="Times New Roman" w:cs="Times New Roman"/>
          <w:noProof/>
          <w:kern w:val="0"/>
        </w:rPr>
        <w:t>(2). https://doi.org/10.3390/nu11020338</w:t>
      </w:r>
    </w:p>
    <w:p w14:paraId="565F88A3"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Chobanian, A. V., Bakris, G. L., Black, H. R., Cushman, W. C., Green, L. A., Izzo, J. L., Jones, D. W., Materson, B. J., Oparil, S., Wright, J. T., &amp; Roccella, E. J. (2003). Seventh report of the Joint National Committee on Prevention, Detection, Evaluation, and Treatment of High Blood Pressure. </w:t>
      </w:r>
      <w:r w:rsidRPr="00CC5373">
        <w:rPr>
          <w:rFonts w:ascii="Times New Roman" w:hAnsi="Times New Roman" w:cs="Times New Roman"/>
          <w:i/>
          <w:iCs/>
          <w:noProof/>
          <w:kern w:val="0"/>
        </w:rPr>
        <w:t>Hypertension</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42</w:t>
      </w:r>
      <w:r w:rsidRPr="00CC5373">
        <w:rPr>
          <w:rFonts w:ascii="Times New Roman" w:hAnsi="Times New Roman" w:cs="Times New Roman"/>
          <w:noProof/>
          <w:kern w:val="0"/>
        </w:rPr>
        <w:t>(6), 1206–1252. https://doi.org/10.1161/01.HYP.0000107251.49515.c2</w:t>
      </w:r>
    </w:p>
    <w:p w14:paraId="2A09C097"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lastRenderedPageBreak/>
        <w:t xml:space="preserve">Chow, E. J., Lynch, J. B., Zerr, D. M., Riedo, F. X., Fairchok, M., Pergam, S. A., Baliga, C. S., Pauk, J., Lewis, J., &amp; Duchin, J. S. (2024). Annals of Internal Medicine. </w:t>
      </w:r>
      <w:r w:rsidRPr="00CC5373">
        <w:rPr>
          <w:rFonts w:ascii="Times New Roman" w:hAnsi="Times New Roman" w:cs="Times New Roman"/>
          <w:i/>
          <w:iCs/>
          <w:noProof/>
          <w:kern w:val="0"/>
        </w:rPr>
        <w:t>Annals of Internal Medicine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177</w:t>
      </w:r>
      <w:r w:rsidRPr="00CC5373">
        <w:rPr>
          <w:rFonts w:ascii="Times New Roman" w:hAnsi="Times New Roman" w:cs="Times New Roman"/>
          <w:noProof/>
          <w:kern w:val="0"/>
        </w:rPr>
        <w:t>(5), 689. https://doi.org/10.7326/L23-0449</w:t>
      </w:r>
    </w:p>
    <w:p w14:paraId="532E1F7F"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Cifkova, R., Pitha, J., Krajcoviechova, A., &amp; Kralikova, E. (2019). Is the impact of conventional risk factors the same in men and women? Plea for a more gender-specific approach. </w:t>
      </w:r>
      <w:r w:rsidRPr="00CC5373">
        <w:rPr>
          <w:rFonts w:ascii="Times New Roman" w:hAnsi="Times New Roman" w:cs="Times New Roman"/>
          <w:i/>
          <w:iCs/>
          <w:noProof/>
          <w:kern w:val="0"/>
        </w:rPr>
        <w:t>International Journal of Cardiology</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286</w:t>
      </w:r>
      <w:r w:rsidRPr="00CC5373">
        <w:rPr>
          <w:rFonts w:ascii="Times New Roman" w:hAnsi="Times New Roman" w:cs="Times New Roman"/>
          <w:noProof/>
          <w:kern w:val="0"/>
        </w:rPr>
        <w:t>, 214–219. https://doi.org/10.1016/j.ijcard.2019.01.039</w:t>
      </w:r>
    </w:p>
    <w:p w14:paraId="2B7B1F48"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Connelly, P. J., Currie, G., &amp; Delles, C. (2022). Sex Differences in the Prevalence, Outcomes and Management of Hypertension. </w:t>
      </w:r>
      <w:r w:rsidRPr="00CC5373">
        <w:rPr>
          <w:rFonts w:ascii="Times New Roman" w:hAnsi="Times New Roman" w:cs="Times New Roman"/>
          <w:i/>
          <w:iCs/>
          <w:noProof/>
          <w:kern w:val="0"/>
        </w:rPr>
        <w:t>Current Hypertension Reports</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24</w:t>
      </w:r>
      <w:r w:rsidRPr="00CC5373">
        <w:rPr>
          <w:rFonts w:ascii="Times New Roman" w:hAnsi="Times New Roman" w:cs="Times New Roman"/>
          <w:noProof/>
          <w:kern w:val="0"/>
        </w:rPr>
        <w:t>(6), 185–192. https://doi.org/10.1007/s11906-022-01183-8</w:t>
      </w:r>
    </w:p>
    <w:p w14:paraId="2D6BE653"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Courtney, A. U., O’Brien, E. C., Crowley, R. K., Geraghty, A. A., Brady, M. B., Kilbane, M. T., Twomey, P. J., McKenna, M. J., &amp; McAuliffe, F. M. (2020). DASH (Dietary Approaches to Stop Hypertension) dietary pattern and maternal blood pressure in pregnancy. </w:t>
      </w:r>
      <w:r w:rsidRPr="00CC5373">
        <w:rPr>
          <w:rFonts w:ascii="Times New Roman" w:hAnsi="Times New Roman" w:cs="Times New Roman"/>
          <w:i/>
          <w:iCs/>
          <w:noProof/>
          <w:kern w:val="0"/>
        </w:rPr>
        <w:t>Journal of Human Nutrition and Dietetics</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33</w:t>
      </w:r>
      <w:r w:rsidRPr="00CC5373">
        <w:rPr>
          <w:rFonts w:ascii="Times New Roman" w:hAnsi="Times New Roman" w:cs="Times New Roman"/>
          <w:noProof/>
          <w:kern w:val="0"/>
        </w:rPr>
        <w:t>(5), 686–697. https://doi.org/10.1111/jhn.12744</w:t>
      </w:r>
    </w:p>
    <w:p w14:paraId="1F6FB77A"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Davis, E. F., Lazdam, M., Lewandowski, A. J., Worton, S. A., Kelly, B., Kenworthy, Y., Adwani, S., Wilkinson, A. R., McCormick, K., Sargent, I., Redman, C., &amp; Leeson, P. (2012). Cardiovascular risk factors in children and young adults born to preeclamptic pregnancies: A systematic review. </w:t>
      </w:r>
      <w:r w:rsidRPr="00CC5373">
        <w:rPr>
          <w:rFonts w:ascii="Times New Roman" w:hAnsi="Times New Roman" w:cs="Times New Roman"/>
          <w:i/>
          <w:iCs/>
          <w:noProof/>
          <w:kern w:val="0"/>
        </w:rPr>
        <w:t>Pediatrics</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129</w:t>
      </w:r>
      <w:r w:rsidRPr="00CC5373">
        <w:rPr>
          <w:rFonts w:ascii="Times New Roman" w:hAnsi="Times New Roman" w:cs="Times New Roman"/>
          <w:noProof/>
          <w:kern w:val="0"/>
        </w:rPr>
        <w:t>(6). https://doi.org/10.1542/peds.2011-3093</w:t>
      </w:r>
    </w:p>
    <w:p w14:paraId="1BDE7513"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Davis, E. F., Newton, L., Lewandowski, A. J., Lazdam, M., Kelly, B. A., Kyriakou, T., &amp; Leeson, P. (2012). Pre-eclampsia and offspring cardiovascular health: Mechanistic insights from experimental studies. </w:t>
      </w:r>
      <w:r w:rsidRPr="00CC5373">
        <w:rPr>
          <w:rFonts w:ascii="Times New Roman" w:hAnsi="Times New Roman" w:cs="Times New Roman"/>
          <w:i/>
          <w:iCs/>
          <w:noProof/>
          <w:kern w:val="0"/>
        </w:rPr>
        <w:t>Clinical Science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123</w:t>
      </w:r>
      <w:r w:rsidRPr="00CC5373">
        <w:rPr>
          <w:rFonts w:ascii="Times New Roman" w:hAnsi="Times New Roman" w:cs="Times New Roman"/>
          <w:noProof/>
          <w:kern w:val="0"/>
        </w:rPr>
        <w:t>(2), 53–72. https://doi.org/10.1042/CS20110627</w:t>
      </w:r>
    </w:p>
    <w:p w14:paraId="403E24C2"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De La Torre, N. G., Assaf-Balut, C., Varas, I. J., Del Valle, L., Durán, A., Fuentes, M., Del Prado, N., Bordiú, E., Valerio, J. J., Herraiz, M. A., Izquierdo, N., Torrejón, M. J., Cuadrado, M. A., De Miguel, P., Familiar, C., Runkle, I., Barabash, A., Rubio, M. A., &amp; Calle-Pascual, A. L. (2019). Effectiveness of following mediterranean diet recommendations in the real world in the incidence of gestational diabetes mellitus (Gdm) and adverse maternal-foetal outcomes: A prospective, universal, interventional study with a single group. the st carlos. </w:t>
      </w:r>
      <w:r w:rsidRPr="00CC5373">
        <w:rPr>
          <w:rFonts w:ascii="Times New Roman" w:hAnsi="Times New Roman" w:cs="Times New Roman"/>
          <w:i/>
          <w:iCs/>
          <w:noProof/>
          <w:kern w:val="0"/>
        </w:rPr>
        <w:t>Nutrients</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11</w:t>
      </w:r>
      <w:r w:rsidRPr="00CC5373">
        <w:rPr>
          <w:rFonts w:ascii="Times New Roman" w:hAnsi="Times New Roman" w:cs="Times New Roman"/>
          <w:noProof/>
          <w:kern w:val="0"/>
        </w:rPr>
        <w:t>(6). https://doi.org/10.3390/nu11061210</w:t>
      </w:r>
    </w:p>
    <w:p w14:paraId="2B14EB90"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lastRenderedPageBreak/>
        <w:t xml:space="preserve">Desousa, J., Tong, M., Wei, J., Chamley, L., Stone, P., &amp; Chen, Q. (2016). The anti-inflammatory effect of calcium for preventing endothelial cell activation in preeclampsia. </w:t>
      </w:r>
      <w:r w:rsidRPr="00CC5373">
        <w:rPr>
          <w:rFonts w:ascii="Times New Roman" w:hAnsi="Times New Roman" w:cs="Times New Roman"/>
          <w:i/>
          <w:iCs/>
          <w:noProof/>
          <w:kern w:val="0"/>
        </w:rPr>
        <w:t>Journal of Human Hypertension</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30</w:t>
      </w:r>
      <w:r w:rsidRPr="00CC5373">
        <w:rPr>
          <w:rFonts w:ascii="Times New Roman" w:hAnsi="Times New Roman" w:cs="Times New Roman"/>
          <w:noProof/>
          <w:kern w:val="0"/>
        </w:rPr>
        <w:t>(5), 303–308. https://doi.org/10.1038/jhh.2015.73</w:t>
      </w:r>
    </w:p>
    <w:p w14:paraId="5C9DB8EB"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Diez-Canseco, F., Alfredo Zavala-Loayza, J., Beratarrechea, A., Kanter, R., Ramirez-Zea, M., Rubinstein, A., Martinez, H., &amp; Jaime Miranda, J. (2015). Design and multi-country validation of text messages for an mhealth intervention for primary prevention of progression to hypertension in Latin America. </w:t>
      </w:r>
      <w:r w:rsidRPr="00CC5373">
        <w:rPr>
          <w:rFonts w:ascii="Times New Roman" w:hAnsi="Times New Roman" w:cs="Times New Roman"/>
          <w:i/>
          <w:iCs/>
          <w:noProof/>
          <w:kern w:val="0"/>
        </w:rPr>
        <w:t>JMIR MHealth and UHealth</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3</w:t>
      </w:r>
      <w:r w:rsidRPr="00CC5373">
        <w:rPr>
          <w:rFonts w:ascii="Times New Roman" w:hAnsi="Times New Roman" w:cs="Times New Roman"/>
          <w:noProof/>
          <w:kern w:val="0"/>
        </w:rPr>
        <w:t>(1). https://doi.org/10.2196/mhealth.3874</w:t>
      </w:r>
    </w:p>
    <w:p w14:paraId="29CC05C2"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Evans, M. F., &amp; Frank, J. (1997). Body weight and mortality among women. </w:t>
      </w:r>
      <w:r w:rsidRPr="00CC5373">
        <w:rPr>
          <w:rFonts w:ascii="Times New Roman" w:hAnsi="Times New Roman" w:cs="Times New Roman"/>
          <w:i/>
          <w:iCs/>
          <w:noProof/>
          <w:kern w:val="0"/>
        </w:rPr>
        <w:t>Canadian Family Physician Médecin de Famille Canadien</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43</w:t>
      </w:r>
      <w:r w:rsidRPr="00CC5373">
        <w:rPr>
          <w:rFonts w:ascii="Times New Roman" w:hAnsi="Times New Roman" w:cs="Times New Roman"/>
          <w:noProof/>
          <w:kern w:val="0"/>
        </w:rPr>
        <w:t>(11), 455. https://doi.org/10.1097/00006205-199511000-00011</w:t>
      </w:r>
    </w:p>
    <w:p w14:paraId="1305BD05"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Fagard, R. H., Celis, H., Thijs, L., Staessen, J. A., Clement, D. L., De Buyzere, M. L., &amp; De Bacquer, D. A. (2008). Daytime and nighttime blood pressure as predictors of death and cause-specific cardiovascular events in hypertension. </w:t>
      </w:r>
      <w:r w:rsidRPr="00CC5373">
        <w:rPr>
          <w:rFonts w:ascii="Times New Roman" w:hAnsi="Times New Roman" w:cs="Times New Roman"/>
          <w:i/>
          <w:iCs/>
          <w:noProof/>
          <w:kern w:val="0"/>
        </w:rPr>
        <w:t>Hypertension</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51</w:t>
      </w:r>
      <w:r w:rsidRPr="00CC5373">
        <w:rPr>
          <w:rFonts w:ascii="Times New Roman" w:hAnsi="Times New Roman" w:cs="Times New Roman"/>
          <w:noProof/>
          <w:kern w:val="0"/>
        </w:rPr>
        <w:t>(1), 55–61. https://doi.org/10.1161/HYPERTENSIONAHA.107.100727</w:t>
      </w:r>
    </w:p>
    <w:p w14:paraId="5E311E9D"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Fisher, N. D. L., Orav, E. J., &amp; Chang, G. (2018). Effects of alcohol consumption on blood pressure in hypertensive women. </w:t>
      </w:r>
      <w:r w:rsidRPr="00CC5373">
        <w:rPr>
          <w:rFonts w:ascii="Times New Roman" w:hAnsi="Times New Roman" w:cs="Times New Roman"/>
          <w:i/>
          <w:iCs/>
          <w:noProof/>
          <w:kern w:val="0"/>
        </w:rPr>
        <w:t>American Journal of Drug and Alcohol Abuse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44</w:t>
      </w:r>
      <w:r w:rsidRPr="00CC5373">
        <w:rPr>
          <w:rFonts w:ascii="Times New Roman" w:hAnsi="Times New Roman" w:cs="Times New Roman"/>
          <w:noProof/>
          <w:kern w:val="0"/>
        </w:rPr>
        <w:t>(2), 200–205. https://doi.org/10.1080/00952990.2017.1355921</w:t>
      </w:r>
    </w:p>
    <w:p w14:paraId="1D7056E9"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Forman, J. P., Stampfer, M. J., &amp; Curhan, G. C. (2009). Diet and lifestyle risk factors associated with incident hypertension in women. </w:t>
      </w:r>
      <w:r w:rsidRPr="00CC5373">
        <w:rPr>
          <w:rFonts w:ascii="Times New Roman" w:hAnsi="Times New Roman" w:cs="Times New Roman"/>
          <w:i/>
          <w:iCs/>
          <w:noProof/>
          <w:kern w:val="0"/>
        </w:rPr>
        <w:t>Jama</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302</w:t>
      </w:r>
      <w:r w:rsidRPr="00CC5373">
        <w:rPr>
          <w:rFonts w:ascii="Times New Roman" w:hAnsi="Times New Roman" w:cs="Times New Roman"/>
          <w:noProof/>
          <w:kern w:val="0"/>
        </w:rPr>
        <w:t>(4), 401–411. https://doi.org/10.1001/jama.2009.1060</w:t>
      </w:r>
    </w:p>
    <w:p w14:paraId="79C2F55E"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Gallagher, P. E., Li, P., Lenhart, J. R., Chappell, M. C., &amp; Brosnihan, K. B. (1999). Estrogen regulation of angiotensin-converting enzyme mRNA. </w:t>
      </w:r>
      <w:r w:rsidRPr="00CC5373">
        <w:rPr>
          <w:rFonts w:ascii="Times New Roman" w:hAnsi="Times New Roman" w:cs="Times New Roman"/>
          <w:i/>
          <w:iCs/>
          <w:noProof/>
          <w:kern w:val="0"/>
        </w:rPr>
        <w:t>Hypertension</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33</w:t>
      </w:r>
      <w:r w:rsidRPr="00CC5373">
        <w:rPr>
          <w:rFonts w:ascii="Times New Roman" w:hAnsi="Times New Roman" w:cs="Times New Roman"/>
          <w:noProof/>
          <w:kern w:val="0"/>
        </w:rPr>
        <w:t>(1 II), 323–328. https://doi.org/10.1161/01.hyp.33.1.323</w:t>
      </w:r>
    </w:p>
    <w:p w14:paraId="474C175A"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Gangwisch, J. E., Feskanich, D., Malaspina, D., Shen, S., &amp; Forman, J. P. (2013). Sleep duration and risk for hypertension in women: Results from the nurses’ health study. </w:t>
      </w:r>
      <w:r w:rsidRPr="00CC5373">
        <w:rPr>
          <w:rFonts w:ascii="Times New Roman" w:hAnsi="Times New Roman" w:cs="Times New Roman"/>
          <w:i/>
          <w:iCs/>
          <w:noProof/>
          <w:kern w:val="0"/>
        </w:rPr>
        <w:t>American Journal of Hypertension</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26</w:t>
      </w:r>
      <w:r w:rsidRPr="00CC5373">
        <w:rPr>
          <w:rFonts w:ascii="Times New Roman" w:hAnsi="Times New Roman" w:cs="Times New Roman"/>
          <w:noProof/>
          <w:kern w:val="0"/>
        </w:rPr>
        <w:t>(7), 903–911. https://doi.org/10.1093/ajh/hpt044</w:t>
      </w:r>
    </w:p>
    <w:p w14:paraId="4D28A971"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Gartlehner, G., Patel, S. V., Feltner, C., Weber, R. P., Long, R., Mullican, K., Boland, E., Lux, L., &amp; Viswanathan, M. (2017). Hormone therapy for the </w:t>
      </w:r>
      <w:r w:rsidRPr="00CC5373">
        <w:rPr>
          <w:rFonts w:ascii="Times New Roman" w:hAnsi="Times New Roman" w:cs="Times New Roman"/>
          <w:noProof/>
          <w:kern w:val="0"/>
        </w:rPr>
        <w:lastRenderedPageBreak/>
        <w:t xml:space="preserve">primary prevention of chronic conditions in postmenopausal women evidence report and systematic review for the US preventive services task force. </w:t>
      </w:r>
      <w:r w:rsidRPr="00CC5373">
        <w:rPr>
          <w:rFonts w:ascii="Times New Roman" w:hAnsi="Times New Roman" w:cs="Times New Roman"/>
          <w:i/>
          <w:iCs/>
          <w:noProof/>
          <w:kern w:val="0"/>
        </w:rPr>
        <w:t>JAMA - Journal of the American Medical Association</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318</w:t>
      </w:r>
      <w:r w:rsidRPr="00CC5373">
        <w:rPr>
          <w:rFonts w:ascii="Times New Roman" w:hAnsi="Times New Roman" w:cs="Times New Roman"/>
          <w:noProof/>
          <w:kern w:val="0"/>
        </w:rPr>
        <w:t>(22), 2234–2249. https://doi.org/10.1001/jama.2017.16952</w:t>
      </w:r>
    </w:p>
    <w:p w14:paraId="2BF93469"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Gharge, S., Vlachopoulos, D., Skinner, A. M., Williams, C. A., Iniesta, R. R., &amp; Unisa, S. (2024). The effect of the Mid-Day Meal programme on the longitudinal physical growth from childhood to adolescence in India. </w:t>
      </w:r>
      <w:r w:rsidRPr="00CC5373">
        <w:rPr>
          <w:rFonts w:ascii="Times New Roman" w:hAnsi="Times New Roman" w:cs="Times New Roman"/>
          <w:i/>
          <w:iCs/>
          <w:noProof/>
          <w:kern w:val="0"/>
        </w:rPr>
        <w:t>PLOS Global Public Health</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4</w:t>
      </w:r>
      <w:r w:rsidRPr="00CC5373">
        <w:rPr>
          <w:rFonts w:ascii="Times New Roman" w:hAnsi="Times New Roman" w:cs="Times New Roman"/>
          <w:noProof/>
          <w:kern w:val="0"/>
        </w:rPr>
        <w:t>(1), 1–16. https://doi.org/10.1371/journal.pgph.0002742</w:t>
      </w:r>
    </w:p>
    <w:p w14:paraId="125C6A40"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Gillison, F. B., Rouse, P., Standage, M., Sebire, S. J., &amp; Ryan, R. M. (2019). A meta-analysis of techniques to promote motivation for health behaviour change from a self-determination theory perspective. </w:t>
      </w:r>
      <w:r w:rsidRPr="00CC5373">
        <w:rPr>
          <w:rFonts w:ascii="Times New Roman" w:hAnsi="Times New Roman" w:cs="Times New Roman"/>
          <w:i/>
          <w:iCs/>
          <w:noProof/>
          <w:kern w:val="0"/>
        </w:rPr>
        <w:t>Health Psychology Review</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13</w:t>
      </w:r>
      <w:r w:rsidRPr="00CC5373">
        <w:rPr>
          <w:rFonts w:ascii="Times New Roman" w:hAnsi="Times New Roman" w:cs="Times New Roman"/>
          <w:noProof/>
          <w:kern w:val="0"/>
        </w:rPr>
        <w:t>(1), 110–130. https://doi.org/10.1080/17437199.2018.1534071</w:t>
      </w:r>
    </w:p>
    <w:p w14:paraId="7E64E560"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Goldstein, C. M., Gathright, E. C., Dolansky, M. A., Gunstad, J., Sterns, A., Redle, J. D., Josephson, R., &amp; Hughes, J. W. (2014). Randomized controlled feasibility trial of two telemedicine medication reminder systems for older adults with heart failure. </w:t>
      </w:r>
      <w:r w:rsidRPr="00CC5373">
        <w:rPr>
          <w:rFonts w:ascii="Times New Roman" w:hAnsi="Times New Roman" w:cs="Times New Roman"/>
          <w:i/>
          <w:iCs/>
          <w:noProof/>
          <w:kern w:val="0"/>
        </w:rPr>
        <w:t>Journal of Telemedicine and Telecare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20</w:t>
      </w:r>
      <w:r w:rsidRPr="00CC5373">
        <w:rPr>
          <w:rFonts w:ascii="Times New Roman" w:hAnsi="Times New Roman" w:cs="Times New Roman"/>
          <w:noProof/>
          <w:kern w:val="0"/>
        </w:rPr>
        <w:t>(6), 293–299. https://doi.org/10.1177/1357633X14541039</w:t>
      </w:r>
    </w:p>
    <w:p w14:paraId="7FC082B1"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Hanandeh, S., Ardah, A., &amp; Abu-Farsakh, M. (2020). Using artificial neural network and genetics algorithm to estimate the resilient modulus for stabilized subgrade and propose new empirical formula. </w:t>
      </w:r>
      <w:r w:rsidRPr="00CC5373">
        <w:rPr>
          <w:rFonts w:ascii="Times New Roman" w:hAnsi="Times New Roman" w:cs="Times New Roman"/>
          <w:i/>
          <w:iCs/>
          <w:noProof/>
          <w:kern w:val="0"/>
        </w:rPr>
        <w:t>Transportation Geotechnics</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24</w:t>
      </w:r>
      <w:r w:rsidRPr="00CC5373">
        <w:rPr>
          <w:rFonts w:ascii="Times New Roman" w:hAnsi="Times New Roman" w:cs="Times New Roman"/>
          <w:noProof/>
          <w:kern w:val="0"/>
        </w:rPr>
        <w:t>(February), 100358. https://doi.org/10.1016/j.trgeo.2020.100358</w:t>
      </w:r>
    </w:p>
    <w:p w14:paraId="1762B305"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Hannemann, A., &amp; Wallaschofski, H. (2012). Prevalence of primary aldosteronism in patient’s cohorts and in population-based studies - A review of the current literature. </w:t>
      </w:r>
      <w:r w:rsidRPr="00CC5373">
        <w:rPr>
          <w:rFonts w:ascii="Times New Roman" w:hAnsi="Times New Roman" w:cs="Times New Roman"/>
          <w:i/>
          <w:iCs/>
          <w:noProof/>
          <w:kern w:val="0"/>
        </w:rPr>
        <w:t>Hormone and Metabolic Research</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44</w:t>
      </w:r>
      <w:r w:rsidRPr="00CC5373">
        <w:rPr>
          <w:rFonts w:ascii="Times New Roman" w:hAnsi="Times New Roman" w:cs="Times New Roman"/>
          <w:noProof/>
          <w:kern w:val="0"/>
        </w:rPr>
        <w:t>(3), 157–162. https://doi.org/10.1055/s-0031-1295438</w:t>
      </w:r>
    </w:p>
    <w:p w14:paraId="407A7DE4"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Hansen, T. W., Kikuya, M., Thijs, L., Björklund-Bodegård, K., Kuznetsova, T., Ohkubo, T., Richart, T., Torp-Pedersen, C., Lind, L., Jeppesen, J., Ibsen, H., Imai, Y., &amp; Staessen, J. A. (2007). Prognostic superiority of daytime ambulatory over conventional blood pressure in four populations: A meta-analysis of 7030 individuals. </w:t>
      </w:r>
      <w:r w:rsidRPr="00CC5373">
        <w:rPr>
          <w:rFonts w:ascii="Times New Roman" w:hAnsi="Times New Roman" w:cs="Times New Roman"/>
          <w:i/>
          <w:iCs/>
          <w:noProof/>
          <w:kern w:val="0"/>
        </w:rPr>
        <w:t>Journal of Hypertension</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25</w:t>
      </w:r>
      <w:r w:rsidRPr="00CC5373">
        <w:rPr>
          <w:rFonts w:ascii="Times New Roman" w:hAnsi="Times New Roman" w:cs="Times New Roman"/>
          <w:noProof/>
          <w:kern w:val="0"/>
        </w:rPr>
        <w:t>(8), 1554–1564. https://doi.org/10.1097/HJH.0b013e3281c49da5</w:t>
      </w:r>
    </w:p>
    <w:p w14:paraId="363C5AB6"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Hasson, D., &amp; Villaume, K. (2024). Incivility is systematically associated with indicators of health, stress, well-being, and the psychosocial work environment. </w:t>
      </w:r>
      <w:r w:rsidRPr="00CC5373">
        <w:rPr>
          <w:rFonts w:ascii="Times New Roman" w:hAnsi="Times New Roman" w:cs="Times New Roman"/>
          <w:i/>
          <w:iCs/>
          <w:noProof/>
          <w:kern w:val="0"/>
        </w:rPr>
        <w:lastRenderedPageBreak/>
        <w:t>Journal of Public Health (Germany)</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0123456789</w:t>
      </w:r>
      <w:r w:rsidRPr="00CC5373">
        <w:rPr>
          <w:rFonts w:ascii="Times New Roman" w:hAnsi="Times New Roman" w:cs="Times New Roman"/>
          <w:noProof/>
          <w:kern w:val="0"/>
        </w:rPr>
        <w:t>. https://doi.org/10.1007/s10389-024-02277-0</w:t>
      </w:r>
    </w:p>
    <w:p w14:paraId="4470CB83"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Heidari, N., Heidari, P., Salari, N., Akbari, H., &amp; Mohammadi, M. (2022). A systematic review on risk factors and protective factors related to Parkinson’s disease. </w:t>
      </w:r>
      <w:r w:rsidRPr="00CC5373">
        <w:rPr>
          <w:rFonts w:ascii="Times New Roman" w:hAnsi="Times New Roman" w:cs="Times New Roman"/>
          <w:i/>
          <w:iCs/>
          <w:noProof/>
          <w:kern w:val="0"/>
        </w:rPr>
        <w:t>Tehran University Medical Journal</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79</w:t>
      </w:r>
      <w:r w:rsidRPr="00CC5373">
        <w:rPr>
          <w:rFonts w:ascii="Times New Roman" w:hAnsi="Times New Roman" w:cs="Times New Roman"/>
          <w:noProof/>
          <w:kern w:val="0"/>
        </w:rPr>
        <w:t>(12), 925–933.</w:t>
      </w:r>
    </w:p>
    <w:p w14:paraId="363C40CC"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Heidari, N., Rajati, F., Heidari, P., &amp; Rajati, M. (2025). Lifestyle modification intervention among pregnant women with hypertension based on the self-determination theory using M-Health. </w:t>
      </w:r>
      <w:r w:rsidRPr="00CC5373">
        <w:rPr>
          <w:rFonts w:ascii="Times New Roman" w:hAnsi="Times New Roman" w:cs="Times New Roman"/>
          <w:i/>
          <w:iCs/>
          <w:noProof/>
          <w:kern w:val="0"/>
        </w:rPr>
        <w:t>Frontiers in Public Health</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13</w:t>
      </w:r>
      <w:r w:rsidRPr="00CC5373">
        <w:rPr>
          <w:rFonts w:ascii="Times New Roman" w:hAnsi="Times New Roman" w:cs="Times New Roman"/>
          <w:noProof/>
          <w:kern w:val="0"/>
        </w:rPr>
        <w:t>(June). https://doi.org/10.3389/fpubh.2025.1495281</w:t>
      </w:r>
    </w:p>
    <w:p w14:paraId="408EB4A4"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Hofmeyr, G. J., Seuc, A. H., Betrán, A. P., Purnat, T. D., Ciganda, A., Munjanja, S. P., Manyame, S., Singata, M., Fawcus, S., Frank, K., Hall, D. R., Cormick, G., Roberts, J. M., Bergel, E. F., Drebit, S. K., Von Dadelszen, P., &amp; Belizan, J. M. (2015). The effect of calcium supplementation on blood pressure in non-pregnant women with previous pre-eclampsia: An exploratory, randomized placebo controlled study. </w:t>
      </w:r>
      <w:r w:rsidRPr="00CC5373">
        <w:rPr>
          <w:rFonts w:ascii="Times New Roman" w:hAnsi="Times New Roman" w:cs="Times New Roman"/>
          <w:i/>
          <w:iCs/>
          <w:noProof/>
          <w:kern w:val="0"/>
        </w:rPr>
        <w:t>Pregnancy Hypertension</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5</w:t>
      </w:r>
      <w:r w:rsidRPr="00CC5373">
        <w:rPr>
          <w:rFonts w:ascii="Times New Roman" w:hAnsi="Times New Roman" w:cs="Times New Roman"/>
          <w:noProof/>
          <w:kern w:val="0"/>
        </w:rPr>
        <w:t>(4), 273–279. https://doi.org/10.1016/j.preghy.2015.04.001</w:t>
      </w:r>
    </w:p>
    <w:p w14:paraId="3DB4CBF3"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House, D. T., &amp; Ramirez, E. G. (2008). Emergency management of asthma exacerbations. </w:t>
      </w:r>
      <w:r w:rsidRPr="00CC5373">
        <w:rPr>
          <w:rFonts w:ascii="Times New Roman" w:hAnsi="Times New Roman" w:cs="Times New Roman"/>
          <w:i/>
          <w:iCs/>
          <w:noProof/>
          <w:kern w:val="0"/>
        </w:rPr>
        <w:t>Advanced Emergency Nursing Journal</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30</w:t>
      </w:r>
      <w:r w:rsidRPr="00CC5373">
        <w:rPr>
          <w:rFonts w:ascii="Times New Roman" w:hAnsi="Times New Roman" w:cs="Times New Roman"/>
          <w:noProof/>
          <w:kern w:val="0"/>
        </w:rPr>
        <w:t>(2), 122–138. https://doi.org/10.1097/01.TME.0000319923.74602.9c</w:t>
      </w:r>
    </w:p>
    <w:p w14:paraId="5C00F0FB"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Hung, T. H., Chen, S. F., Hsu, J. J., &amp; Hsieh, T. T. an. (2015). Gestational weight gain and risks for adverse perinatal outcomes: A retrospective cohort study based on the 2009 Institute of Medicine guidelines. </w:t>
      </w:r>
      <w:r w:rsidRPr="00CC5373">
        <w:rPr>
          <w:rFonts w:ascii="Times New Roman" w:hAnsi="Times New Roman" w:cs="Times New Roman"/>
          <w:i/>
          <w:iCs/>
          <w:noProof/>
          <w:kern w:val="0"/>
        </w:rPr>
        <w:t>Taiwanese Journal of Obstetrics and Gynecology</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54</w:t>
      </w:r>
      <w:r w:rsidRPr="00CC5373">
        <w:rPr>
          <w:rFonts w:ascii="Times New Roman" w:hAnsi="Times New Roman" w:cs="Times New Roman"/>
          <w:noProof/>
          <w:kern w:val="0"/>
        </w:rPr>
        <w:t>(4), 421–425. https://doi.org/10.1016/j.tjog.2015.06.010</w:t>
      </w:r>
    </w:p>
    <w:p w14:paraId="2B29C6DE"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Hutabarat, M., Wibowo, N., &amp; Huppertz, B. (2017). The trophoblast survival capacity in preeclampsia. </w:t>
      </w:r>
      <w:r w:rsidRPr="00CC5373">
        <w:rPr>
          <w:rFonts w:ascii="Times New Roman" w:hAnsi="Times New Roman" w:cs="Times New Roman"/>
          <w:i/>
          <w:iCs/>
          <w:noProof/>
          <w:kern w:val="0"/>
        </w:rPr>
        <w:t>PLoS ONE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12</w:t>
      </w:r>
      <w:r w:rsidRPr="00CC5373">
        <w:rPr>
          <w:rFonts w:ascii="Times New Roman" w:hAnsi="Times New Roman" w:cs="Times New Roman"/>
          <w:noProof/>
          <w:kern w:val="0"/>
        </w:rPr>
        <w:t>(11), 1–21. https://doi.org/10.1371/journal.pone.0186909</w:t>
      </w:r>
    </w:p>
    <w:p w14:paraId="7CBF0BE2"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Hypertension, G. (2020). Gestational Hypertension and Preeclampsia: ACOG Practice Bulletin Summary, Number 222. </w:t>
      </w:r>
      <w:r w:rsidRPr="00CC5373">
        <w:rPr>
          <w:rFonts w:ascii="Times New Roman" w:hAnsi="Times New Roman" w:cs="Times New Roman"/>
          <w:i/>
          <w:iCs/>
          <w:noProof/>
          <w:kern w:val="0"/>
        </w:rPr>
        <w:t>Obstetrics and Gynecology</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135</w:t>
      </w:r>
      <w:r w:rsidRPr="00CC5373">
        <w:rPr>
          <w:rFonts w:ascii="Times New Roman" w:hAnsi="Times New Roman" w:cs="Times New Roman"/>
          <w:noProof/>
          <w:kern w:val="0"/>
        </w:rPr>
        <w:t>(6), 1492–1495. https://doi.org/10.1097/AOG.0000000000003892</w:t>
      </w:r>
    </w:p>
    <w:p w14:paraId="4837EA1E"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Irwinda, R., Hiksas, R., Siregar, A. A., Saroyo, Y. B., &amp; Wibowo, N. (2021). Long-chain polyunsaturated fatty acid (LC-PUFA) status in severe preeclampsia and preterm birth: a cross sectional study. </w:t>
      </w:r>
      <w:r w:rsidRPr="00CC5373">
        <w:rPr>
          <w:rFonts w:ascii="Times New Roman" w:hAnsi="Times New Roman" w:cs="Times New Roman"/>
          <w:i/>
          <w:iCs/>
          <w:noProof/>
          <w:kern w:val="0"/>
        </w:rPr>
        <w:t>Scientific Reports</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11</w:t>
      </w:r>
      <w:r w:rsidRPr="00CC5373">
        <w:rPr>
          <w:rFonts w:ascii="Times New Roman" w:hAnsi="Times New Roman" w:cs="Times New Roman"/>
          <w:noProof/>
          <w:kern w:val="0"/>
        </w:rPr>
        <w:t>(1), 1–11. https://doi.org/10.1038/s41598-021-93846-w</w:t>
      </w:r>
    </w:p>
    <w:p w14:paraId="241D550C"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lastRenderedPageBreak/>
        <w:t xml:space="preserve">Ives, C. W., Sinkey, R., Rajapreyar, I., Tita, A. T. N., &amp; Oparil, S. (2020). Preeclampsia—Pathophysiology and Clinical Presentations: JACC State-of-the-Art Review. </w:t>
      </w:r>
      <w:r w:rsidRPr="00CC5373">
        <w:rPr>
          <w:rFonts w:ascii="Times New Roman" w:hAnsi="Times New Roman" w:cs="Times New Roman"/>
          <w:i/>
          <w:iCs/>
          <w:noProof/>
          <w:kern w:val="0"/>
        </w:rPr>
        <w:t>Journal of the American College of Cardiology</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76</w:t>
      </w:r>
      <w:r w:rsidRPr="00CC5373">
        <w:rPr>
          <w:rFonts w:ascii="Times New Roman" w:hAnsi="Times New Roman" w:cs="Times New Roman"/>
          <w:noProof/>
          <w:kern w:val="0"/>
        </w:rPr>
        <w:t>(14), 1690–1702. https://doi.org/10.1016/j.jacc.2020.08.014</w:t>
      </w:r>
    </w:p>
    <w:p w14:paraId="1454602A"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Janoray, G., Reynaud-Bougnoux, A., Ruffier-Loubière, A., Bernadou, G., Pointreau, Y., &amp; Calais, G. (2016). Ré-irradiation stéréotaxique robotisée de récidive locale de cancer de prostate après radiothérapie externe : résultats préliminaires. </w:t>
      </w:r>
      <w:r w:rsidRPr="00CC5373">
        <w:rPr>
          <w:rFonts w:ascii="Times New Roman" w:hAnsi="Times New Roman" w:cs="Times New Roman"/>
          <w:i/>
          <w:iCs/>
          <w:noProof/>
          <w:kern w:val="0"/>
        </w:rPr>
        <w:t>Cancer/Radiotherapie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20</w:t>
      </w:r>
      <w:r w:rsidRPr="00CC5373">
        <w:rPr>
          <w:rFonts w:ascii="Times New Roman" w:hAnsi="Times New Roman" w:cs="Times New Roman"/>
          <w:noProof/>
          <w:kern w:val="0"/>
        </w:rPr>
        <w:t>(4), 275–281. https://doi.org/10.1016/j.canrad.2016.03.005</w:t>
      </w:r>
    </w:p>
    <w:p w14:paraId="03F9E495"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Johnson, H. M. (2019). Anxiety and Hypertension: Is There a Link? A Literature Review of the Comorbidity Relationship Between Anxiety and Hypertension. </w:t>
      </w:r>
      <w:r w:rsidRPr="00CC5373">
        <w:rPr>
          <w:rFonts w:ascii="Times New Roman" w:hAnsi="Times New Roman" w:cs="Times New Roman"/>
          <w:i/>
          <w:iCs/>
          <w:noProof/>
          <w:kern w:val="0"/>
        </w:rPr>
        <w:t>Current Hypertension Reports</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21</w:t>
      </w:r>
      <w:r w:rsidRPr="00CC5373">
        <w:rPr>
          <w:rFonts w:ascii="Times New Roman" w:hAnsi="Times New Roman" w:cs="Times New Roman"/>
          <w:noProof/>
          <w:kern w:val="0"/>
        </w:rPr>
        <w:t>(9), 22–26. https://doi.org/10.1007/s11906-019-0972-5</w:t>
      </w:r>
    </w:p>
    <w:p w14:paraId="24C2D9E2"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Kalinowski, J., Kaur, K., Newsome-Garcia, V., Langford, A., Kalejaiye, A., Vieira, D., Izeogu, C., Blanc, J., Taylor, J., Ogedegbe, O., &amp; Spruill, T. (2021). Stress interventions and hypertension in Black women. </w:t>
      </w:r>
      <w:r w:rsidRPr="00CC5373">
        <w:rPr>
          <w:rFonts w:ascii="Times New Roman" w:hAnsi="Times New Roman" w:cs="Times New Roman"/>
          <w:i/>
          <w:iCs/>
          <w:noProof/>
          <w:kern w:val="0"/>
        </w:rPr>
        <w:t>Women’s Health</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17</w:t>
      </w:r>
      <w:r w:rsidRPr="00CC5373">
        <w:rPr>
          <w:rFonts w:ascii="Times New Roman" w:hAnsi="Times New Roman" w:cs="Times New Roman"/>
          <w:noProof/>
          <w:kern w:val="0"/>
        </w:rPr>
        <w:t>. https://doi.org/10.1177/17455065211009751</w:t>
      </w:r>
    </w:p>
    <w:p w14:paraId="622D7DF4"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Kamravamanesh, M., Kohan, S., Rezavand, N., &amp; Farajzadegan, Z. (2018). A comprehensive postpartum follow-up health care program for women with history of preeclampsia: Protocol for a mixed methods research. </w:t>
      </w:r>
      <w:r w:rsidRPr="00CC5373">
        <w:rPr>
          <w:rFonts w:ascii="Times New Roman" w:hAnsi="Times New Roman" w:cs="Times New Roman"/>
          <w:i/>
          <w:iCs/>
          <w:noProof/>
          <w:kern w:val="0"/>
        </w:rPr>
        <w:t>Reproductive Health</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15</w:t>
      </w:r>
      <w:r w:rsidRPr="00CC5373">
        <w:rPr>
          <w:rFonts w:ascii="Times New Roman" w:hAnsi="Times New Roman" w:cs="Times New Roman"/>
          <w:noProof/>
          <w:kern w:val="0"/>
        </w:rPr>
        <w:t>(1), 1–8. https://doi.org/10.1186/s12978-018-0521-8</w:t>
      </w:r>
    </w:p>
    <w:p w14:paraId="0645E517"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Karalexi, M. A., Frisell, T., Cnattingius, S., Holmberg, D., Holmberg, M., Kollia, N., Skalkidou, A., &amp; Papadopoulos, F. C. (2022). Cardiovascular outcomes in transgender individuals in Sweden after initiation of gender-affirming hormone therapy. </w:t>
      </w:r>
      <w:r w:rsidRPr="00CC5373">
        <w:rPr>
          <w:rFonts w:ascii="Times New Roman" w:hAnsi="Times New Roman" w:cs="Times New Roman"/>
          <w:i/>
          <w:iCs/>
          <w:noProof/>
          <w:kern w:val="0"/>
        </w:rPr>
        <w:t>European Journal of Preventive Cardiology</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29</w:t>
      </w:r>
      <w:r w:rsidRPr="00CC5373">
        <w:rPr>
          <w:rFonts w:ascii="Times New Roman" w:hAnsi="Times New Roman" w:cs="Times New Roman"/>
          <w:noProof/>
          <w:kern w:val="0"/>
        </w:rPr>
        <w:t>(15), 2017–2026. https://doi.org/10.1093/eurjpc/zwac133</w:t>
      </w:r>
    </w:p>
    <w:p w14:paraId="427268F7"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Kaushik, S., &amp; Singh, N. (2025). </w:t>
      </w:r>
      <w:r w:rsidRPr="00CC5373">
        <w:rPr>
          <w:rFonts w:ascii="Times New Roman" w:hAnsi="Times New Roman" w:cs="Times New Roman"/>
          <w:i/>
          <w:iCs/>
          <w:noProof/>
          <w:kern w:val="0"/>
        </w:rPr>
        <w:t>Urban-Rural Disparities In Anemia Prevalence Among Primary School Children . A Study Of Bulandshahr District In Context Of Mid-Day Meal Scheme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11</w:t>
      </w:r>
      <w:r w:rsidRPr="00CC5373">
        <w:rPr>
          <w:rFonts w:ascii="Times New Roman" w:hAnsi="Times New Roman" w:cs="Times New Roman"/>
          <w:noProof/>
          <w:kern w:val="0"/>
        </w:rPr>
        <w:t>(18), 1305–1313.</w:t>
      </w:r>
    </w:p>
    <w:p w14:paraId="3A319BC1"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Kucharska, A., Gajewska, D., Kiedrowski, M., Sińska, B., Juszczyk, G., Czerw, A., Augustynowicz, A., Bobiński, K., Deptała, A., &amp; Niegowska, J. (2018). The impact of individualised nutritional therapy according to DASH diet on blood pressure, body mass, and selected biochemical parameters in overweight/obese patients with primary arterial hypertension: a prospective randomised study. </w:t>
      </w:r>
      <w:r w:rsidRPr="00CC5373">
        <w:rPr>
          <w:rFonts w:ascii="Times New Roman" w:hAnsi="Times New Roman" w:cs="Times New Roman"/>
          <w:i/>
          <w:iCs/>
          <w:noProof/>
          <w:kern w:val="0"/>
        </w:rPr>
        <w:lastRenderedPageBreak/>
        <w:t>Kardiologia Polska</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76</w:t>
      </w:r>
      <w:r w:rsidRPr="00CC5373">
        <w:rPr>
          <w:rFonts w:ascii="Times New Roman" w:hAnsi="Times New Roman" w:cs="Times New Roman"/>
          <w:noProof/>
          <w:kern w:val="0"/>
        </w:rPr>
        <w:t>(1), 158–165. https://doi.org/10.5603/KP.a2017.0184</w:t>
      </w:r>
    </w:p>
    <w:p w14:paraId="1C3114A8"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Lee, C. C., Enzler, C. J., Garland, B. H., Zimmerman, C. J., Raphael, J. L., Hergenroeder, A. C., &amp; Wiemann, C. M. (2021). The Development of Health Self-Management Among Adolescents With Chronic Conditions: An Application of Self-Determination Theory. </w:t>
      </w:r>
      <w:r w:rsidRPr="00CC5373">
        <w:rPr>
          <w:rFonts w:ascii="Times New Roman" w:hAnsi="Times New Roman" w:cs="Times New Roman"/>
          <w:i/>
          <w:iCs/>
          <w:noProof/>
          <w:kern w:val="0"/>
        </w:rPr>
        <w:t>Journal of Adolescent Health</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68</w:t>
      </w:r>
      <w:r w:rsidRPr="00CC5373">
        <w:rPr>
          <w:rFonts w:ascii="Times New Roman" w:hAnsi="Times New Roman" w:cs="Times New Roman"/>
          <w:noProof/>
          <w:kern w:val="0"/>
        </w:rPr>
        <w:t>(2), 394–402. https://doi.org/10.1016/j.jadohealth.2020.05.053</w:t>
      </w:r>
    </w:p>
    <w:p w14:paraId="21F226D5"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Lemaitre, R. N., Weiss, N. S., Smith, N. L., Psaty, B. M., Lumley, T., Larson, E. B., &amp; Heckbert, S. R. (2006). Esterified estrogen and conjugated equine estrogen and the risk of incident myocardial infarction and stroke. </w:t>
      </w:r>
      <w:r w:rsidRPr="00CC5373">
        <w:rPr>
          <w:rFonts w:ascii="Times New Roman" w:hAnsi="Times New Roman" w:cs="Times New Roman"/>
          <w:i/>
          <w:iCs/>
          <w:noProof/>
          <w:kern w:val="0"/>
        </w:rPr>
        <w:t>Archives of Internal Medicine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166</w:t>
      </w:r>
      <w:r w:rsidRPr="00CC5373">
        <w:rPr>
          <w:rFonts w:ascii="Times New Roman" w:hAnsi="Times New Roman" w:cs="Times New Roman"/>
          <w:noProof/>
          <w:kern w:val="0"/>
        </w:rPr>
        <w:t>(4), 399–404. https://doi.org/10.1001/archinte.166.4.399</w:t>
      </w:r>
    </w:p>
    <w:p w14:paraId="61C87CE3"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Letras, S. R. De. (2005). </w:t>
      </w:r>
      <w:r w:rsidRPr="00CC5373">
        <w:rPr>
          <w:rFonts w:ascii="Times New Roman" w:hAnsi="Times New Roman" w:cs="Times New Roman"/>
          <w:i/>
          <w:iCs/>
          <w:noProof/>
          <w:kern w:val="0"/>
        </w:rPr>
        <w:t>Author ( s ): Massimo Cacciari</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45</w:t>
      </w:r>
      <w:r w:rsidRPr="00CC5373">
        <w:rPr>
          <w:rFonts w:ascii="Times New Roman" w:hAnsi="Times New Roman" w:cs="Times New Roman"/>
          <w:noProof/>
          <w:kern w:val="0"/>
        </w:rPr>
        <w:t>(1), 13–22.</w:t>
      </w:r>
    </w:p>
    <w:p w14:paraId="636C038E"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Lindsey, S. H. (2014). Importance of estrogen metabolites. </w:t>
      </w:r>
      <w:r w:rsidRPr="00CC5373">
        <w:rPr>
          <w:rFonts w:ascii="Times New Roman" w:hAnsi="Times New Roman" w:cs="Times New Roman"/>
          <w:i/>
          <w:iCs/>
          <w:noProof/>
          <w:kern w:val="0"/>
        </w:rPr>
        <w:t>Hypertension</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64</w:t>
      </w:r>
      <w:r w:rsidRPr="00CC5373">
        <w:rPr>
          <w:rFonts w:ascii="Times New Roman" w:hAnsi="Times New Roman" w:cs="Times New Roman"/>
          <w:noProof/>
          <w:kern w:val="0"/>
        </w:rPr>
        <w:t>(1), 21–22. https://doi.org/10.1161/HYPERTENSIONAHA.114.03382</w:t>
      </w:r>
    </w:p>
    <w:p w14:paraId="41D1386D"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Magee, L. A., Brown, M. A., Hall, D. R., Gupte, S., Hennessy, A., Karumanchi, S. A., Kenny, L. C., McCarthy, F., Myers, J., Poon, L. C., Rana, S., Saito, S., Staff, A. C., Tsigas, E., &amp; von Dadelszen, P. (2022). The 2021 International Society for the Study of Hypertension in Pregnancy classification, diagnosis &amp; management recommendations for international practice. </w:t>
      </w:r>
      <w:r w:rsidRPr="00CC5373">
        <w:rPr>
          <w:rFonts w:ascii="Times New Roman" w:hAnsi="Times New Roman" w:cs="Times New Roman"/>
          <w:i/>
          <w:iCs/>
          <w:noProof/>
          <w:kern w:val="0"/>
        </w:rPr>
        <w:t>Pregnancy Hypertension</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27</w:t>
      </w:r>
      <w:r w:rsidRPr="00CC5373">
        <w:rPr>
          <w:rFonts w:ascii="Times New Roman" w:hAnsi="Times New Roman" w:cs="Times New Roman"/>
          <w:noProof/>
          <w:kern w:val="0"/>
        </w:rPr>
        <w:t>(October 2021), 148–169. https://doi.org/10.1016/j.preghy.2021.09.008</w:t>
      </w:r>
    </w:p>
    <w:p w14:paraId="126E7F46"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Majali, T. G., Gcaza, N. I., &amp; Gcaza, X. (2025). Organisational justice: Moderating turnover intention and citizenship behaviour in Eastern Cape nurses. </w:t>
      </w:r>
      <w:r w:rsidRPr="00CC5373">
        <w:rPr>
          <w:rFonts w:ascii="Times New Roman" w:hAnsi="Times New Roman" w:cs="Times New Roman"/>
          <w:i/>
          <w:iCs/>
          <w:noProof/>
          <w:kern w:val="0"/>
        </w:rPr>
        <w:t>SA Journal of Industrial Psychology</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51</w:t>
      </w:r>
      <w:r w:rsidRPr="00CC5373">
        <w:rPr>
          <w:rFonts w:ascii="Times New Roman" w:hAnsi="Times New Roman" w:cs="Times New Roman"/>
          <w:noProof/>
          <w:kern w:val="0"/>
        </w:rPr>
        <w:t>, 1–10. https://doi.org/10.4102/sajip.v51i0.2232</w:t>
      </w:r>
    </w:p>
    <w:p w14:paraId="34155375"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Mansour, A. A., &amp; Ajeel, N. A. H. (2009). Parity is associated with increased waist circumference and other anthropometric indices of obesity. </w:t>
      </w:r>
      <w:r w:rsidRPr="00CC5373">
        <w:rPr>
          <w:rFonts w:ascii="Times New Roman" w:hAnsi="Times New Roman" w:cs="Times New Roman"/>
          <w:i/>
          <w:iCs/>
          <w:noProof/>
          <w:kern w:val="0"/>
        </w:rPr>
        <w:t>Eating and Weight Disorders</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14</w:t>
      </w:r>
      <w:r w:rsidRPr="00CC5373">
        <w:rPr>
          <w:rFonts w:ascii="Times New Roman" w:hAnsi="Times New Roman" w:cs="Times New Roman"/>
          <w:noProof/>
          <w:kern w:val="0"/>
        </w:rPr>
        <w:t>(2–3). https://doi.org/10.1007/BF03327800</w:t>
      </w:r>
    </w:p>
    <w:p w14:paraId="312F7DBB"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Martinez-Martin, F. J., Kuzior, A., Hernandez-Lazaro, A., de Leon-Durango, R. J., Rios-Gomez, C., Santana-Ojeda, B., Perez-Rivero, J. M., Fernandez-Trujillo-Comenge, P. M., Gonzalez-Diaz, P., Arnas-Leon, C., Acosta-Calero, C., Perdomo-Herrera, E., Tocino-Hernandez, A. L., del Sol Sanchez-Bacaicoa, M., &amp; del Pino Perez-Garcia, M. (2023). Incidence of hypertension in young transgender people after a 5-year follow-up: association with gender-affirming hormonal therapy. </w:t>
      </w:r>
      <w:r w:rsidRPr="00CC5373">
        <w:rPr>
          <w:rFonts w:ascii="Times New Roman" w:hAnsi="Times New Roman" w:cs="Times New Roman"/>
          <w:i/>
          <w:iCs/>
          <w:noProof/>
          <w:kern w:val="0"/>
        </w:rPr>
        <w:t>Hypertension Research</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46</w:t>
      </w:r>
      <w:r w:rsidRPr="00CC5373">
        <w:rPr>
          <w:rFonts w:ascii="Times New Roman" w:hAnsi="Times New Roman" w:cs="Times New Roman"/>
          <w:noProof/>
          <w:kern w:val="0"/>
        </w:rPr>
        <w:t xml:space="preserve">(1), 219–225. </w:t>
      </w:r>
      <w:r w:rsidRPr="00CC5373">
        <w:rPr>
          <w:rFonts w:ascii="Times New Roman" w:hAnsi="Times New Roman" w:cs="Times New Roman"/>
          <w:noProof/>
          <w:kern w:val="0"/>
        </w:rPr>
        <w:lastRenderedPageBreak/>
        <w:t>https://doi.org/10.1038/s41440-022-01067-z</w:t>
      </w:r>
    </w:p>
    <w:p w14:paraId="05F73AB1"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Milani, R. V., Price-Haywood, E. G., Burton, J. H., Wilt, J., Entwisle, J., &amp; Lavie, C. J. (2022). Racial Differences and Social Determinants of Health in Achieving Hypertension Control. </w:t>
      </w:r>
      <w:r w:rsidRPr="00CC5373">
        <w:rPr>
          <w:rFonts w:ascii="Times New Roman" w:hAnsi="Times New Roman" w:cs="Times New Roman"/>
          <w:i/>
          <w:iCs/>
          <w:noProof/>
          <w:kern w:val="0"/>
        </w:rPr>
        <w:t>Mayo Clinic Proceedings</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97</w:t>
      </w:r>
      <w:r w:rsidRPr="00CC5373">
        <w:rPr>
          <w:rFonts w:ascii="Times New Roman" w:hAnsi="Times New Roman" w:cs="Times New Roman"/>
          <w:noProof/>
          <w:kern w:val="0"/>
        </w:rPr>
        <w:t>(8), 1462–1471. https://doi.org/10.1016/j.mayocp.2022.01.035</w:t>
      </w:r>
    </w:p>
    <w:p w14:paraId="78933DE9"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Mori, T. A., Burke, V., Beilin, L. J., &amp; Puddey, I. B. (2015). Randomized Controlled Intervention of the Effects of Alcohol on Blood Pressure in Premenopausal Women. </w:t>
      </w:r>
      <w:r w:rsidRPr="00CC5373">
        <w:rPr>
          <w:rFonts w:ascii="Times New Roman" w:hAnsi="Times New Roman" w:cs="Times New Roman"/>
          <w:i/>
          <w:iCs/>
          <w:noProof/>
          <w:kern w:val="0"/>
        </w:rPr>
        <w:t>Hypertension</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66</w:t>
      </w:r>
      <w:r w:rsidRPr="00CC5373">
        <w:rPr>
          <w:rFonts w:ascii="Times New Roman" w:hAnsi="Times New Roman" w:cs="Times New Roman"/>
          <w:noProof/>
          <w:kern w:val="0"/>
        </w:rPr>
        <w:t>(3), 517–523. https://doi.org/10.1161/HYPERTENSIONAHA.115.05773</w:t>
      </w:r>
    </w:p>
    <w:p w14:paraId="43BB1AE4"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Nadeem, M., Javed, K., Abid, H. M. R., Hussain, A., &amp; Khalid, N. (2025). A Review of Dietary and Lifestyle Management of Pre-Eclampsia and Postpartum Eclampsia. </w:t>
      </w:r>
      <w:r w:rsidRPr="00CC5373">
        <w:rPr>
          <w:rFonts w:ascii="Times New Roman" w:hAnsi="Times New Roman" w:cs="Times New Roman"/>
          <w:i/>
          <w:iCs/>
          <w:noProof/>
          <w:kern w:val="0"/>
        </w:rPr>
        <w:t>Preventive Nutrition and Food Science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30</w:t>
      </w:r>
      <w:r w:rsidRPr="00CC5373">
        <w:rPr>
          <w:rFonts w:ascii="Times New Roman" w:hAnsi="Times New Roman" w:cs="Times New Roman"/>
          <w:noProof/>
          <w:kern w:val="0"/>
        </w:rPr>
        <w:t>(1), 1–20. https://doi.org/10.3746/pnf.2025.30.1.1</w:t>
      </w:r>
    </w:p>
    <w:p w14:paraId="7C03716B"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Nieto, F. J., Young, T. B., Lind, B. K., Redline, S., Agostino, R. B. D., Newman, A. B., Lebowitz, M. D., &amp; Pickering, T. G. (2000). Association of Sleep-Disordered Breathing, Sleep Apnea, and Hypertension in a Large Community-Based Study for the Sleep Heart Health Study. </w:t>
      </w:r>
      <w:r w:rsidRPr="00CC5373">
        <w:rPr>
          <w:rFonts w:ascii="Times New Roman" w:hAnsi="Times New Roman" w:cs="Times New Roman"/>
          <w:i/>
          <w:iCs/>
          <w:noProof/>
          <w:kern w:val="0"/>
        </w:rPr>
        <w:t>Jama</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284</w:t>
      </w:r>
      <w:r w:rsidRPr="00CC5373">
        <w:rPr>
          <w:rFonts w:ascii="Times New Roman" w:hAnsi="Times New Roman" w:cs="Times New Roman"/>
          <w:noProof/>
          <w:kern w:val="0"/>
        </w:rPr>
        <w:t>(14), 1829–1836.</w:t>
      </w:r>
    </w:p>
    <w:p w14:paraId="2B2318D9"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Nobakht, N., Afshar, Y., Vaseghi, M., Li, Z., Donangelo, I., Lavretsky, H., Mok, T., Han, C. S., &amp; Nicholas, S. B. (2025). Hypertension Management in Women With a Multidisciplinary Approach. </w:t>
      </w:r>
      <w:r w:rsidRPr="00CC5373">
        <w:rPr>
          <w:rFonts w:ascii="Times New Roman" w:hAnsi="Times New Roman" w:cs="Times New Roman"/>
          <w:i/>
          <w:iCs/>
          <w:noProof/>
          <w:kern w:val="0"/>
        </w:rPr>
        <w:t>Mayo Clinic Proceedings</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100</w:t>
      </w:r>
      <w:r w:rsidRPr="00CC5373">
        <w:rPr>
          <w:rFonts w:ascii="Times New Roman" w:hAnsi="Times New Roman" w:cs="Times New Roman"/>
          <w:noProof/>
          <w:kern w:val="0"/>
        </w:rPr>
        <w:t>(3), 514–533. https://doi.org/10.1016/j.mayocp.2024.10.005</w:t>
      </w:r>
    </w:p>
    <w:p w14:paraId="7C7D03C9"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Ostchega, Y., Fryar, C. D., Nwankwo, T., &amp; Nguyen, D. T. (2020). Hypertension Prevalence Among Adults Aged 18 and Over: United States, 2017-2018. </w:t>
      </w:r>
      <w:r w:rsidRPr="00CC5373">
        <w:rPr>
          <w:rFonts w:ascii="Times New Roman" w:hAnsi="Times New Roman" w:cs="Times New Roman"/>
          <w:i/>
          <w:iCs/>
          <w:noProof/>
          <w:kern w:val="0"/>
        </w:rPr>
        <w:t>NCHS Data Brief</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364</w:t>
      </w:r>
      <w:r w:rsidRPr="00CC5373">
        <w:rPr>
          <w:rFonts w:ascii="Times New Roman" w:hAnsi="Times New Roman" w:cs="Times New Roman"/>
          <w:noProof/>
          <w:kern w:val="0"/>
        </w:rPr>
        <w:t>, 1–8.</w:t>
      </w:r>
    </w:p>
    <w:p w14:paraId="630736BF"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Pedrosa, R. P., Barros, I. M. L., Drager, L. F., Bittencourt, M. S., Medeiros, A. K. L., Carvalho, L. L., Lustosa, T. C., Carvalho, M. M. B., Ferreira, M. N. L., Lorenzi-Filho, G., &amp; Costa, L. O. B. F. (2014). OSA is common and independently associated with hypertension and increased arterial stiffness in consecutive perimenopausal women. </w:t>
      </w:r>
      <w:r w:rsidRPr="00CC5373">
        <w:rPr>
          <w:rFonts w:ascii="Times New Roman" w:hAnsi="Times New Roman" w:cs="Times New Roman"/>
          <w:i/>
          <w:iCs/>
          <w:noProof/>
          <w:kern w:val="0"/>
        </w:rPr>
        <w:t>Chest</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146</w:t>
      </w:r>
      <w:r w:rsidRPr="00CC5373">
        <w:rPr>
          <w:rFonts w:ascii="Times New Roman" w:hAnsi="Times New Roman" w:cs="Times New Roman"/>
          <w:noProof/>
          <w:kern w:val="0"/>
        </w:rPr>
        <w:t>(1), 66–72. https://doi.org/10.1378/chest.14-0097</w:t>
      </w:r>
    </w:p>
    <w:p w14:paraId="26CC19A0"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Pimenta, E. (2012). Hypertension in women. </w:t>
      </w:r>
      <w:r w:rsidRPr="00CC5373">
        <w:rPr>
          <w:rFonts w:ascii="Times New Roman" w:hAnsi="Times New Roman" w:cs="Times New Roman"/>
          <w:i/>
          <w:iCs/>
          <w:noProof/>
          <w:kern w:val="0"/>
        </w:rPr>
        <w:t>Hypertension Research</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35</w:t>
      </w:r>
      <w:r w:rsidRPr="00CC5373">
        <w:rPr>
          <w:rFonts w:ascii="Times New Roman" w:hAnsi="Times New Roman" w:cs="Times New Roman"/>
          <w:noProof/>
          <w:kern w:val="0"/>
        </w:rPr>
        <w:t>(2), 148–152. https://doi.org/10.1038/hr.2011.190</w:t>
      </w:r>
    </w:p>
    <w:p w14:paraId="7EFFD99A"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Pingili, A. K., Davidge, K. N., Thirunavukkarasu, S., Khan, N. S., Katsurada, A., Majid, D. S. A., Gonzalez, F. J., Navar, L. G., &amp; Malik, K. U. (2017). 2-</w:t>
      </w:r>
      <w:r w:rsidRPr="00CC5373">
        <w:rPr>
          <w:rFonts w:ascii="Times New Roman" w:hAnsi="Times New Roman" w:cs="Times New Roman"/>
          <w:noProof/>
          <w:kern w:val="0"/>
        </w:rPr>
        <w:lastRenderedPageBreak/>
        <w:t xml:space="preserve">Methoxyestradiol Reduces Angiotensin II-Induced Hypertension and Renal Dysfunction in Ovariectomized Female and Intact Male Mice. </w:t>
      </w:r>
      <w:r w:rsidRPr="00CC5373">
        <w:rPr>
          <w:rFonts w:ascii="Times New Roman" w:hAnsi="Times New Roman" w:cs="Times New Roman"/>
          <w:i/>
          <w:iCs/>
          <w:noProof/>
          <w:kern w:val="0"/>
        </w:rPr>
        <w:t>Hypertension</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69</w:t>
      </w:r>
      <w:r w:rsidRPr="00CC5373">
        <w:rPr>
          <w:rFonts w:ascii="Times New Roman" w:hAnsi="Times New Roman" w:cs="Times New Roman"/>
          <w:noProof/>
          <w:kern w:val="0"/>
        </w:rPr>
        <w:t>(6), 1104–1112. https://doi.org/10.1161/HYPERTENSIONAHA.117.09175</w:t>
      </w:r>
    </w:p>
    <w:p w14:paraId="384BD7EA"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Prescott, E., Osler, M., Hein, H. O., Borch-Johnsen, K., Schnohr, P., &amp; Vestbo, J. (1998). Life expectancy in Danish women and men related to smoking habits: Smoking may affect women more. </w:t>
      </w:r>
      <w:r w:rsidRPr="00CC5373">
        <w:rPr>
          <w:rFonts w:ascii="Times New Roman" w:hAnsi="Times New Roman" w:cs="Times New Roman"/>
          <w:i/>
          <w:iCs/>
          <w:noProof/>
          <w:kern w:val="0"/>
        </w:rPr>
        <w:t>Journal of Epidemiology and Community Health</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52</w:t>
      </w:r>
      <w:r w:rsidRPr="00CC5373">
        <w:rPr>
          <w:rFonts w:ascii="Times New Roman" w:hAnsi="Times New Roman" w:cs="Times New Roman"/>
          <w:noProof/>
          <w:kern w:val="0"/>
        </w:rPr>
        <w:t>(2), 131–132. https://doi.org/10.1136/jech.52.2.131</w:t>
      </w:r>
    </w:p>
    <w:p w14:paraId="50A7064C"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Rajati, F., Hamzeh, B., Pasdar, Y., Safari, R., Moradinazar, M., Shakiba, E., Bazargan-Hejazi, S., Karim, H., &amp; Najafi, F. (2019). Prevalence, awareness, treatment, and control of hypertension and their determinants: Results from the first cohort of non-communicable diseases in a Kurdish settlement. </w:t>
      </w:r>
      <w:r w:rsidRPr="00CC5373">
        <w:rPr>
          <w:rFonts w:ascii="Times New Roman" w:hAnsi="Times New Roman" w:cs="Times New Roman"/>
          <w:i/>
          <w:iCs/>
          <w:noProof/>
          <w:kern w:val="0"/>
        </w:rPr>
        <w:t>Scientific Reports</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9</w:t>
      </w:r>
      <w:r w:rsidRPr="00CC5373">
        <w:rPr>
          <w:rFonts w:ascii="Times New Roman" w:hAnsi="Times New Roman" w:cs="Times New Roman"/>
          <w:noProof/>
          <w:kern w:val="0"/>
        </w:rPr>
        <w:t>(1), 1–10. https://doi.org/10.1038/s41598-019-48232-y</w:t>
      </w:r>
    </w:p>
    <w:p w14:paraId="32A966BB"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Rehman, H., Kamal, A. K., Morris, P. B., Sayani, S., Merchant, A. T., &amp; Virani, S. S. (2017). Mobile Health (mHealth) Technology for the Management of Hypertension and Hyperlipidemia: Slow Start but Loads of Potential. </w:t>
      </w:r>
      <w:r w:rsidRPr="00CC5373">
        <w:rPr>
          <w:rFonts w:ascii="Times New Roman" w:hAnsi="Times New Roman" w:cs="Times New Roman"/>
          <w:i/>
          <w:iCs/>
          <w:noProof/>
          <w:kern w:val="0"/>
        </w:rPr>
        <w:t>Current Atherosclerosis Reports</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19</w:t>
      </w:r>
      <w:r w:rsidRPr="00CC5373">
        <w:rPr>
          <w:rFonts w:ascii="Times New Roman" w:hAnsi="Times New Roman" w:cs="Times New Roman"/>
          <w:noProof/>
          <w:kern w:val="0"/>
        </w:rPr>
        <w:t>(3). https://doi.org/10.1007/s11883-017-0649-y</w:t>
      </w:r>
    </w:p>
    <w:p w14:paraId="27D6D499"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Ritchey, M. D., Gillespie, C., Wozniak, G., Shay, C. M., Thompson-Paul, A. M., Loustalot, F., &amp; Hong, Y. (2018). Potential need for expanded pharmacologic treatment and lifestyle modification services under the 2017 ACC/AHA Hypertension Guideline. </w:t>
      </w:r>
      <w:r w:rsidRPr="00CC5373">
        <w:rPr>
          <w:rFonts w:ascii="Times New Roman" w:hAnsi="Times New Roman" w:cs="Times New Roman"/>
          <w:i/>
          <w:iCs/>
          <w:noProof/>
          <w:kern w:val="0"/>
        </w:rPr>
        <w:t>Journal of Clinical Hypertension</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20</w:t>
      </w:r>
      <w:r w:rsidRPr="00CC5373">
        <w:rPr>
          <w:rFonts w:ascii="Times New Roman" w:hAnsi="Times New Roman" w:cs="Times New Roman"/>
          <w:noProof/>
          <w:kern w:val="0"/>
        </w:rPr>
        <w:t>(10), 1377–1391. https://doi.org/10.1111/jch.13364</w:t>
      </w:r>
    </w:p>
    <w:p w14:paraId="77A6C20D"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Sabbatini, A. R., &amp; Kararigas, G. (2020). Estrogen-related mechanisms in sex differences of hypertension and target organ damage. </w:t>
      </w:r>
      <w:r w:rsidRPr="00CC5373">
        <w:rPr>
          <w:rFonts w:ascii="Times New Roman" w:hAnsi="Times New Roman" w:cs="Times New Roman"/>
          <w:i/>
          <w:iCs/>
          <w:noProof/>
          <w:kern w:val="0"/>
        </w:rPr>
        <w:t>Biology of Sex Differences</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11</w:t>
      </w:r>
      <w:r w:rsidRPr="00CC5373">
        <w:rPr>
          <w:rFonts w:ascii="Times New Roman" w:hAnsi="Times New Roman" w:cs="Times New Roman"/>
          <w:noProof/>
          <w:kern w:val="0"/>
        </w:rPr>
        <w:t>(1), 1–17. https://doi.org/10.1186/s13293-020-00306-7</w:t>
      </w:r>
    </w:p>
    <w:p w14:paraId="536F7012"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Sadakane, A., Tsutsumi, A., Gotoh, T., Ishikawa, S., Ojima, T., Kario, K., Nakamura, Y., Kayaba, K., Hashimoto, A., Kajii, E., Miyamoto, H., Akiyoshi, H., Yanagawa, H., Matsuo, H., Hiraoka, J., Tsutsumi, K., Kayaba, K., Kario, K., Shimada, K., … Nakamura, Y. (2008). Dietary patterns and levels of blood pressure and serum lipids in a Japanese population. </w:t>
      </w:r>
      <w:r w:rsidRPr="00CC5373">
        <w:rPr>
          <w:rFonts w:ascii="Times New Roman" w:hAnsi="Times New Roman" w:cs="Times New Roman"/>
          <w:i/>
          <w:iCs/>
          <w:noProof/>
          <w:kern w:val="0"/>
        </w:rPr>
        <w:t>Journal of Epidemiology</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18</w:t>
      </w:r>
      <w:r w:rsidRPr="00CC5373">
        <w:rPr>
          <w:rFonts w:ascii="Times New Roman" w:hAnsi="Times New Roman" w:cs="Times New Roman"/>
          <w:noProof/>
          <w:kern w:val="0"/>
        </w:rPr>
        <w:t>(2), 58–67. https://doi.org/10.2188/jea.18.58</w:t>
      </w:r>
    </w:p>
    <w:p w14:paraId="752B4C69"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Salpeter, S. R., Walsh, J. M. E., Greyber, E., &amp; Salpeter, E. E. (2006). Brief rport: Cronary heart disease events associated with hormone therapy in younger and older women - A meta-analysis. </w:t>
      </w:r>
      <w:r w:rsidRPr="00CC5373">
        <w:rPr>
          <w:rFonts w:ascii="Times New Roman" w:hAnsi="Times New Roman" w:cs="Times New Roman"/>
          <w:i/>
          <w:iCs/>
          <w:noProof/>
          <w:kern w:val="0"/>
        </w:rPr>
        <w:t>Journal of General Internal Medicine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21</w:t>
      </w:r>
      <w:r w:rsidRPr="00CC5373">
        <w:rPr>
          <w:rFonts w:ascii="Times New Roman" w:hAnsi="Times New Roman" w:cs="Times New Roman"/>
          <w:noProof/>
          <w:kern w:val="0"/>
        </w:rPr>
        <w:t>(4), 363–366. https://doi.org/10.1111/j.1525-1497.2006.00389.x</w:t>
      </w:r>
    </w:p>
    <w:p w14:paraId="191F4B3D"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lastRenderedPageBreak/>
        <w:t xml:space="preserve">Seraj, B., Shahrabi, M., Masoumi, S., Jabbarian, R., Manesh, A. A., &amp; Fini, M. B. (2019). Studying maxillary labial frenulum types and their effect on median diastema in 3–6-year-old children in Tehran kindergartens. </w:t>
      </w:r>
      <w:r w:rsidRPr="00CC5373">
        <w:rPr>
          <w:rFonts w:ascii="Times New Roman" w:hAnsi="Times New Roman" w:cs="Times New Roman"/>
          <w:i/>
          <w:iCs/>
          <w:noProof/>
          <w:kern w:val="0"/>
        </w:rPr>
        <w:t>World Journal of Dentistry</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10</w:t>
      </w:r>
      <w:r w:rsidRPr="00CC5373">
        <w:rPr>
          <w:rFonts w:ascii="Times New Roman" w:hAnsi="Times New Roman" w:cs="Times New Roman"/>
          <w:noProof/>
          <w:kern w:val="0"/>
        </w:rPr>
        <w:t>(2), 93–97. https://doi.org/10.5005/jp-journals-10015-1611</w:t>
      </w:r>
    </w:p>
    <w:p w14:paraId="609616A2"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Shrestha, N. (2020). Detecting Multicollinearity in Regression Analysis. </w:t>
      </w:r>
      <w:r w:rsidRPr="00CC5373">
        <w:rPr>
          <w:rFonts w:ascii="Times New Roman" w:hAnsi="Times New Roman" w:cs="Times New Roman"/>
          <w:i/>
          <w:iCs/>
          <w:noProof/>
          <w:kern w:val="0"/>
        </w:rPr>
        <w:t>American Journal of Applied Mathematics and Statistics</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8</w:t>
      </w:r>
      <w:r w:rsidRPr="00CC5373">
        <w:rPr>
          <w:rFonts w:ascii="Times New Roman" w:hAnsi="Times New Roman" w:cs="Times New Roman"/>
          <w:noProof/>
          <w:kern w:val="0"/>
        </w:rPr>
        <w:t>(2), 39–42. https://doi.org/10.12691/ajams-8-2-1</w:t>
      </w:r>
    </w:p>
    <w:p w14:paraId="78EF3CE2"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Song, S., Kim, J., &amp; Kim, J. (2018). Gender differences in the association between dietary pattern and the incidence of hypertension in middle-aged and older adults. </w:t>
      </w:r>
      <w:r w:rsidRPr="00CC5373">
        <w:rPr>
          <w:rFonts w:ascii="Times New Roman" w:hAnsi="Times New Roman" w:cs="Times New Roman"/>
          <w:i/>
          <w:iCs/>
          <w:noProof/>
          <w:kern w:val="0"/>
        </w:rPr>
        <w:t>Nutrients</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10</w:t>
      </w:r>
      <w:r w:rsidRPr="00CC5373">
        <w:rPr>
          <w:rFonts w:ascii="Times New Roman" w:hAnsi="Times New Roman" w:cs="Times New Roman"/>
          <w:noProof/>
          <w:kern w:val="0"/>
        </w:rPr>
        <w:t>(2). https://doi.org/10.3390/nu10020252</w:t>
      </w:r>
    </w:p>
    <w:p w14:paraId="0CFFA9DC"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Spruill, T. M. (2010). Chronic psychosocial stress and hypertension. </w:t>
      </w:r>
      <w:r w:rsidRPr="00CC5373">
        <w:rPr>
          <w:rFonts w:ascii="Times New Roman" w:hAnsi="Times New Roman" w:cs="Times New Roman"/>
          <w:i/>
          <w:iCs/>
          <w:noProof/>
          <w:kern w:val="0"/>
        </w:rPr>
        <w:t>Current Hypertension Reports</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12</w:t>
      </w:r>
      <w:r w:rsidRPr="00CC5373">
        <w:rPr>
          <w:rFonts w:ascii="Times New Roman" w:hAnsi="Times New Roman" w:cs="Times New Roman"/>
          <w:noProof/>
          <w:kern w:val="0"/>
        </w:rPr>
        <w:t>(1), 10–16. https://doi.org/10.1007/s11906-009-0084-8</w:t>
      </w:r>
    </w:p>
    <w:p w14:paraId="472404DC"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Srivaratharajah, K., &amp; Abramson, B. L. (2019). Hypertension in menopausal women: The effect and role of estrogen. </w:t>
      </w:r>
      <w:r w:rsidRPr="00CC5373">
        <w:rPr>
          <w:rFonts w:ascii="Times New Roman" w:hAnsi="Times New Roman" w:cs="Times New Roman"/>
          <w:i/>
          <w:iCs/>
          <w:noProof/>
          <w:kern w:val="0"/>
        </w:rPr>
        <w:t>Menopause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26</w:t>
      </w:r>
      <w:r w:rsidRPr="00CC5373">
        <w:rPr>
          <w:rFonts w:ascii="Times New Roman" w:hAnsi="Times New Roman" w:cs="Times New Roman"/>
          <w:noProof/>
          <w:kern w:val="0"/>
        </w:rPr>
        <w:t>(4), 428–430. https://doi.org/10.1097/GME.0000000000001304</w:t>
      </w:r>
    </w:p>
    <w:p w14:paraId="4BDB3EA4"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Stuart, J. J., Tanz, L. J., Cook, N. R., Spiegelman, D., Missmer, S. A., Rimm, E. B., Rexrode, K. M., Mukamal, K. J., &amp; Rich-Edwards, J. W. (2018). Hypertensive Disorders of Pregnancy and 10-Year Cardiovascular Risk Prediction. </w:t>
      </w:r>
      <w:r w:rsidRPr="00CC5373">
        <w:rPr>
          <w:rFonts w:ascii="Times New Roman" w:hAnsi="Times New Roman" w:cs="Times New Roman"/>
          <w:i/>
          <w:iCs/>
          <w:noProof/>
          <w:kern w:val="0"/>
        </w:rPr>
        <w:t>Journal of the American College of Cardiology</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72</w:t>
      </w:r>
      <w:r w:rsidRPr="00CC5373">
        <w:rPr>
          <w:rFonts w:ascii="Times New Roman" w:hAnsi="Times New Roman" w:cs="Times New Roman"/>
          <w:noProof/>
          <w:kern w:val="0"/>
        </w:rPr>
        <w:t>(11), 1252–1263. https://doi.org/10.1016/j.jacc.2018.05.077</w:t>
      </w:r>
    </w:p>
    <w:p w14:paraId="34FF07CC"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Stuenkel, C. A., Davis, S. R., Gompel, A., Lumsden, M. A., Murad, M. H., Pinkerton, J. A. V., &amp; Santen, R. J. (2015). Treatment of symptoms of the menopause: An endocrine society clinical practice guideline. </w:t>
      </w:r>
      <w:r w:rsidRPr="00CC5373">
        <w:rPr>
          <w:rFonts w:ascii="Times New Roman" w:hAnsi="Times New Roman" w:cs="Times New Roman"/>
          <w:i/>
          <w:iCs/>
          <w:noProof/>
          <w:kern w:val="0"/>
        </w:rPr>
        <w:t>Journal of Clinical Endocrinology and Metabolism</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100</w:t>
      </w:r>
      <w:r w:rsidRPr="00CC5373">
        <w:rPr>
          <w:rFonts w:ascii="Times New Roman" w:hAnsi="Times New Roman" w:cs="Times New Roman"/>
          <w:noProof/>
          <w:kern w:val="0"/>
        </w:rPr>
        <w:t>(11), 3975–4011. https://doi.org/10.1210/jc.2015-2236</w:t>
      </w:r>
    </w:p>
    <w:p w14:paraId="36DAFE5E"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Sundström, J., Neovius, M., Tynelius, P., &amp; Rasmussen, F. (2011). Association of blood pressure in late adolescence with subsequent mortality: Cohort study of Swedish male conscripts. </w:t>
      </w:r>
      <w:r w:rsidRPr="00CC5373">
        <w:rPr>
          <w:rFonts w:ascii="Times New Roman" w:hAnsi="Times New Roman" w:cs="Times New Roman"/>
          <w:i/>
          <w:iCs/>
          <w:noProof/>
          <w:kern w:val="0"/>
        </w:rPr>
        <w:t>Bmj</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342</w:t>
      </w:r>
      <w:r w:rsidRPr="00CC5373">
        <w:rPr>
          <w:rFonts w:ascii="Times New Roman" w:hAnsi="Times New Roman" w:cs="Times New Roman"/>
          <w:noProof/>
          <w:kern w:val="0"/>
        </w:rPr>
        <w:t>(7795), 483. https://doi.org/10.1136/bmj.d643</w:t>
      </w:r>
    </w:p>
    <w:p w14:paraId="0A5D2D26"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Therapy, H. (2008). ACOG committee opinion no. 420: Hormone therapy and heart disease. </w:t>
      </w:r>
      <w:r w:rsidRPr="00CC5373">
        <w:rPr>
          <w:rFonts w:ascii="Times New Roman" w:hAnsi="Times New Roman" w:cs="Times New Roman"/>
          <w:i/>
          <w:iCs/>
          <w:noProof/>
          <w:kern w:val="0"/>
        </w:rPr>
        <w:t>Obstetrics and Gynecology</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112</w:t>
      </w:r>
      <w:r w:rsidRPr="00CC5373">
        <w:rPr>
          <w:rFonts w:ascii="Times New Roman" w:hAnsi="Times New Roman" w:cs="Times New Roman"/>
          <w:noProof/>
          <w:kern w:val="0"/>
        </w:rPr>
        <w:t>(5), 1189–1192. https://doi.org/10.1097/AOG.0b013e31818e8782</w:t>
      </w:r>
    </w:p>
    <w:p w14:paraId="3399CBD8"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Valero, M., Viney, T. J., Machold, R., Mederos, S., Zutshi, I., Schuman, B., </w:t>
      </w:r>
      <w:r w:rsidRPr="00CC5373">
        <w:rPr>
          <w:rFonts w:ascii="Times New Roman" w:hAnsi="Times New Roman" w:cs="Times New Roman"/>
          <w:noProof/>
          <w:kern w:val="0"/>
        </w:rPr>
        <w:lastRenderedPageBreak/>
        <w:t xml:space="preserve">Senzai, Y., Rudy, B., &amp; Buzsáki, G. (2021). Sleep down state-active ID2/Nkx2.1 interneurons in the neocortex. </w:t>
      </w:r>
      <w:r w:rsidRPr="00CC5373">
        <w:rPr>
          <w:rFonts w:ascii="Times New Roman" w:hAnsi="Times New Roman" w:cs="Times New Roman"/>
          <w:i/>
          <w:iCs/>
          <w:noProof/>
          <w:kern w:val="0"/>
        </w:rPr>
        <w:t>Nature Neuroscience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24</w:t>
      </w:r>
      <w:r w:rsidRPr="00CC5373">
        <w:rPr>
          <w:rFonts w:ascii="Times New Roman" w:hAnsi="Times New Roman" w:cs="Times New Roman"/>
          <w:noProof/>
          <w:kern w:val="0"/>
        </w:rPr>
        <w:t>(3), 401–411. https://doi.org/10.1038/s41593-021-00797-6</w:t>
      </w:r>
    </w:p>
    <w:p w14:paraId="2E2DEA6C"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Weiner, I. D., &amp; Wingo, C. S. (2023). Endocrine Causes of Hypertension: Aldosterone. </w:t>
      </w:r>
      <w:r w:rsidRPr="00CC5373">
        <w:rPr>
          <w:rFonts w:ascii="Times New Roman" w:hAnsi="Times New Roman" w:cs="Times New Roman"/>
          <w:i/>
          <w:iCs/>
          <w:noProof/>
          <w:kern w:val="0"/>
        </w:rPr>
        <w:t>Comprehensive Clinical Nephrology</w:t>
      </w:r>
      <w:r w:rsidRPr="00CC5373">
        <w:rPr>
          <w:rFonts w:ascii="Times New Roman" w:hAnsi="Times New Roman" w:cs="Times New Roman"/>
          <w:noProof/>
          <w:kern w:val="0"/>
        </w:rPr>
        <w:t>, 460-470.e2. https://doi.org/10.1016/B978-0-323-82592-4.00039-0</w:t>
      </w:r>
    </w:p>
    <w:p w14:paraId="3286F99E"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Weng, X., Woodruff, R. C., Park, S., Thompson-Paul, A. M., He, S., Hayes, D., Kuklina, E. V., Therrien, N. L., &amp; Jackson, S. L. (2024). Hypertension Prevalence and Control Among U.S. Women of Reproductive Age. </w:t>
      </w:r>
      <w:r w:rsidRPr="00CC5373">
        <w:rPr>
          <w:rFonts w:ascii="Times New Roman" w:hAnsi="Times New Roman" w:cs="Times New Roman"/>
          <w:i/>
          <w:iCs/>
          <w:noProof/>
          <w:kern w:val="0"/>
        </w:rPr>
        <w:t>American Journal of Preventive Medicine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66</w:t>
      </w:r>
      <w:r w:rsidRPr="00CC5373">
        <w:rPr>
          <w:rFonts w:ascii="Times New Roman" w:hAnsi="Times New Roman" w:cs="Times New Roman"/>
          <w:noProof/>
          <w:kern w:val="0"/>
        </w:rPr>
        <w:t>(3), 492–502. https://doi.org/10.1016/j.amepre.2023.10.016</w:t>
      </w:r>
    </w:p>
    <w:p w14:paraId="7F22E7B4"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Wenger, N. K., Arnold, A., Bairey Merz, C. N., Cooper-DeHoff, R. M., Ferdinand, K. C., Fleg, J. L., Gulati, M., Isiadinso, I., Itchhaporia, D., Light-McGroary, K. A., Lindley, K. J., Mieres, J. H., Rosser, M. L., Saade, G. R., Walsh, M. N., &amp; Pepine, C. J. (2018). Hypertension Across a Woman’s Life Cycle. </w:t>
      </w:r>
      <w:r w:rsidRPr="00CC5373">
        <w:rPr>
          <w:rFonts w:ascii="Times New Roman" w:hAnsi="Times New Roman" w:cs="Times New Roman"/>
          <w:i/>
          <w:iCs/>
          <w:noProof/>
          <w:kern w:val="0"/>
        </w:rPr>
        <w:t>Journal of the American College of Cardiology</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71</w:t>
      </w:r>
      <w:r w:rsidRPr="00CC5373">
        <w:rPr>
          <w:rFonts w:ascii="Times New Roman" w:hAnsi="Times New Roman" w:cs="Times New Roman"/>
          <w:noProof/>
          <w:kern w:val="0"/>
        </w:rPr>
        <w:t>(16), 1797–1813. https://doi.org/10.1016/j.jacc.2018.02.033</w:t>
      </w:r>
    </w:p>
    <w:p w14:paraId="791FE544"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Whelton, P. K., Carey, R. M., Aronow, W. S., Casey, D. E., Collins, K. J., Himmelfarb, C. D., DePalma, S. M., Gidding, S., Jamerson, K. A., Jones, D. W., MacLaughlin, E. J., Muntner, P., Ovbiagele, B., Smith, S. C., Spencer, C. C., Stafford, R. S., Taler, S. J., Thomas, R. J., Williams, K. A., … Wright, J. T. (2018). 2017 ACC/AHA/AAPA/ABC/ACPM/AGS/APhA/ASH/ ASPC/NMA/PCNA guideline for the prevention, detection, evaluation, and management of high blood pressure in adults: Executive summary: A report of the American college of cardiology/American Heart Association task . In </w:t>
      </w:r>
      <w:r w:rsidRPr="00CC5373">
        <w:rPr>
          <w:rFonts w:ascii="Times New Roman" w:hAnsi="Times New Roman" w:cs="Times New Roman"/>
          <w:i/>
          <w:iCs/>
          <w:noProof/>
          <w:kern w:val="0"/>
        </w:rPr>
        <w:t>Hypertension</w:t>
      </w:r>
      <w:r w:rsidRPr="00CC5373">
        <w:rPr>
          <w:rFonts w:ascii="Times New Roman" w:hAnsi="Times New Roman" w:cs="Times New Roman"/>
          <w:noProof/>
          <w:kern w:val="0"/>
        </w:rPr>
        <w:t xml:space="preserve"> (Vol. 71, Issue 6). https://doi.org/10.1161/HYP.0000000000000066</w:t>
      </w:r>
    </w:p>
    <w:p w14:paraId="57AB4BBA"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Williams, B., Mancia, G., Spiering, W., Rosei, E. A., Azizi, M., Burnier, M., Clement, D., Coca, A., De Simone, G., Dominiczak, A., Kahan, T., Mahfoud, F., Redon, J., Ruilope, L., Zanchetti, A., Kerins, M., Kjeldsen, S., Kreutz, R., Laurent, S., … Desormais, I. (2018). 2018 practice guidelines for the management of arterial hypertension of the European society of cardiology and the European society of hypertension ESC/ESH task force for the management of arterial hypertension. </w:t>
      </w:r>
      <w:r w:rsidRPr="00CC5373">
        <w:rPr>
          <w:rFonts w:ascii="Times New Roman" w:hAnsi="Times New Roman" w:cs="Times New Roman"/>
          <w:i/>
          <w:iCs/>
          <w:noProof/>
          <w:kern w:val="0"/>
        </w:rPr>
        <w:t>Journal of Hypertension</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36</w:t>
      </w:r>
      <w:r w:rsidRPr="00CC5373">
        <w:rPr>
          <w:rFonts w:ascii="Times New Roman" w:hAnsi="Times New Roman" w:cs="Times New Roman"/>
          <w:noProof/>
          <w:kern w:val="0"/>
        </w:rPr>
        <w:t>(12), 2284–</w:t>
      </w:r>
      <w:r w:rsidRPr="00CC5373">
        <w:rPr>
          <w:rFonts w:ascii="Times New Roman" w:hAnsi="Times New Roman" w:cs="Times New Roman"/>
          <w:noProof/>
          <w:kern w:val="0"/>
        </w:rPr>
        <w:lastRenderedPageBreak/>
        <w:t>2309. https://doi.org/10.1097/HJH.0000000000001961</w:t>
      </w:r>
    </w:p>
    <w:p w14:paraId="6184F94F"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Yano, Y., &amp; Kario, K. (2012). Nocturnal blood pressure and cardiovascular disease: A review of recent advances. </w:t>
      </w:r>
      <w:r w:rsidRPr="00CC5373">
        <w:rPr>
          <w:rFonts w:ascii="Times New Roman" w:hAnsi="Times New Roman" w:cs="Times New Roman"/>
          <w:i/>
          <w:iCs/>
          <w:noProof/>
          <w:kern w:val="0"/>
        </w:rPr>
        <w:t>Hypertension Research</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35</w:t>
      </w:r>
      <w:r w:rsidRPr="00CC5373">
        <w:rPr>
          <w:rFonts w:ascii="Times New Roman" w:hAnsi="Times New Roman" w:cs="Times New Roman"/>
          <w:noProof/>
          <w:kern w:val="0"/>
        </w:rPr>
        <w:t>(7), 695–701. https://doi.org/10.1038/hr.2012.26</w:t>
      </w:r>
    </w:p>
    <w:p w14:paraId="455D2444"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kern w:val="0"/>
        </w:rPr>
      </w:pPr>
      <w:r w:rsidRPr="00CC5373">
        <w:rPr>
          <w:rFonts w:ascii="Times New Roman" w:hAnsi="Times New Roman" w:cs="Times New Roman"/>
          <w:noProof/>
          <w:kern w:val="0"/>
        </w:rPr>
        <w:t xml:space="preserve">Yong, L. C., Li, J., &amp; Calvert, G. M. (2017). Sleep-related problems in the US working population: Prevalence and association with shiftwork status. </w:t>
      </w:r>
      <w:r w:rsidRPr="00CC5373">
        <w:rPr>
          <w:rFonts w:ascii="Times New Roman" w:hAnsi="Times New Roman" w:cs="Times New Roman"/>
          <w:i/>
          <w:iCs/>
          <w:noProof/>
          <w:kern w:val="0"/>
        </w:rPr>
        <w:t>Occupational and Environmental Medicine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74</w:t>
      </w:r>
      <w:r w:rsidRPr="00CC5373">
        <w:rPr>
          <w:rFonts w:ascii="Times New Roman" w:hAnsi="Times New Roman" w:cs="Times New Roman"/>
          <w:noProof/>
          <w:kern w:val="0"/>
        </w:rPr>
        <w:t>(2), 93–104. https://doi.org/10.1136/oemed-2016-103638</w:t>
      </w:r>
    </w:p>
    <w:p w14:paraId="21451301" w14:textId="77777777" w:rsidR="00CC5373" w:rsidRPr="00CC5373" w:rsidRDefault="00CC5373" w:rsidP="00CC5373">
      <w:pPr>
        <w:pStyle w:val="ListParagraph"/>
        <w:widowControl w:val="0"/>
        <w:numPr>
          <w:ilvl w:val="0"/>
          <w:numId w:val="88"/>
        </w:numPr>
        <w:autoSpaceDE w:val="0"/>
        <w:autoSpaceDN w:val="0"/>
        <w:adjustRightInd w:val="0"/>
        <w:spacing w:line="360" w:lineRule="auto"/>
        <w:jc w:val="both"/>
        <w:rPr>
          <w:rFonts w:ascii="Times New Roman" w:hAnsi="Times New Roman" w:cs="Times New Roman"/>
          <w:noProof/>
        </w:rPr>
      </w:pPr>
      <w:r w:rsidRPr="00CC5373">
        <w:rPr>
          <w:rFonts w:ascii="Times New Roman" w:hAnsi="Times New Roman" w:cs="Times New Roman"/>
          <w:noProof/>
          <w:kern w:val="0"/>
        </w:rPr>
        <w:t xml:space="preserve">Young, W. F. (2019). Diagnosis and treatment of primary aldosteronism: practical clinical perspectives. </w:t>
      </w:r>
      <w:r w:rsidRPr="00CC5373">
        <w:rPr>
          <w:rFonts w:ascii="Times New Roman" w:hAnsi="Times New Roman" w:cs="Times New Roman"/>
          <w:i/>
          <w:iCs/>
          <w:noProof/>
          <w:kern w:val="0"/>
        </w:rPr>
        <w:t>Journal of Internal Medicine</w:t>
      </w:r>
      <w:r w:rsidRPr="00CC5373">
        <w:rPr>
          <w:rFonts w:ascii="Times New Roman" w:hAnsi="Times New Roman" w:cs="Times New Roman"/>
          <w:noProof/>
          <w:kern w:val="0"/>
        </w:rPr>
        <w:t xml:space="preserve">, </w:t>
      </w:r>
      <w:r w:rsidRPr="00CC5373">
        <w:rPr>
          <w:rFonts w:ascii="Times New Roman" w:hAnsi="Times New Roman" w:cs="Times New Roman"/>
          <w:i/>
          <w:iCs/>
          <w:noProof/>
          <w:kern w:val="0"/>
        </w:rPr>
        <w:t>285</w:t>
      </w:r>
      <w:r w:rsidRPr="00CC5373">
        <w:rPr>
          <w:rFonts w:ascii="Times New Roman" w:hAnsi="Times New Roman" w:cs="Times New Roman"/>
          <w:noProof/>
          <w:kern w:val="0"/>
        </w:rPr>
        <w:t>(2), 126–148. https://doi.org/10.1111/joim.12831</w:t>
      </w:r>
    </w:p>
    <w:p w14:paraId="35A47938" w14:textId="310C2D2A" w:rsidR="00CC5373" w:rsidRPr="00077581" w:rsidRDefault="00CC5373" w:rsidP="00CC5373">
      <w:pPr>
        <w:spacing w:line="360" w:lineRule="auto"/>
        <w:jc w:val="both"/>
        <w:rPr>
          <w:rFonts w:ascii="Times New Roman" w:hAnsi="Times New Roman" w:cs="Times New Roman"/>
          <w:b/>
          <w:bCs/>
        </w:rPr>
      </w:pPr>
      <w:r>
        <w:rPr>
          <w:rFonts w:ascii="Times New Roman" w:hAnsi="Times New Roman" w:cs="Times New Roman"/>
          <w:b/>
          <w:bCs/>
        </w:rPr>
        <w:fldChar w:fldCharType="end"/>
      </w:r>
    </w:p>
    <w:p w14:paraId="0FBAFA0F" w14:textId="77777777" w:rsidR="00D81433" w:rsidRPr="00077581" w:rsidRDefault="00D81433" w:rsidP="00EF0802">
      <w:pPr>
        <w:spacing w:line="360" w:lineRule="auto"/>
        <w:rPr>
          <w:rFonts w:ascii="Times New Roman" w:hAnsi="Times New Roman" w:cs="Times New Roman"/>
        </w:rPr>
      </w:pPr>
    </w:p>
    <w:p w14:paraId="1317C467" w14:textId="77777777" w:rsidR="00D81433" w:rsidRDefault="00D81433" w:rsidP="00EF0802">
      <w:pPr>
        <w:spacing w:line="360" w:lineRule="auto"/>
        <w:jc w:val="center"/>
        <w:rPr>
          <w:rFonts w:ascii="Times New Roman" w:hAnsi="Times New Roman" w:cs="Times New Roman"/>
          <w:b/>
          <w:bCs/>
        </w:rPr>
      </w:pPr>
    </w:p>
    <w:p w14:paraId="11D66AAE" w14:textId="77777777" w:rsidR="00D81433" w:rsidRDefault="00D81433" w:rsidP="00EF0802">
      <w:pPr>
        <w:spacing w:line="360" w:lineRule="auto"/>
        <w:jc w:val="center"/>
        <w:rPr>
          <w:rFonts w:ascii="Times New Roman" w:hAnsi="Times New Roman" w:cs="Times New Roman"/>
          <w:b/>
          <w:bCs/>
        </w:rPr>
      </w:pPr>
    </w:p>
    <w:p w14:paraId="69C73EB8" w14:textId="77777777" w:rsidR="00D81433" w:rsidRDefault="00D81433" w:rsidP="00EF0802">
      <w:pPr>
        <w:spacing w:line="360" w:lineRule="auto"/>
        <w:jc w:val="center"/>
        <w:rPr>
          <w:rFonts w:ascii="Times New Roman" w:hAnsi="Times New Roman" w:cs="Times New Roman"/>
          <w:b/>
          <w:bCs/>
        </w:rPr>
      </w:pPr>
    </w:p>
    <w:p w14:paraId="1BBE0AD0" w14:textId="77777777" w:rsidR="00D81433" w:rsidRDefault="00D81433" w:rsidP="00EF0802">
      <w:pPr>
        <w:spacing w:line="360" w:lineRule="auto"/>
        <w:jc w:val="center"/>
        <w:rPr>
          <w:rFonts w:ascii="Times New Roman" w:hAnsi="Times New Roman" w:cs="Times New Roman"/>
          <w:b/>
          <w:bCs/>
        </w:rPr>
      </w:pPr>
    </w:p>
    <w:p w14:paraId="64B18B9A" w14:textId="77777777" w:rsidR="00D81433" w:rsidRDefault="00D81433" w:rsidP="00EF0802">
      <w:pPr>
        <w:spacing w:line="360" w:lineRule="auto"/>
        <w:jc w:val="center"/>
        <w:rPr>
          <w:rFonts w:ascii="Times New Roman" w:hAnsi="Times New Roman" w:cs="Times New Roman"/>
          <w:b/>
          <w:bCs/>
        </w:rPr>
      </w:pPr>
    </w:p>
    <w:p w14:paraId="0A457C13" w14:textId="77777777" w:rsidR="00D81433" w:rsidRDefault="00D81433" w:rsidP="00EF0802">
      <w:pPr>
        <w:spacing w:line="360" w:lineRule="auto"/>
        <w:jc w:val="center"/>
        <w:rPr>
          <w:rFonts w:ascii="Times New Roman" w:hAnsi="Times New Roman" w:cs="Times New Roman"/>
          <w:b/>
          <w:bCs/>
        </w:rPr>
      </w:pPr>
    </w:p>
    <w:p w14:paraId="26B59250" w14:textId="77777777" w:rsidR="00D81433" w:rsidRDefault="00D81433" w:rsidP="00EF0802">
      <w:pPr>
        <w:spacing w:line="360" w:lineRule="auto"/>
        <w:jc w:val="center"/>
        <w:rPr>
          <w:rFonts w:ascii="Times New Roman" w:hAnsi="Times New Roman" w:cs="Times New Roman"/>
          <w:b/>
          <w:bCs/>
        </w:rPr>
      </w:pPr>
    </w:p>
    <w:p w14:paraId="1EBABD63" w14:textId="77777777" w:rsidR="00D81433" w:rsidRDefault="00D81433" w:rsidP="00EF0802">
      <w:pPr>
        <w:spacing w:line="360" w:lineRule="auto"/>
        <w:jc w:val="center"/>
        <w:rPr>
          <w:rFonts w:ascii="Times New Roman" w:hAnsi="Times New Roman" w:cs="Times New Roman"/>
          <w:b/>
          <w:bCs/>
        </w:rPr>
      </w:pPr>
    </w:p>
    <w:p w14:paraId="7D004CE3" w14:textId="77777777" w:rsidR="00D81433" w:rsidRDefault="00D81433" w:rsidP="00EF0802">
      <w:pPr>
        <w:spacing w:line="360" w:lineRule="auto"/>
        <w:jc w:val="center"/>
        <w:rPr>
          <w:rFonts w:ascii="Times New Roman" w:hAnsi="Times New Roman" w:cs="Times New Roman"/>
          <w:b/>
          <w:bCs/>
        </w:rPr>
      </w:pPr>
    </w:p>
    <w:p w14:paraId="0F929D13" w14:textId="77777777" w:rsidR="00D81433" w:rsidRDefault="00D81433" w:rsidP="00EF0802">
      <w:pPr>
        <w:spacing w:line="360" w:lineRule="auto"/>
        <w:jc w:val="center"/>
        <w:rPr>
          <w:rFonts w:ascii="Times New Roman" w:hAnsi="Times New Roman" w:cs="Times New Roman"/>
          <w:b/>
          <w:bCs/>
        </w:rPr>
      </w:pPr>
    </w:p>
    <w:p w14:paraId="06A09814" w14:textId="77777777" w:rsidR="00D81433" w:rsidRDefault="00D81433" w:rsidP="00EF0802">
      <w:pPr>
        <w:spacing w:line="360" w:lineRule="auto"/>
        <w:jc w:val="center"/>
        <w:rPr>
          <w:rFonts w:ascii="Times New Roman" w:hAnsi="Times New Roman" w:cs="Times New Roman"/>
          <w:b/>
          <w:bCs/>
        </w:rPr>
      </w:pPr>
    </w:p>
    <w:p w14:paraId="59F6F741" w14:textId="77777777" w:rsidR="00D81433" w:rsidRDefault="00D81433" w:rsidP="00EF0802">
      <w:pPr>
        <w:spacing w:line="360" w:lineRule="auto"/>
        <w:jc w:val="center"/>
        <w:rPr>
          <w:rFonts w:ascii="Times New Roman" w:hAnsi="Times New Roman" w:cs="Times New Roman"/>
          <w:b/>
          <w:bCs/>
        </w:rPr>
      </w:pPr>
    </w:p>
    <w:p w14:paraId="72785718" w14:textId="77777777" w:rsidR="00D81433" w:rsidRDefault="00D81433" w:rsidP="00EF0802">
      <w:pPr>
        <w:spacing w:line="360" w:lineRule="auto"/>
        <w:jc w:val="center"/>
        <w:rPr>
          <w:rFonts w:ascii="Times New Roman" w:hAnsi="Times New Roman" w:cs="Times New Roman"/>
          <w:b/>
          <w:bCs/>
        </w:rPr>
      </w:pPr>
    </w:p>
    <w:p w14:paraId="0DB235CC" w14:textId="77777777" w:rsidR="00D81433" w:rsidRDefault="00D81433" w:rsidP="00EF0802">
      <w:pPr>
        <w:spacing w:line="360" w:lineRule="auto"/>
        <w:jc w:val="center"/>
        <w:rPr>
          <w:rFonts w:ascii="Times New Roman" w:hAnsi="Times New Roman" w:cs="Times New Roman"/>
          <w:b/>
          <w:bCs/>
        </w:rPr>
      </w:pPr>
    </w:p>
    <w:p w14:paraId="5E2CB5D1" w14:textId="77777777" w:rsidR="00D81433" w:rsidRPr="00077581" w:rsidRDefault="00D81433" w:rsidP="00EF0802">
      <w:pPr>
        <w:spacing w:line="360" w:lineRule="auto"/>
        <w:jc w:val="center"/>
        <w:rPr>
          <w:rFonts w:ascii="Times New Roman" w:hAnsi="Times New Roman" w:cs="Times New Roman"/>
        </w:rPr>
      </w:pPr>
      <w:r w:rsidRPr="00077581">
        <w:rPr>
          <w:rFonts w:ascii="Times New Roman" w:hAnsi="Times New Roman" w:cs="Times New Roman"/>
          <w:b/>
          <w:bCs/>
        </w:rPr>
        <w:lastRenderedPageBreak/>
        <w:t>A</w:t>
      </w:r>
      <w:r>
        <w:rPr>
          <w:rFonts w:ascii="Times New Roman" w:hAnsi="Times New Roman" w:cs="Times New Roman"/>
          <w:b/>
          <w:bCs/>
        </w:rPr>
        <w:t>ppendix-</w:t>
      </w:r>
      <w:r w:rsidRPr="00077581">
        <w:rPr>
          <w:rFonts w:ascii="Times New Roman" w:hAnsi="Times New Roman" w:cs="Times New Roman"/>
          <w:b/>
          <w:bCs/>
        </w:rPr>
        <w:t>I</w:t>
      </w:r>
      <w:r>
        <w:rPr>
          <w:rFonts w:ascii="Times New Roman" w:hAnsi="Times New Roman" w:cs="Times New Roman"/>
        </w:rPr>
        <w:t xml:space="preserve">: </w:t>
      </w:r>
      <w:r w:rsidRPr="00077581">
        <w:rPr>
          <w:rFonts w:ascii="Times New Roman" w:hAnsi="Times New Roman" w:cs="Times New Roman"/>
        </w:rPr>
        <w:t>Questionnaire: Knowledge and Lifestyle Modification</w:t>
      </w:r>
    </w:p>
    <w:p w14:paraId="7448033E" w14:textId="77777777" w:rsidR="00D81433" w:rsidRPr="00077581" w:rsidRDefault="00D81433" w:rsidP="00EF0802">
      <w:pPr>
        <w:spacing w:line="360" w:lineRule="auto"/>
        <w:jc w:val="center"/>
        <w:rPr>
          <w:rFonts w:ascii="Times New Roman" w:hAnsi="Times New Roman" w:cs="Times New Roman"/>
          <w:b/>
        </w:rPr>
      </w:pPr>
      <w:r w:rsidRPr="00077581">
        <w:rPr>
          <w:rFonts w:ascii="Times New Roman" w:hAnsi="Times New Roman" w:cs="Times New Roman"/>
          <w:b/>
          <w:i/>
          <w:iCs/>
        </w:rPr>
        <w:t>Questionnaire</w:t>
      </w:r>
    </w:p>
    <w:p w14:paraId="09B14615" w14:textId="77777777" w:rsidR="00D81433" w:rsidRPr="00077581" w:rsidRDefault="00D81433" w:rsidP="00EF0802">
      <w:pPr>
        <w:spacing w:line="360" w:lineRule="auto"/>
        <w:rPr>
          <w:rFonts w:ascii="Times New Roman" w:hAnsi="Times New Roman" w:cs="Times New Roman"/>
          <w:bCs/>
        </w:rPr>
      </w:pPr>
    </w:p>
    <w:p w14:paraId="70DA3E1C" w14:textId="77777777" w:rsidR="00D81433" w:rsidRPr="00077581" w:rsidRDefault="00D81433" w:rsidP="00EF0802">
      <w:pPr>
        <w:spacing w:line="360" w:lineRule="auto"/>
        <w:rPr>
          <w:rFonts w:ascii="Times New Roman" w:hAnsi="Times New Roman" w:cs="Times New Roman"/>
          <w:b/>
        </w:rPr>
      </w:pPr>
      <w:r w:rsidRPr="00077581">
        <w:rPr>
          <w:rFonts w:ascii="Times New Roman" w:hAnsi="Times New Roman" w:cs="Times New Roman"/>
          <w:b/>
        </w:rPr>
        <w:t xml:space="preserve">Section A: Demographic Details </w:t>
      </w:r>
      <w:r w:rsidRPr="00077581">
        <w:rPr>
          <w:rFonts w:ascii="Times New Roman" w:hAnsi="Times New Roman" w:cs="Times New Roman"/>
          <w:b/>
          <w:i/>
          <w:iCs/>
        </w:rPr>
        <w:t>(Pre-Test only)</w:t>
      </w:r>
    </w:p>
    <w:p w14:paraId="7F8DB7FF" w14:textId="77777777" w:rsidR="00D81433" w:rsidRPr="00077581" w:rsidRDefault="00D81433" w:rsidP="00EF0802">
      <w:pPr>
        <w:numPr>
          <w:ilvl w:val="0"/>
          <w:numId w:val="71"/>
        </w:numPr>
        <w:spacing w:line="360" w:lineRule="auto"/>
        <w:rPr>
          <w:rFonts w:ascii="Times New Roman" w:hAnsi="Times New Roman" w:cs="Times New Roman"/>
          <w:bCs/>
        </w:rPr>
      </w:pPr>
      <w:r w:rsidRPr="00077581">
        <w:rPr>
          <w:rFonts w:ascii="Times New Roman" w:hAnsi="Times New Roman" w:cs="Times New Roman"/>
          <w:bCs/>
        </w:rPr>
        <w:t>Name/ID (Optional): ____________________</w:t>
      </w:r>
    </w:p>
    <w:p w14:paraId="7AD8AD57" w14:textId="77777777" w:rsidR="00D81433" w:rsidRPr="00077581" w:rsidRDefault="00D81433" w:rsidP="00EF0802">
      <w:pPr>
        <w:numPr>
          <w:ilvl w:val="0"/>
          <w:numId w:val="71"/>
        </w:numPr>
        <w:spacing w:line="360" w:lineRule="auto"/>
        <w:rPr>
          <w:rFonts w:ascii="Times New Roman" w:hAnsi="Times New Roman" w:cs="Times New Roman"/>
          <w:bCs/>
        </w:rPr>
      </w:pPr>
      <w:r w:rsidRPr="00077581">
        <w:rPr>
          <w:rFonts w:ascii="Times New Roman" w:hAnsi="Times New Roman" w:cs="Times New Roman"/>
          <w:bCs/>
        </w:rPr>
        <w:t xml:space="preserve">Age: </w:t>
      </w:r>
      <w:r w:rsidRPr="00077581">
        <w:rPr>
          <w:rFonts w:ascii="Segoe UI Symbol" w:hAnsi="Segoe UI Symbol" w:cs="Segoe UI Symbol"/>
          <w:bCs/>
        </w:rPr>
        <w:t>☐</w:t>
      </w:r>
      <w:r w:rsidRPr="00077581">
        <w:rPr>
          <w:rFonts w:ascii="Times New Roman" w:hAnsi="Times New Roman" w:cs="Times New Roman"/>
          <w:bCs/>
        </w:rPr>
        <w:t xml:space="preserve"> &lt;20 Years </w:t>
      </w:r>
      <w:r w:rsidRPr="00077581">
        <w:rPr>
          <w:rFonts w:ascii="Segoe UI Symbol" w:hAnsi="Segoe UI Symbol" w:cs="Segoe UI Symbol"/>
          <w:bCs/>
        </w:rPr>
        <w:t>☐</w:t>
      </w:r>
      <w:r w:rsidRPr="00077581">
        <w:rPr>
          <w:rFonts w:ascii="Times New Roman" w:hAnsi="Times New Roman" w:cs="Times New Roman"/>
          <w:bCs/>
        </w:rPr>
        <w:t xml:space="preserve"> 21–25 Years </w:t>
      </w:r>
      <w:r w:rsidRPr="00077581">
        <w:rPr>
          <w:rFonts w:ascii="Segoe UI Symbol" w:hAnsi="Segoe UI Symbol" w:cs="Segoe UI Symbol"/>
          <w:bCs/>
        </w:rPr>
        <w:t>☐</w:t>
      </w:r>
      <w:r w:rsidRPr="00077581">
        <w:rPr>
          <w:rFonts w:ascii="Times New Roman" w:hAnsi="Times New Roman" w:cs="Times New Roman"/>
          <w:bCs/>
        </w:rPr>
        <w:t xml:space="preserve"> 26–30 Years </w:t>
      </w:r>
      <w:r w:rsidRPr="00077581">
        <w:rPr>
          <w:rFonts w:ascii="Segoe UI Symbol" w:hAnsi="Segoe UI Symbol" w:cs="Segoe UI Symbol"/>
          <w:bCs/>
        </w:rPr>
        <w:t>☐</w:t>
      </w:r>
      <w:r w:rsidRPr="00077581">
        <w:rPr>
          <w:rFonts w:ascii="Times New Roman" w:hAnsi="Times New Roman" w:cs="Times New Roman"/>
          <w:bCs/>
        </w:rPr>
        <w:t xml:space="preserve"> 31–35 Years </w:t>
      </w:r>
      <w:r w:rsidRPr="00077581">
        <w:rPr>
          <w:rFonts w:ascii="Segoe UI Symbol" w:hAnsi="Segoe UI Symbol" w:cs="Segoe UI Symbol"/>
          <w:bCs/>
        </w:rPr>
        <w:t>☐</w:t>
      </w:r>
      <w:r w:rsidRPr="00077581">
        <w:rPr>
          <w:rFonts w:ascii="Times New Roman" w:hAnsi="Times New Roman" w:cs="Times New Roman"/>
          <w:bCs/>
        </w:rPr>
        <w:t xml:space="preserve"> &gt;35 Years</w:t>
      </w:r>
    </w:p>
    <w:p w14:paraId="657EDE9C" w14:textId="77777777" w:rsidR="00D81433" w:rsidRPr="00077581" w:rsidRDefault="00D81433" w:rsidP="00EF0802">
      <w:pPr>
        <w:numPr>
          <w:ilvl w:val="0"/>
          <w:numId w:val="71"/>
        </w:numPr>
        <w:spacing w:line="360" w:lineRule="auto"/>
        <w:rPr>
          <w:rFonts w:ascii="Times New Roman" w:hAnsi="Times New Roman" w:cs="Times New Roman"/>
          <w:bCs/>
        </w:rPr>
      </w:pPr>
      <w:r w:rsidRPr="00077581">
        <w:rPr>
          <w:rFonts w:ascii="Times New Roman" w:hAnsi="Times New Roman" w:cs="Times New Roman"/>
          <w:bCs/>
        </w:rPr>
        <w:t xml:space="preserve">Gestational Age: </w:t>
      </w:r>
      <w:r w:rsidRPr="00077581">
        <w:rPr>
          <w:rFonts w:ascii="Segoe UI Symbol" w:hAnsi="Segoe UI Symbol" w:cs="Segoe UI Symbol"/>
          <w:bCs/>
        </w:rPr>
        <w:t>☐</w:t>
      </w:r>
      <w:r w:rsidRPr="00077581">
        <w:rPr>
          <w:rFonts w:ascii="Times New Roman" w:hAnsi="Times New Roman" w:cs="Times New Roman"/>
          <w:bCs/>
        </w:rPr>
        <w:t xml:space="preserve"> 1st Trimester </w:t>
      </w:r>
      <w:r w:rsidRPr="00077581">
        <w:rPr>
          <w:rFonts w:ascii="Segoe UI Symbol" w:hAnsi="Segoe UI Symbol" w:cs="Segoe UI Symbol"/>
          <w:bCs/>
        </w:rPr>
        <w:t>☐</w:t>
      </w:r>
      <w:r w:rsidRPr="00077581">
        <w:rPr>
          <w:rFonts w:ascii="Times New Roman" w:hAnsi="Times New Roman" w:cs="Times New Roman"/>
          <w:bCs/>
        </w:rPr>
        <w:t xml:space="preserve"> 2nd Trimester </w:t>
      </w:r>
      <w:r w:rsidRPr="00077581">
        <w:rPr>
          <w:rFonts w:ascii="Segoe UI Symbol" w:hAnsi="Segoe UI Symbol" w:cs="Segoe UI Symbol"/>
          <w:bCs/>
        </w:rPr>
        <w:t>☐</w:t>
      </w:r>
      <w:r w:rsidRPr="00077581">
        <w:rPr>
          <w:rFonts w:ascii="Times New Roman" w:hAnsi="Times New Roman" w:cs="Times New Roman"/>
          <w:bCs/>
        </w:rPr>
        <w:t xml:space="preserve"> 3rd Trimester</w:t>
      </w:r>
    </w:p>
    <w:p w14:paraId="4F2EF830" w14:textId="77777777" w:rsidR="00D81433" w:rsidRPr="00077581" w:rsidRDefault="00D81433" w:rsidP="00EF0802">
      <w:pPr>
        <w:numPr>
          <w:ilvl w:val="0"/>
          <w:numId w:val="71"/>
        </w:numPr>
        <w:spacing w:line="360" w:lineRule="auto"/>
        <w:rPr>
          <w:rFonts w:ascii="Times New Roman" w:hAnsi="Times New Roman" w:cs="Times New Roman"/>
          <w:bCs/>
        </w:rPr>
      </w:pPr>
      <w:r w:rsidRPr="00077581">
        <w:rPr>
          <w:rFonts w:ascii="Times New Roman" w:hAnsi="Times New Roman" w:cs="Times New Roman"/>
          <w:bCs/>
        </w:rPr>
        <w:t xml:space="preserve">Education Level: </w:t>
      </w:r>
      <w:r w:rsidRPr="00077581">
        <w:rPr>
          <w:rFonts w:ascii="Segoe UI Symbol" w:hAnsi="Segoe UI Symbol" w:cs="Segoe UI Symbol"/>
          <w:bCs/>
        </w:rPr>
        <w:t>☐</w:t>
      </w:r>
      <w:r w:rsidRPr="00077581">
        <w:rPr>
          <w:rFonts w:ascii="Times New Roman" w:hAnsi="Times New Roman" w:cs="Times New Roman"/>
          <w:bCs/>
        </w:rPr>
        <w:t xml:space="preserve"> No formal education </w:t>
      </w:r>
      <w:r w:rsidRPr="00077581">
        <w:rPr>
          <w:rFonts w:ascii="Segoe UI Symbol" w:hAnsi="Segoe UI Symbol" w:cs="Segoe UI Symbol"/>
          <w:bCs/>
        </w:rPr>
        <w:t>☐</w:t>
      </w:r>
      <w:r w:rsidRPr="00077581">
        <w:rPr>
          <w:rFonts w:ascii="Times New Roman" w:hAnsi="Times New Roman" w:cs="Times New Roman"/>
          <w:bCs/>
        </w:rPr>
        <w:t xml:space="preserve"> Primary </w:t>
      </w:r>
      <w:r w:rsidRPr="00077581">
        <w:rPr>
          <w:rFonts w:ascii="Segoe UI Symbol" w:hAnsi="Segoe UI Symbol" w:cs="Segoe UI Symbol"/>
          <w:bCs/>
        </w:rPr>
        <w:t>☐</w:t>
      </w:r>
      <w:r w:rsidRPr="00077581">
        <w:rPr>
          <w:rFonts w:ascii="Times New Roman" w:hAnsi="Times New Roman" w:cs="Times New Roman"/>
          <w:bCs/>
        </w:rPr>
        <w:t xml:space="preserve"> Secondary </w:t>
      </w:r>
      <w:r w:rsidRPr="00077581">
        <w:rPr>
          <w:rFonts w:ascii="Segoe UI Symbol" w:hAnsi="Segoe UI Symbol" w:cs="Segoe UI Symbol"/>
          <w:bCs/>
        </w:rPr>
        <w:t>☐</w:t>
      </w:r>
      <w:r w:rsidRPr="00077581">
        <w:rPr>
          <w:rFonts w:ascii="Times New Roman" w:hAnsi="Times New Roman" w:cs="Times New Roman"/>
          <w:bCs/>
        </w:rPr>
        <w:t xml:space="preserve"> Graduate </w:t>
      </w:r>
      <w:r w:rsidRPr="00077581">
        <w:rPr>
          <w:rFonts w:ascii="Segoe UI Symbol" w:hAnsi="Segoe UI Symbol" w:cs="Segoe UI Symbol"/>
          <w:bCs/>
        </w:rPr>
        <w:t>☐</w:t>
      </w:r>
      <w:r w:rsidRPr="00077581">
        <w:rPr>
          <w:rFonts w:ascii="Times New Roman" w:hAnsi="Times New Roman" w:cs="Times New Roman"/>
          <w:bCs/>
        </w:rPr>
        <w:t xml:space="preserve"> Postgraduate</w:t>
      </w:r>
    </w:p>
    <w:p w14:paraId="57F42A65" w14:textId="77777777" w:rsidR="00D81433" w:rsidRPr="00077581" w:rsidRDefault="00D81433" w:rsidP="00EF0802">
      <w:pPr>
        <w:numPr>
          <w:ilvl w:val="0"/>
          <w:numId w:val="71"/>
        </w:numPr>
        <w:spacing w:line="360" w:lineRule="auto"/>
        <w:rPr>
          <w:rFonts w:ascii="Times New Roman" w:hAnsi="Times New Roman" w:cs="Times New Roman"/>
          <w:bCs/>
        </w:rPr>
      </w:pPr>
      <w:r w:rsidRPr="00077581">
        <w:rPr>
          <w:rFonts w:ascii="Times New Roman" w:hAnsi="Times New Roman" w:cs="Times New Roman"/>
          <w:bCs/>
        </w:rPr>
        <w:t xml:space="preserve">Occupation: </w:t>
      </w:r>
      <w:r w:rsidRPr="00077581">
        <w:rPr>
          <w:rFonts w:ascii="Segoe UI Symbol" w:hAnsi="Segoe UI Symbol" w:cs="Segoe UI Symbol"/>
          <w:bCs/>
        </w:rPr>
        <w:t>☐</w:t>
      </w:r>
      <w:r w:rsidRPr="00077581">
        <w:rPr>
          <w:rFonts w:ascii="Times New Roman" w:hAnsi="Times New Roman" w:cs="Times New Roman"/>
          <w:bCs/>
        </w:rPr>
        <w:t xml:space="preserve"> Homemaker </w:t>
      </w:r>
      <w:r w:rsidRPr="00077581">
        <w:rPr>
          <w:rFonts w:ascii="Segoe UI Symbol" w:hAnsi="Segoe UI Symbol" w:cs="Segoe UI Symbol"/>
          <w:bCs/>
        </w:rPr>
        <w:t>☐</w:t>
      </w:r>
      <w:r w:rsidRPr="00077581">
        <w:rPr>
          <w:rFonts w:ascii="Times New Roman" w:hAnsi="Times New Roman" w:cs="Times New Roman"/>
          <w:bCs/>
        </w:rPr>
        <w:t xml:space="preserve"> Working </w:t>
      </w:r>
      <w:r w:rsidRPr="00077581">
        <w:rPr>
          <w:rFonts w:ascii="Segoe UI Symbol" w:hAnsi="Segoe UI Symbol" w:cs="Segoe UI Symbol"/>
          <w:bCs/>
        </w:rPr>
        <w:t>☐</w:t>
      </w:r>
      <w:r w:rsidRPr="00077581">
        <w:rPr>
          <w:rFonts w:ascii="Times New Roman" w:hAnsi="Times New Roman" w:cs="Times New Roman"/>
          <w:bCs/>
        </w:rPr>
        <w:t xml:space="preserve"> Student </w:t>
      </w:r>
      <w:r w:rsidRPr="00077581">
        <w:rPr>
          <w:rFonts w:ascii="Segoe UI Symbol" w:hAnsi="Segoe UI Symbol" w:cs="Segoe UI Symbol"/>
          <w:bCs/>
        </w:rPr>
        <w:t>☐</w:t>
      </w:r>
      <w:r w:rsidRPr="00077581">
        <w:rPr>
          <w:rFonts w:ascii="Times New Roman" w:hAnsi="Times New Roman" w:cs="Times New Roman"/>
          <w:bCs/>
        </w:rPr>
        <w:t xml:space="preserve"> Unemployed</w:t>
      </w:r>
    </w:p>
    <w:p w14:paraId="4D0B402E" w14:textId="77777777" w:rsidR="00D81433" w:rsidRPr="00077581" w:rsidRDefault="00D81433" w:rsidP="00EF0802">
      <w:pPr>
        <w:numPr>
          <w:ilvl w:val="0"/>
          <w:numId w:val="71"/>
        </w:numPr>
        <w:spacing w:line="360" w:lineRule="auto"/>
        <w:rPr>
          <w:rFonts w:ascii="Times New Roman" w:hAnsi="Times New Roman" w:cs="Times New Roman"/>
          <w:bCs/>
        </w:rPr>
      </w:pPr>
      <w:r w:rsidRPr="00077581">
        <w:rPr>
          <w:rFonts w:ascii="Times New Roman" w:hAnsi="Times New Roman" w:cs="Times New Roman"/>
          <w:bCs/>
        </w:rPr>
        <w:t xml:space="preserve">Monthly Family Income: </w:t>
      </w:r>
      <w:r w:rsidRPr="00077581">
        <w:rPr>
          <w:rFonts w:ascii="Segoe UI Symbol" w:hAnsi="Segoe UI Symbol" w:cs="Segoe UI Symbol"/>
          <w:bCs/>
        </w:rPr>
        <w:t>☐</w:t>
      </w:r>
      <w:r w:rsidRPr="00077581">
        <w:rPr>
          <w:rFonts w:ascii="Times New Roman" w:hAnsi="Times New Roman" w:cs="Times New Roman"/>
          <w:bCs/>
        </w:rPr>
        <w:t xml:space="preserve"> &lt; ₹10,000K </w:t>
      </w:r>
      <w:r w:rsidRPr="00077581">
        <w:rPr>
          <w:rFonts w:ascii="Segoe UI Symbol" w:hAnsi="Segoe UI Symbol" w:cs="Segoe UI Symbol"/>
          <w:bCs/>
        </w:rPr>
        <w:t>☐</w:t>
      </w:r>
      <w:r w:rsidRPr="00077581">
        <w:rPr>
          <w:rFonts w:ascii="Times New Roman" w:hAnsi="Times New Roman" w:cs="Times New Roman"/>
          <w:bCs/>
        </w:rPr>
        <w:t xml:space="preserve"> ₹10–20K </w:t>
      </w:r>
      <w:r w:rsidRPr="00077581">
        <w:rPr>
          <w:rFonts w:ascii="Segoe UI Symbol" w:hAnsi="Segoe UI Symbol" w:cs="Segoe UI Symbol"/>
          <w:bCs/>
        </w:rPr>
        <w:t>☐</w:t>
      </w:r>
      <w:r w:rsidRPr="00077581">
        <w:rPr>
          <w:rFonts w:ascii="Times New Roman" w:hAnsi="Times New Roman" w:cs="Times New Roman"/>
          <w:bCs/>
        </w:rPr>
        <w:t xml:space="preserve"> ₹20–30K </w:t>
      </w:r>
      <w:r w:rsidRPr="00077581">
        <w:rPr>
          <w:rFonts w:ascii="Segoe UI Symbol" w:hAnsi="Segoe UI Symbol" w:cs="Segoe UI Symbol"/>
          <w:bCs/>
        </w:rPr>
        <w:t>☐</w:t>
      </w:r>
      <w:r w:rsidRPr="00077581">
        <w:rPr>
          <w:rFonts w:ascii="Times New Roman" w:hAnsi="Times New Roman" w:cs="Times New Roman"/>
          <w:bCs/>
        </w:rPr>
        <w:t xml:space="preserve"> ₹30–50K </w:t>
      </w:r>
      <w:r w:rsidRPr="00077581">
        <w:rPr>
          <w:rFonts w:ascii="Segoe UI Symbol" w:hAnsi="Segoe UI Symbol" w:cs="Segoe UI Symbol"/>
          <w:bCs/>
        </w:rPr>
        <w:t>☐</w:t>
      </w:r>
      <w:r w:rsidRPr="00077581">
        <w:rPr>
          <w:rFonts w:ascii="Times New Roman" w:hAnsi="Times New Roman" w:cs="Times New Roman"/>
          <w:bCs/>
        </w:rPr>
        <w:t xml:space="preserve"> &gt; ₹50K</w:t>
      </w:r>
    </w:p>
    <w:p w14:paraId="43A9F63C" w14:textId="77777777" w:rsidR="00D81433" w:rsidRPr="00077581" w:rsidRDefault="00D81433" w:rsidP="00EF0802">
      <w:pPr>
        <w:numPr>
          <w:ilvl w:val="0"/>
          <w:numId w:val="71"/>
        </w:numPr>
        <w:spacing w:line="360" w:lineRule="auto"/>
        <w:rPr>
          <w:rFonts w:ascii="Times New Roman" w:hAnsi="Times New Roman" w:cs="Times New Roman"/>
          <w:bCs/>
        </w:rPr>
      </w:pPr>
      <w:r w:rsidRPr="00077581">
        <w:rPr>
          <w:rFonts w:ascii="Times New Roman" w:hAnsi="Times New Roman" w:cs="Times New Roman"/>
          <w:bCs/>
        </w:rPr>
        <w:t xml:space="preserve">Residence: </w:t>
      </w:r>
      <w:r w:rsidRPr="00077581">
        <w:rPr>
          <w:rFonts w:ascii="Segoe UI Symbol" w:hAnsi="Segoe UI Symbol" w:cs="Segoe UI Symbol"/>
          <w:bCs/>
        </w:rPr>
        <w:t>☐</w:t>
      </w:r>
      <w:r w:rsidRPr="00077581">
        <w:rPr>
          <w:rFonts w:ascii="Times New Roman" w:hAnsi="Times New Roman" w:cs="Times New Roman"/>
          <w:bCs/>
        </w:rPr>
        <w:t xml:space="preserve"> Urban </w:t>
      </w:r>
      <w:r w:rsidRPr="00077581">
        <w:rPr>
          <w:rFonts w:ascii="Segoe UI Symbol" w:hAnsi="Segoe UI Symbol" w:cs="Segoe UI Symbol"/>
          <w:bCs/>
        </w:rPr>
        <w:t>☐</w:t>
      </w:r>
      <w:r w:rsidRPr="00077581">
        <w:rPr>
          <w:rFonts w:ascii="Times New Roman" w:hAnsi="Times New Roman" w:cs="Times New Roman"/>
          <w:bCs/>
        </w:rPr>
        <w:t xml:space="preserve"> Semi-urban </w:t>
      </w:r>
      <w:r w:rsidRPr="00077581">
        <w:rPr>
          <w:rFonts w:ascii="Segoe UI Symbol" w:hAnsi="Segoe UI Symbol" w:cs="Segoe UI Symbol"/>
          <w:bCs/>
        </w:rPr>
        <w:t>☐</w:t>
      </w:r>
      <w:r w:rsidRPr="00077581">
        <w:rPr>
          <w:rFonts w:ascii="Times New Roman" w:hAnsi="Times New Roman" w:cs="Times New Roman"/>
          <w:bCs/>
        </w:rPr>
        <w:t xml:space="preserve"> Rural</w:t>
      </w:r>
    </w:p>
    <w:p w14:paraId="6A58273F" w14:textId="77777777" w:rsidR="00D81433" w:rsidRPr="00077581" w:rsidRDefault="00D81433" w:rsidP="00EF0802">
      <w:pPr>
        <w:numPr>
          <w:ilvl w:val="0"/>
          <w:numId w:val="71"/>
        </w:numPr>
        <w:spacing w:line="360" w:lineRule="auto"/>
        <w:rPr>
          <w:rFonts w:ascii="Times New Roman" w:hAnsi="Times New Roman" w:cs="Times New Roman"/>
          <w:bCs/>
        </w:rPr>
      </w:pPr>
      <w:r w:rsidRPr="00077581">
        <w:rPr>
          <w:rFonts w:ascii="Times New Roman" w:hAnsi="Times New Roman" w:cs="Times New Roman"/>
          <w:bCs/>
        </w:rPr>
        <w:t xml:space="preserve">Family Type: </w:t>
      </w:r>
      <w:r w:rsidRPr="00077581">
        <w:rPr>
          <w:rFonts w:ascii="Segoe UI Symbol" w:hAnsi="Segoe UI Symbol" w:cs="Segoe UI Symbol"/>
          <w:bCs/>
        </w:rPr>
        <w:t>☐</w:t>
      </w:r>
      <w:r w:rsidRPr="00077581">
        <w:rPr>
          <w:rFonts w:ascii="Times New Roman" w:hAnsi="Times New Roman" w:cs="Times New Roman"/>
          <w:bCs/>
        </w:rPr>
        <w:t xml:space="preserve"> Nuclear </w:t>
      </w:r>
      <w:r w:rsidRPr="00077581">
        <w:rPr>
          <w:rFonts w:ascii="Segoe UI Symbol" w:hAnsi="Segoe UI Symbol" w:cs="Segoe UI Symbol"/>
          <w:bCs/>
        </w:rPr>
        <w:t>☐</w:t>
      </w:r>
      <w:r w:rsidRPr="00077581">
        <w:rPr>
          <w:rFonts w:ascii="Times New Roman" w:hAnsi="Times New Roman" w:cs="Times New Roman"/>
          <w:bCs/>
        </w:rPr>
        <w:t xml:space="preserve"> Joint</w:t>
      </w:r>
    </w:p>
    <w:p w14:paraId="52E698B7" w14:textId="77777777" w:rsidR="00D81433" w:rsidRPr="00077581" w:rsidRDefault="00D81433" w:rsidP="00EF0802">
      <w:pPr>
        <w:numPr>
          <w:ilvl w:val="0"/>
          <w:numId w:val="71"/>
        </w:numPr>
        <w:spacing w:line="360" w:lineRule="auto"/>
        <w:rPr>
          <w:rFonts w:ascii="Times New Roman" w:hAnsi="Times New Roman" w:cs="Times New Roman"/>
          <w:bCs/>
        </w:rPr>
      </w:pPr>
      <w:r w:rsidRPr="00077581">
        <w:rPr>
          <w:rFonts w:ascii="Times New Roman" w:hAnsi="Times New Roman" w:cs="Times New Roman"/>
          <w:bCs/>
        </w:rPr>
        <w:t xml:space="preserve">Parity: </w:t>
      </w:r>
      <w:r w:rsidRPr="00077581">
        <w:rPr>
          <w:rFonts w:ascii="Segoe UI Symbol" w:hAnsi="Segoe UI Symbol" w:cs="Segoe UI Symbol"/>
          <w:bCs/>
        </w:rPr>
        <w:t>☐</w:t>
      </w:r>
      <w:r w:rsidRPr="00077581">
        <w:rPr>
          <w:rFonts w:ascii="Times New Roman" w:hAnsi="Times New Roman" w:cs="Times New Roman"/>
          <w:bCs/>
        </w:rPr>
        <w:t xml:space="preserve"> Primigravida </w:t>
      </w:r>
      <w:r w:rsidRPr="00077581">
        <w:rPr>
          <w:rFonts w:ascii="Segoe UI Symbol" w:hAnsi="Segoe UI Symbol" w:cs="Segoe UI Symbol"/>
          <w:bCs/>
        </w:rPr>
        <w:t>☐</w:t>
      </w:r>
      <w:r w:rsidRPr="00077581">
        <w:rPr>
          <w:rFonts w:ascii="Times New Roman" w:hAnsi="Times New Roman" w:cs="Times New Roman"/>
          <w:bCs/>
        </w:rPr>
        <w:t xml:space="preserve"> Multigravida</w:t>
      </w:r>
    </w:p>
    <w:p w14:paraId="737D95D8" w14:textId="77777777" w:rsidR="00D81433" w:rsidRPr="00077581" w:rsidRDefault="00D81433" w:rsidP="00EF0802">
      <w:pPr>
        <w:numPr>
          <w:ilvl w:val="0"/>
          <w:numId w:val="71"/>
        </w:numPr>
        <w:spacing w:line="360" w:lineRule="auto"/>
        <w:rPr>
          <w:rFonts w:ascii="Times New Roman" w:hAnsi="Times New Roman" w:cs="Times New Roman"/>
          <w:bCs/>
        </w:rPr>
      </w:pPr>
      <w:r w:rsidRPr="00077581">
        <w:rPr>
          <w:rFonts w:ascii="Times New Roman" w:hAnsi="Times New Roman" w:cs="Times New Roman"/>
          <w:bCs/>
        </w:rPr>
        <w:t xml:space="preserve">Family History of Thyroid: </w:t>
      </w: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w:t>
      </w:r>
    </w:p>
    <w:p w14:paraId="33EA78DB" w14:textId="77777777" w:rsidR="00D81433" w:rsidRPr="00077581" w:rsidRDefault="00D81433" w:rsidP="00EF0802">
      <w:pPr>
        <w:numPr>
          <w:ilvl w:val="0"/>
          <w:numId w:val="71"/>
        </w:numPr>
        <w:spacing w:line="360" w:lineRule="auto"/>
        <w:rPr>
          <w:rFonts w:ascii="Times New Roman" w:hAnsi="Times New Roman" w:cs="Times New Roman"/>
          <w:bCs/>
        </w:rPr>
      </w:pPr>
      <w:r w:rsidRPr="00077581">
        <w:rPr>
          <w:rFonts w:ascii="Times New Roman" w:hAnsi="Times New Roman" w:cs="Times New Roman"/>
          <w:bCs/>
        </w:rPr>
        <w:t xml:space="preserve">Family History of Hypertension: </w:t>
      </w: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w:t>
      </w:r>
    </w:p>
    <w:p w14:paraId="452B26ED" w14:textId="77777777" w:rsidR="00D81433" w:rsidRPr="00077581" w:rsidRDefault="00D81433" w:rsidP="00EF0802">
      <w:pPr>
        <w:spacing w:line="360" w:lineRule="auto"/>
        <w:rPr>
          <w:rFonts w:ascii="Times New Roman" w:hAnsi="Times New Roman" w:cs="Times New Roman"/>
          <w:bCs/>
        </w:rPr>
      </w:pPr>
    </w:p>
    <w:p w14:paraId="238122DF" w14:textId="77777777" w:rsidR="00D81433" w:rsidRPr="00077581" w:rsidRDefault="00D81433" w:rsidP="00EF0802">
      <w:pPr>
        <w:spacing w:line="360" w:lineRule="auto"/>
        <w:rPr>
          <w:rFonts w:ascii="Times New Roman" w:hAnsi="Times New Roman" w:cs="Times New Roman"/>
          <w:b/>
        </w:rPr>
      </w:pPr>
      <w:r w:rsidRPr="00077581">
        <w:rPr>
          <w:rFonts w:ascii="Times New Roman" w:hAnsi="Times New Roman" w:cs="Times New Roman"/>
          <w:b/>
        </w:rPr>
        <w:t xml:space="preserve">Section B: Knowledge and Awareness </w:t>
      </w:r>
      <w:r w:rsidRPr="00077581">
        <w:rPr>
          <w:rFonts w:ascii="Times New Roman" w:hAnsi="Times New Roman" w:cs="Times New Roman"/>
          <w:b/>
          <w:i/>
          <w:iCs/>
        </w:rPr>
        <w:t>(Pre-Test &amp; Post-Test)</w:t>
      </w:r>
    </w:p>
    <w:p w14:paraId="2C239782"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General Awareness</w:t>
      </w:r>
    </w:p>
    <w:p w14:paraId="6C782F8A" w14:textId="77777777" w:rsidR="00D81433" w:rsidRPr="00077581" w:rsidRDefault="00D81433" w:rsidP="00EF0802">
      <w:pPr>
        <w:numPr>
          <w:ilvl w:val="0"/>
          <w:numId w:val="72"/>
        </w:numPr>
        <w:spacing w:line="360" w:lineRule="auto"/>
        <w:rPr>
          <w:rFonts w:ascii="Times New Roman" w:hAnsi="Times New Roman" w:cs="Times New Roman"/>
          <w:bCs/>
        </w:rPr>
      </w:pPr>
      <w:r w:rsidRPr="00077581">
        <w:rPr>
          <w:rFonts w:ascii="Times New Roman" w:hAnsi="Times New Roman" w:cs="Times New Roman"/>
          <w:bCs/>
        </w:rPr>
        <w:t>Have you heard of thyroid disorders in pregnancy?</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w:t>
      </w:r>
    </w:p>
    <w:p w14:paraId="59C4AEC0" w14:textId="77777777" w:rsidR="00D81433" w:rsidRPr="00077581" w:rsidRDefault="00D81433" w:rsidP="00EF0802">
      <w:pPr>
        <w:numPr>
          <w:ilvl w:val="0"/>
          <w:numId w:val="72"/>
        </w:numPr>
        <w:spacing w:line="360" w:lineRule="auto"/>
        <w:rPr>
          <w:rFonts w:ascii="Times New Roman" w:hAnsi="Times New Roman" w:cs="Times New Roman"/>
          <w:bCs/>
        </w:rPr>
      </w:pPr>
      <w:r w:rsidRPr="00077581">
        <w:rPr>
          <w:rFonts w:ascii="Times New Roman" w:hAnsi="Times New Roman" w:cs="Times New Roman"/>
          <w:bCs/>
        </w:rPr>
        <w:t>Can untreated thyroid affect pregnancy outcomes?</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 </w:t>
      </w:r>
      <w:r w:rsidRPr="00077581">
        <w:rPr>
          <w:rFonts w:ascii="Segoe UI Symbol" w:hAnsi="Segoe UI Symbol" w:cs="Segoe UI Symbol"/>
          <w:bCs/>
        </w:rPr>
        <w:t>☐</w:t>
      </w:r>
      <w:r w:rsidRPr="00077581">
        <w:rPr>
          <w:rFonts w:ascii="Times New Roman" w:hAnsi="Times New Roman" w:cs="Times New Roman"/>
          <w:bCs/>
        </w:rPr>
        <w:t xml:space="preserve"> Not sure</w:t>
      </w:r>
    </w:p>
    <w:p w14:paraId="6970F20F" w14:textId="77777777" w:rsidR="00D81433" w:rsidRPr="00077581" w:rsidRDefault="00D81433" w:rsidP="00EF0802">
      <w:pPr>
        <w:numPr>
          <w:ilvl w:val="0"/>
          <w:numId w:val="72"/>
        </w:numPr>
        <w:spacing w:line="360" w:lineRule="auto"/>
        <w:rPr>
          <w:rFonts w:ascii="Times New Roman" w:hAnsi="Times New Roman" w:cs="Times New Roman"/>
          <w:bCs/>
        </w:rPr>
      </w:pPr>
      <w:r w:rsidRPr="00077581">
        <w:rPr>
          <w:rFonts w:ascii="Times New Roman" w:hAnsi="Times New Roman" w:cs="Times New Roman"/>
          <w:bCs/>
        </w:rPr>
        <w:lastRenderedPageBreak/>
        <w:t>Have you heard of hypertension during pregnancy?</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w:t>
      </w:r>
    </w:p>
    <w:p w14:paraId="2D032263" w14:textId="77777777" w:rsidR="00D81433" w:rsidRPr="00077581" w:rsidRDefault="00D81433" w:rsidP="00EF0802">
      <w:pPr>
        <w:numPr>
          <w:ilvl w:val="0"/>
          <w:numId w:val="72"/>
        </w:numPr>
        <w:spacing w:line="360" w:lineRule="auto"/>
        <w:rPr>
          <w:rFonts w:ascii="Times New Roman" w:hAnsi="Times New Roman" w:cs="Times New Roman"/>
          <w:bCs/>
        </w:rPr>
      </w:pPr>
      <w:r w:rsidRPr="00077581">
        <w:rPr>
          <w:rFonts w:ascii="Times New Roman" w:hAnsi="Times New Roman" w:cs="Times New Roman"/>
          <w:bCs/>
        </w:rPr>
        <w:t>Can high blood pressure cause complications during pregnancy?</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 </w:t>
      </w:r>
      <w:r w:rsidRPr="00077581">
        <w:rPr>
          <w:rFonts w:ascii="Segoe UI Symbol" w:hAnsi="Segoe UI Symbol" w:cs="Segoe UI Symbol"/>
          <w:bCs/>
        </w:rPr>
        <w:t>☐</w:t>
      </w:r>
      <w:r w:rsidRPr="00077581">
        <w:rPr>
          <w:rFonts w:ascii="Times New Roman" w:hAnsi="Times New Roman" w:cs="Times New Roman"/>
          <w:bCs/>
        </w:rPr>
        <w:t xml:space="preserve"> Not sure</w:t>
      </w:r>
    </w:p>
    <w:p w14:paraId="6C4AE9E2" w14:textId="77777777" w:rsidR="00D81433" w:rsidRPr="00077581" w:rsidRDefault="00D81433" w:rsidP="00EF0802">
      <w:pPr>
        <w:numPr>
          <w:ilvl w:val="0"/>
          <w:numId w:val="72"/>
        </w:numPr>
        <w:spacing w:line="360" w:lineRule="auto"/>
        <w:rPr>
          <w:rFonts w:ascii="Times New Roman" w:hAnsi="Times New Roman" w:cs="Times New Roman"/>
          <w:bCs/>
        </w:rPr>
      </w:pPr>
      <w:r w:rsidRPr="00077581">
        <w:rPr>
          <w:rFonts w:ascii="Times New Roman" w:hAnsi="Times New Roman" w:cs="Times New Roman"/>
          <w:bCs/>
        </w:rPr>
        <w:t>Can lifestyle changes help prevent/manage thyroid and hypertension?</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 </w:t>
      </w:r>
      <w:r w:rsidRPr="00077581">
        <w:rPr>
          <w:rFonts w:ascii="Segoe UI Symbol" w:hAnsi="Segoe UI Symbol" w:cs="Segoe UI Symbol"/>
          <w:bCs/>
        </w:rPr>
        <w:t>☐</w:t>
      </w:r>
      <w:r w:rsidRPr="00077581">
        <w:rPr>
          <w:rFonts w:ascii="Times New Roman" w:hAnsi="Times New Roman" w:cs="Times New Roman"/>
          <w:bCs/>
        </w:rPr>
        <w:t xml:space="preserve"> Not sure</w:t>
      </w:r>
    </w:p>
    <w:p w14:paraId="10FB6C9B" w14:textId="77777777" w:rsidR="00D81433" w:rsidRPr="00077581" w:rsidRDefault="00D81433" w:rsidP="00EF0802">
      <w:pPr>
        <w:numPr>
          <w:ilvl w:val="0"/>
          <w:numId w:val="72"/>
        </w:numPr>
        <w:spacing w:line="360" w:lineRule="auto"/>
        <w:rPr>
          <w:rFonts w:ascii="Times New Roman" w:hAnsi="Times New Roman" w:cs="Times New Roman"/>
          <w:bCs/>
        </w:rPr>
      </w:pPr>
      <w:r w:rsidRPr="00077581">
        <w:rPr>
          <w:rFonts w:ascii="Times New Roman" w:hAnsi="Times New Roman" w:cs="Times New Roman"/>
          <w:bCs/>
        </w:rPr>
        <w:t>Are thyroid/BP problems always visible through symptoms?</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 </w:t>
      </w:r>
      <w:r w:rsidRPr="00077581">
        <w:rPr>
          <w:rFonts w:ascii="Segoe UI Symbol" w:hAnsi="Segoe UI Symbol" w:cs="Segoe UI Symbol"/>
          <w:bCs/>
        </w:rPr>
        <w:t>☐</w:t>
      </w:r>
      <w:r w:rsidRPr="00077581">
        <w:rPr>
          <w:rFonts w:ascii="Times New Roman" w:hAnsi="Times New Roman" w:cs="Times New Roman"/>
          <w:bCs/>
        </w:rPr>
        <w:t xml:space="preserve"> Not sure</w:t>
      </w:r>
    </w:p>
    <w:p w14:paraId="18822032" w14:textId="77777777" w:rsidR="00D81433" w:rsidRPr="00077581" w:rsidRDefault="00D81433" w:rsidP="00EF0802">
      <w:pPr>
        <w:numPr>
          <w:ilvl w:val="0"/>
          <w:numId w:val="72"/>
        </w:numPr>
        <w:spacing w:line="360" w:lineRule="auto"/>
        <w:rPr>
          <w:rFonts w:ascii="Times New Roman" w:hAnsi="Times New Roman" w:cs="Times New Roman"/>
          <w:bCs/>
        </w:rPr>
      </w:pPr>
      <w:r w:rsidRPr="00077581">
        <w:rPr>
          <w:rFonts w:ascii="Times New Roman" w:hAnsi="Times New Roman" w:cs="Times New Roman"/>
          <w:bCs/>
        </w:rPr>
        <w:t>What are symptoms of thyroid problems? (Tick all that apply)</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Fatigue </w:t>
      </w:r>
      <w:r w:rsidRPr="00077581">
        <w:rPr>
          <w:rFonts w:ascii="Segoe UI Symbol" w:hAnsi="Segoe UI Symbol" w:cs="Segoe UI Symbol"/>
          <w:bCs/>
        </w:rPr>
        <w:t>☐</w:t>
      </w:r>
      <w:r w:rsidRPr="00077581">
        <w:rPr>
          <w:rFonts w:ascii="Times New Roman" w:hAnsi="Times New Roman" w:cs="Times New Roman"/>
          <w:bCs/>
        </w:rPr>
        <w:t xml:space="preserve"> Weight gain </w:t>
      </w:r>
      <w:r w:rsidRPr="00077581">
        <w:rPr>
          <w:rFonts w:ascii="Segoe UI Symbol" w:hAnsi="Segoe UI Symbol" w:cs="Segoe UI Symbol"/>
          <w:bCs/>
        </w:rPr>
        <w:t>☐</w:t>
      </w:r>
      <w:r w:rsidRPr="00077581">
        <w:rPr>
          <w:rFonts w:ascii="Times New Roman" w:hAnsi="Times New Roman" w:cs="Times New Roman"/>
          <w:bCs/>
        </w:rPr>
        <w:t xml:space="preserve"> Cold intolerance </w:t>
      </w:r>
      <w:r w:rsidRPr="00077581">
        <w:rPr>
          <w:rFonts w:ascii="Segoe UI Symbol" w:hAnsi="Segoe UI Symbol" w:cs="Segoe UI Symbol"/>
          <w:bCs/>
        </w:rPr>
        <w:t>☐</w:t>
      </w:r>
      <w:r w:rsidRPr="00077581">
        <w:rPr>
          <w:rFonts w:ascii="Times New Roman" w:hAnsi="Times New Roman" w:cs="Times New Roman"/>
          <w:bCs/>
        </w:rPr>
        <w:t xml:space="preserve"> Palpitations </w:t>
      </w:r>
      <w:r w:rsidRPr="00077581">
        <w:rPr>
          <w:rFonts w:ascii="Segoe UI Symbol" w:hAnsi="Segoe UI Symbol" w:cs="Segoe UI Symbol"/>
          <w:bCs/>
        </w:rPr>
        <w:t>☐</w:t>
      </w:r>
      <w:r w:rsidRPr="00077581">
        <w:rPr>
          <w:rFonts w:ascii="Times New Roman" w:hAnsi="Times New Roman" w:cs="Times New Roman"/>
          <w:bCs/>
        </w:rPr>
        <w:t xml:space="preserve"> Don’t know</w:t>
      </w:r>
    </w:p>
    <w:p w14:paraId="5319E63F" w14:textId="77777777" w:rsidR="00D81433" w:rsidRPr="00077581" w:rsidRDefault="00D81433" w:rsidP="00EF0802">
      <w:pPr>
        <w:numPr>
          <w:ilvl w:val="0"/>
          <w:numId w:val="72"/>
        </w:numPr>
        <w:spacing w:line="360" w:lineRule="auto"/>
        <w:rPr>
          <w:rFonts w:ascii="Times New Roman" w:hAnsi="Times New Roman" w:cs="Times New Roman"/>
          <w:bCs/>
        </w:rPr>
      </w:pPr>
      <w:r w:rsidRPr="00077581">
        <w:rPr>
          <w:rFonts w:ascii="Times New Roman" w:hAnsi="Times New Roman" w:cs="Times New Roman"/>
          <w:bCs/>
        </w:rPr>
        <w:t>What are signs of high BP? (Tick all that apply)</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Headache </w:t>
      </w:r>
      <w:r w:rsidRPr="00077581">
        <w:rPr>
          <w:rFonts w:ascii="Segoe UI Symbol" w:hAnsi="Segoe UI Symbol" w:cs="Segoe UI Symbol"/>
          <w:bCs/>
        </w:rPr>
        <w:t>☐</w:t>
      </w:r>
      <w:r w:rsidRPr="00077581">
        <w:rPr>
          <w:rFonts w:ascii="Times New Roman" w:hAnsi="Times New Roman" w:cs="Times New Roman"/>
          <w:bCs/>
        </w:rPr>
        <w:t xml:space="preserve"> Swelling </w:t>
      </w:r>
      <w:r w:rsidRPr="00077581">
        <w:rPr>
          <w:rFonts w:ascii="Segoe UI Symbol" w:hAnsi="Segoe UI Symbol" w:cs="Segoe UI Symbol"/>
          <w:bCs/>
        </w:rPr>
        <w:t>☐</w:t>
      </w:r>
      <w:r w:rsidRPr="00077581">
        <w:rPr>
          <w:rFonts w:ascii="Times New Roman" w:hAnsi="Times New Roman" w:cs="Times New Roman"/>
          <w:bCs/>
        </w:rPr>
        <w:t xml:space="preserve"> Blurred vision </w:t>
      </w:r>
      <w:r w:rsidRPr="00077581">
        <w:rPr>
          <w:rFonts w:ascii="Segoe UI Symbol" w:hAnsi="Segoe UI Symbol" w:cs="Segoe UI Symbol"/>
          <w:bCs/>
        </w:rPr>
        <w:t>☐</w:t>
      </w:r>
      <w:r w:rsidRPr="00077581">
        <w:rPr>
          <w:rFonts w:ascii="Times New Roman" w:hAnsi="Times New Roman" w:cs="Times New Roman"/>
          <w:bCs/>
        </w:rPr>
        <w:t xml:space="preserve"> Chest pain </w:t>
      </w:r>
      <w:r w:rsidRPr="00077581">
        <w:rPr>
          <w:rFonts w:ascii="Segoe UI Symbol" w:hAnsi="Segoe UI Symbol" w:cs="Segoe UI Symbol"/>
          <w:bCs/>
        </w:rPr>
        <w:t>☐</w:t>
      </w:r>
      <w:r w:rsidRPr="00077581">
        <w:rPr>
          <w:rFonts w:ascii="Times New Roman" w:hAnsi="Times New Roman" w:cs="Times New Roman"/>
          <w:bCs/>
        </w:rPr>
        <w:t xml:space="preserve"> Don’t know</w:t>
      </w:r>
    </w:p>
    <w:p w14:paraId="23A2CEB0" w14:textId="77777777" w:rsidR="00D81433" w:rsidRPr="00077581" w:rsidRDefault="00D81433" w:rsidP="00EF0802">
      <w:pPr>
        <w:spacing w:line="360" w:lineRule="auto"/>
        <w:rPr>
          <w:rFonts w:ascii="Times New Roman" w:hAnsi="Times New Roman" w:cs="Times New Roman"/>
          <w:bCs/>
        </w:rPr>
      </w:pPr>
    </w:p>
    <w:p w14:paraId="37DFFA93" w14:textId="77777777" w:rsidR="00D81433" w:rsidRPr="00077581" w:rsidRDefault="00D81433" w:rsidP="00EF0802">
      <w:pPr>
        <w:spacing w:line="360" w:lineRule="auto"/>
        <w:rPr>
          <w:rFonts w:ascii="Times New Roman" w:hAnsi="Times New Roman" w:cs="Times New Roman"/>
          <w:b/>
        </w:rPr>
      </w:pPr>
      <w:r w:rsidRPr="00077581">
        <w:rPr>
          <w:rFonts w:ascii="Times New Roman" w:hAnsi="Times New Roman" w:cs="Times New Roman"/>
          <w:b/>
        </w:rPr>
        <w:t>SECTION C: MEDICAL DATA (Clinical Inputs) (Pre &amp; Post)</w:t>
      </w:r>
    </w:p>
    <w:tbl>
      <w:tblPr>
        <w:tblStyle w:val="TableGrid"/>
        <w:tblW w:w="5000" w:type="pct"/>
        <w:tblLook w:val="04A0" w:firstRow="1" w:lastRow="0" w:firstColumn="1" w:lastColumn="0" w:noHBand="0" w:noVBand="1"/>
      </w:tblPr>
      <w:tblGrid>
        <w:gridCol w:w="4268"/>
        <w:gridCol w:w="1941"/>
        <w:gridCol w:w="1186"/>
        <w:gridCol w:w="901"/>
      </w:tblGrid>
      <w:tr w:rsidR="00D81433" w:rsidRPr="00077581" w14:paraId="5A96BDB6" w14:textId="77777777" w:rsidTr="00E55E15">
        <w:tc>
          <w:tcPr>
            <w:tcW w:w="2572" w:type="pct"/>
            <w:hideMark/>
          </w:tcPr>
          <w:p w14:paraId="269C9B91"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Parameter</w:t>
            </w:r>
          </w:p>
        </w:tc>
        <w:tc>
          <w:tcPr>
            <w:tcW w:w="1170" w:type="pct"/>
            <w:hideMark/>
          </w:tcPr>
          <w:p w14:paraId="6108CC10"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Value</w:t>
            </w:r>
          </w:p>
        </w:tc>
        <w:tc>
          <w:tcPr>
            <w:tcW w:w="715" w:type="pct"/>
            <w:hideMark/>
          </w:tcPr>
          <w:p w14:paraId="2989591B"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Units</w:t>
            </w:r>
          </w:p>
        </w:tc>
        <w:tc>
          <w:tcPr>
            <w:tcW w:w="543" w:type="pct"/>
            <w:hideMark/>
          </w:tcPr>
          <w:p w14:paraId="152C2BBD"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Date</w:t>
            </w:r>
          </w:p>
        </w:tc>
      </w:tr>
      <w:tr w:rsidR="00D81433" w:rsidRPr="00077581" w14:paraId="3FE843B8" w14:textId="77777777" w:rsidTr="00E55E15">
        <w:tc>
          <w:tcPr>
            <w:tcW w:w="2572" w:type="pct"/>
            <w:hideMark/>
          </w:tcPr>
          <w:p w14:paraId="63F8D6F7"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TSH</w:t>
            </w:r>
          </w:p>
        </w:tc>
        <w:tc>
          <w:tcPr>
            <w:tcW w:w="1170" w:type="pct"/>
          </w:tcPr>
          <w:p w14:paraId="5C5BB87E" w14:textId="77777777" w:rsidR="00D81433" w:rsidRPr="00077581" w:rsidRDefault="00D81433" w:rsidP="00EF0802">
            <w:pPr>
              <w:spacing w:line="360" w:lineRule="auto"/>
              <w:rPr>
                <w:rFonts w:ascii="Times New Roman" w:hAnsi="Times New Roman" w:cs="Times New Roman"/>
                <w:bCs/>
              </w:rPr>
            </w:pPr>
          </w:p>
        </w:tc>
        <w:tc>
          <w:tcPr>
            <w:tcW w:w="715" w:type="pct"/>
            <w:hideMark/>
          </w:tcPr>
          <w:p w14:paraId="45C18FCB" w14:textId="77777777" w:rsidR="00D81433" w:rsidRPr="00077581" w:rsidRDefault="00D81433" w:rsidP="00EF0802">
            <w:pPr>
              <w:spacing w:line="360" w:lineRule="auto"/>
              <w:rPr>
                <w:rFonts w:ascii="Times New Roman" w:hAnsi="Times New Roman" w:cs="Times New Roman"/>
                <w:bCs/>
              </w:rPr>
            </w:pPr>
            <w:proofErr w:type="spellStart"/>
            <w:r w:rsidRPr="00077581">
              <w:rPr>
                <w:rFonts w:ascii="Times New Roman" w:hAnsi="Times New Roman" w:cs="Times New Roman"/>
                <w:bCs/>
              </w:rPr>
              <w:t>mIU</w:t>
            </w:r>
            <w:proofErr w:type="spellEnd"/>
            <w:r w:rsidRPr="00077581">
              <w:rPr>
                <w:rFonts w:ascii="Times New Roman" w:hAnsi="Times New Roman" w:cs="Times New Roman"/>
                <w:bCs/>
              </w:rPr>
              <w:t>/L</w:t>
            </w:r>
          </w:p>
        </w:tc>
        <w:tc>
          <w:tcPr>
            <w:tcW w:w="543" w:type="pct"/>
          </w:tcPr>
          <w:p w14:paraId="2DB6264E" w14:textId="77777777" w:rsidR="00D81433" w:rsidRPr="00077581" w:rsidRDefault="00D81433" w:rsidP="00EF0802">
            <w:pPr>
              <w:spacing w:line="360" w:lineRule="auto"/>
              <w:rPr>
                <w:rFonts w:ascii="Times New Roman" w:hAnsi="Times New Roman" w:cs="Times New Roman"/>
                <w:bCs/>
              </w:rPr>
            </w:pPr>
          </w:p>
        </w:tc>
      </w:tr>
      <w:tr w:rsidR="00D81433" w:rsidRPr="00077581" w14:paraId="4EBF4935" w14:textId="77777777" w:rsidTr="00E55E15">
        <w:tc>
          <w:tcPr>
            <w:tcW w:w="2572" w:type="pct"/>
            <w:hideMark/>
          </w:tcPr>
          <w:p w14:paraId="4C7ACB53"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Free T4</w:t>
            </w:r>
          </w:p>
        </w:tc>
        <w:tc>
          <w:tcPr>
            <w:tcW w:w="1170" w:type="pct"/>
          </w:tcPr>
          <w:p w14:paraId="1DD7150F" w14:textId="77777777" w:rsidR="00D81433" w:rsidRPr="00077581" w:rsidRDefault="00D81433" w:rsidP="00EF0802">
            <w:pPr>
              <w:spacing w:line="360" w:lineRule="auto"/>
              <w:rPr>
                <w:rFonts w:ascii="Times New Roman" w:hAnsi="Times New Roman" w:cs="Times New Roman"/>
                <w:bCs/>
              </w:rPr>
            </w:pPr>
          </w:p>
        </w:tc>
        <w:tc>
          <w:tcPr>
            <w:tcW w:w="715" w:type="pct"/>
            <w:hideMark/>
          </w:tcPr>
          <w:p w14:paraId="5F4F951F"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ng/dL</w:t>
            </w:r>
          </w:p>
        </w:tc>
        <w:tc>
          <w:tcPr>
            <w:tcW w:w="543" w:type="pct"/>
          </w:tcPr>
          <w:p w14:paraId="0B18BAB4" w14:textId="77777777" w:rsidR="00D81433" w:rsidRPr="00077581" w:rsidRDefault="00D81433" w:rsidP="00EF0802">
            <w:pPr>
              <w:spacing w:line="360" w:lineRule="auto"/>
              <w:rPr>
                <w:rFonts w:ascii="Times New Roman" w:hAnsi="Times New Roman" w:cs="Times New Roman"/>
                <w:bCs/>
              </w:rPr>
            </w:pPr>
          </w:p>
        </w:tc>
      </w:tr>
      <w:tr w:rsidR="00D81433" w:rsidRPr="00077581" w14:paraId="5698419E" w14:textId="77777777" w:rsidTr="00E55E15">
        <w:tc>
          <w:tcPr>
            <w:tcW w:w="2572" w:type="pct"/>
            <w:hideMark/>
          </w:tcPr>
          <w:p w14:paraId="1B684A7A"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Free T3</w:t>
            </w:r>
          </w:p>
        </w:tc>
        <w:tc>
          <w:tcPr>
            <w:tcW w:w="1170" w:type="pct"/>
          </w:tcPr>
          <w:p w14:paraId="0AFDE418" w14:textId="77777777" w:rsidR="00D81433" w:rsidRPr="00077581" w:rsidRDefault="00D81433" w:rsidP="00EF0802">
            <w:pPr>
              <w:spacing w:line="360" w:lineRule="auto"/>
              <w:rPr>
                <w:rFonts w:ascii="Times New Roman" w:hAnsi="Times New Roman" w:cs="Times New Roman"/>
                <w:bCs/>
              </w:rPr>
            </w:pPr>
          </w:p>
        </w:tc>
        <w:tc>
          <w:tcPr>
            <w:tcW w:w="715" w:type="pct"/>
            <w:hideMark/>
          </w:tcPr>
          <w:p w14:paraId="492421EB" w14:textId="77777777" w:rsidR="00D81433" w:rsidRPr="00077581" w:rsidRDefault="00D81433" w:rsidP="00EF0802">
            <w:pPr>
              <w:spacing w:line="360" w:lineRule="auto"/>
              <w:rPr>
                <w:rFonts w:ascii="Times New Roman" w:hAnsi="Times New Roman" w:cs="Times New Roman"/>
                <w:bCs/>
              </w:rPr>
            </w:pPr>
            <w:proofErr w:type="spellStart"/>
            <w:r w:rsidRPr="00077581">
              <w:rPr>
                <w:rFonts w:ascii="Times New Roman" w:hAnsi="Times New Roman" w:cs="Times New Roman"/>
                <w:bCs/>
              </w:rPr>
              <w:t>pg</w:t>
            </w:r>
            <w:proofErr w:type="spellEnd"/>
            <w:r w:rsidRPr="00077581">
              <w:rPr>
                <w:rFonts w:ascii="Times New Roman" w:hAnsi="Times New Roman" w:cs="Times New Roman"/>
                <w:bCs/>
              </w:rPr>
              <w:t>/mL</w:t>
            </w:r>
          </w:p>
        </w:tc>
        <w:tc>
          <w:tcPr>
            <w:tcW w:w="543" w:type="pct"/>
          </w:tcPr>
          <w:p w14:paraId="0A360CDD" w14:textId="77777777" w:rsidR="00D81433" w:rsidRPr="00077581" w:rsidRDefault="00D81433" w:rsidP="00EF0802">
            <w:pPr>
              <w:spacing w:line="360" w:lineRule="auto"/>
              <w:rPr>
                <w:rFonts w:ascii="Times New Roman" w:hAnsi="Times New Roman" w:cs="Times New Roman"/>
                <w:bCs/>
              </w:rPr>
            </w:pPr>
          </w:p>
        </w:tc>
      </w:tr>
      <w:tr w:rsidR="00D81433" w:rsidRPr="00077581" w14:paraId="593EC8BD" w14:textId="77777777" w:rsidTr="00E55E15">
        <w:tc>
          <w:tcPr>
            <w:tcW w:w="2572" w:type="pct"/>
            <w:hideMark/>
          </w:tcPr>
          <w:p w14:paraId="2A1A213E"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Systolic BP</w:t>
            </w:r>
          </w:p>
        </w:tc>
        <w:tc>
          <w:tcPr>
            <w:tcW w:w="1170" w:type="pct"/>
          </w:tcPr>
          <w:p w14:paraId="477A0F01" w14:textId="77777777" w:rsidR="00D81433" w:rsidRPr="00077581" w:rsidRDefault="00D81433" w:rsidP="00EF0802">
            <w:pPr>
              <w:spacing w:line="360" w:lineRule="auto"/>
              <w:rPr>
                <w:rFonts w:ascii="Times New Roman" w:hAnsi="Times New Roman" w:cs="Times New Roman"/>
                <w:bCs/>
              </w:rPr>
            </w:pPr>
          </w:p>
        </w:tc>
        <w:tc>
          <w:tcPr>
            <w:tcW w:w="715" w:type="pct"/>
            <w:hideMark/>
          </w:tcPr>
          <w:p w14:paraId="309E7E25"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mmHg</w:t>
            </w:r>
          </w:p>
        </w:tc>
        <w:tc>
          <w:tcPr>
            <w:tcW w:w="543" w:type="pct"/>
          </w:tcPr>
          <w:p w14:paraId="4B5A10AE" w14:textId="77777777" w:rsidR="00D81433" w:rsidRPr="00077581" w:rsidRDefault="00D81433" w:rsidP="00EF0802">
            <w:pPr>
              <w:spacing w:line="360" w:lineRule="auto"/>
              <w:rPr>
                <w:rFonts w:ascii="Times New Roman" w:hAnsi="Times New Roman" w:cs="Times New Roman"/>
                <w:bCs/>
              </w:rPr>
            </w:pPr>
          </w:p>
        </w:tc>
      </w:tr>
      <w:tr w:rsidR="00D81433" w:rsidRPr="00077581" w14:paraId="796D4B71" w14:textId="77777777" w:rsidTr="00E55E15">
        <w:tc>
          <w:tcPr>
            <w:tcW w:w="2572" w:type="pct"/>
            <w:hideMark/>
          </w:tcPr>
          <w:p w14:paraId="58A7D938"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Diastolic BP</w:t>
            </w:r>
          </w:p>
        </w:tc>
        <w:tc>
          <w:tcPr>
            <w:tcW w:w="1170" w:type="pct"/>
          </w:tcPr>
          <w:p w14:paraId="3A451C06" w14:textId="77777777" w:rsidR="00D81433" w:rsidRPr="00077581" w:rsidRDefault="00D81433" w:rsidP="00EF0802">
            <w:pPr>
              <w:spacing w:line="360" w:lineRule="auto"/>
              <w:rPr>
                <w:rFonts w:ascii="Times New Roman" w:hAnsi="Times New Roman" w:cs="Times New Roman"/>
                <w:bCs/>
              </w:rPr>
            </w:pPr>
          </w:p>
        </w:tc>
        <w:tc>
          <w:tcPr>
            <w:tcW w:w="715" w:type="pct"/>
            <w:hideMark/>
          </w:tcPr>
          <w:p w14:paraId="0850F47D"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mmHg</w:t>
            </w:r>
          </w:p>
        </w:tc>
        <w:tc>
          <w:tcPr>
            <w:tcW w:w="543" w:type="pct"/>
          </w:tcPr>
          <w:p w14:paraId="24C01EE0" w14:textId="77777777" w:rsidR="00D81433" w:rsidRPr="00077581" w:rsidRDefault="00D81433" w:rsidP="00EF0802">
            <w:pPr>
              <w:spacing w:line="360" w:lineRule="auto"/>
              <w:rPr>
                <w:rFonts w:ascii="Times New Roman" w:hAnsi="Times New Roman" w:cs="Times New Roman"/>
                <w:bCs/>
              </w:rPr>
            </w:pPr>
          </w:p>
        </w:tc>
      </w:tr>
      <w:tr w:rsidR="00D81433" w:rsidRPr="00077581" w14:paraId="64672338" w14:textId="77777777" w:rsidTr="00E55E15">
        <w:tc>
          <w:tcPr>
            <w:tcW w:w="2572" w:type="pct"/>
            <w:hideMark/>
          </w:tcPr>
          <w:p w14:paraId="70F4269C"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Urine Protein</w:t>
            </w:r>
          </w:p>
        </w:tc>
        <w:tc>
          <w:tcPr>
            <w:tcW w:w="1170" w:type="pct"/>
          </w:tcPr>
          <w:p w14:paraId="617A128D" w14:textId="77777777" w:rsidR="00D81433" w:rsidRPr="00077581" w:rsidRDefault="00D81433" w:rsidP="00EF0802">
            <w:pPr>
              <w:spacing w:line="360" w:lineRule="auto"/>
              <w:rPr>
                <w:rFonts w:ascii="Times New Roman" w:hAnsi="Times New Roman" w:cs="Times New Roman"/>
                <w:bCs/>
              </w:rPr>
            </w:pPr>
          </w:p>
        </w:tc>
        <w:tc>
          <w:tcPr>
            <w:tcW w:w="715" w:type="pct"/>
            <w:hideMark/>
          </w:tcPr>
          <w:p w14:paraId="23268A02"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 / –</w:t>
            </w:r>
          </w:p>
        </w:tc>
        <w:tc>
          <w:tcPr>
            <w:tcW w:w="543" w:type="pct"/>
          </w:tcPr>
          <w:p w14:paraId="18893FF4" w14:textId="77777777" w:rsidR="00D81433" w:rsidRPr="00077581" w:rsidRDefault="00D81433" w:rsidP="00EF0802">
            <w:pPr>
              <w:spacing w:line="360" w:lineRule="auto"/>
              <w:rPr>
                <w:rFonts w:ascii="Times New Roman" w:hAnsi="Times New Roman" w:cs="Times New Roman"/>
                <w:bCs/>
              </w:rPr>
            </w:pPr>
          </w:p>
        </w:tc>
      </w:tr>
      <w:tr w:rsidR="00D81433" w:rsidRPr="00077581" w14:paraId="11339CA5" w14:textId="77777777" w:rsidTr="00E55E15">
        <w:tc>
          <w:tcPr>
            <w:tcW w:w="2572" w:type="pct"/>
          </w:tcPr>
          <w:p w14:paraId="63BF024B"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Fasting Blood Sugar</w:t>
            </w:r>
          </w:p>
        </w:tc>
        <w:tc>
          <w:tcPr>
            <w:tcW w:w="1170" w:type="pct"/>
          </w:tcPr>
          <w:p w14:paraId="31C7E71D" w14:textId="77777777" w:rsidR="00D81433" w:rsidRPr="00077581" w:rsidRDefault="00D81433" w:rsidP="00EF0802">
            <w:pPr>
              <w:spacing w:line="360" w:lineRule="auto"/>
              <w:rPr>
                <w:rFonts w:ascii="Times New Roman" w:hAnsi="Times New Roman" w:cs="Times New Roman"/>
                <w:bCs/>
              </w:rPr>
            </w:pPr>
          </w:p>
        </w:tc>
        <w:tc>
          <w:tcPr>
            <w:tcW w:w="715" w:type="pct"/>
          </w:tcPr>
          <w:p w14:paraId="5CFA24A4"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mg/dl</w:t>
            </w:r>
          </w:p>
        </w:tc>
        <w:tc>
          <w:tcPr>
            <w:tcW w:w="543" w:type="pct"/>
          </w:tcPr>
          <w:p w14:paraId="035C9102" w14:textId="77777777" w:rsidR="00D81433" w:rsidRPr="00077581" w:rsidRDefault="00D81433" w:rsidP="00EF0802">
            <w:pPr>
              <w:spacing w:line="360" w:lineRule="auto"/>
              <w:rPr>
                <w:rFonts w:ascii="Times New Roman" w:hAnsi="Times New Roman" w:cs="Times New Roman"/>
                <w:bCs/>
              </w:rPr>
            </w:pPr>
          </w:p>
        </w:tc>
      </w:tr>
      <w:tr w:rsidR="00D81433" w:rsidRPr="00077581" w14:paraId="2A75BBD3" w14:textId="77777777" w:rsidTr="00E55E15">
        <w:tc>
          <w:tcPr>
            <w:tcW w:w="2572" w:type="pct"/>
          </w:tcPr>
          <w:p w14:paraId="040D3226"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Random Blood Sugar</w:t>
            </w:r>
          </w:p>
        </w:tc>
        <w:tc>
          <w:tcPr>
            <w:tcW w:w="1170" w:type="pct"/>
          </w:tcPr>
          <w:p w14:paraId="094984DE" w14:textId="77777777" w:rsidR="00D81433" w:rsidRPr="00077581" w:rsidRDefault="00D81433" w:rsidP="00EF0802">
            <w:pPr>
              <w:spacing w:line="360" w:lineRule="auto"/>
              <w:rPr>
                <w:rFonts w:ascii="Times New Roman" w:hAnsi="Times New Roman" w:cs="Times New Roman"/>
                <w:bCs/>
              </w:rPr>
            </w:pPr>
          </w:p>
        </w:tc>
        <w:tc>
          <w:tcPr>
            <w:tcW w:w="715" w:type="pct"/>
          </w:tcPr>
          <w:p w14:paraId="647B00CD"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Mg/dl</w:t>
            </w:r>
          </w:p>
        </w:tc>
        <w:tc>
          <w:tcPr>
            <w:tcW w:w="543" w:type="pct"/>
          </w:tcPr>
          <w:p w14:paraId="5DDAB59A" w14:textId="77777777" w:rsidR="00D81433" w:rsidRPr="00077581" w:rsidRDefault="00D81433" w:rsidP="00EF0802">
            <w:pPr>
              <w:spacing w:line="360" w:lineRule="auto"/>
              <w:rPr>
                <w:rFonts w:ascii="Times New Roman" w:hAnsi="Times New Roman" w:cs="Times New Roman"/>
                <w:bCs/>
              </w:rPr>
            </w:pPr>
          </w:p>
        </w:tc>
      </w:tr>
      <w:tr w:rsidR="00D81433" w:rsidRPr="00077581" w14:paraId="273C531B" w14:textId="77777777" w:rsidTr="00E55E15">
        <w:tc>
          <w:tcPr>
            <w:tcW w:w="2572" w:type="pct"/>
            <w:hideMark/>
          </w:tcPr>
          <w:p w14:paraId="01B35031"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On Thyroid/BP Medication?</w:t>
            </w:r>
          </w:p>
        </w:tc>
        <w:tc>
          <w:tcPr>
            <w:tcW w:w="1170" w:type="pct"/>
            <w:hideMark/>
          </w:tcPr>
          <w:p w14:paraId="571826AA" w14:textId="77777777" w:rsidR="00D81433" w:rsidRPr="00077581" w:rsidRDefault="00D81433" w:rsidP="00EF0802">
            <w:pPr>
              <w:spacing w:line="360" w:lineRule="auto"/>
              <w:rPr>
                <w:rFonts w:ascii="Times New Roman" w:hAnsi="Times New Roman" w:cs="Times New Roman"/>
                <w:bCs/>
              </w:rPr>
            </w:pP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w:t>
            </w:r>
          </w:p>
        </w:tc>
        <w:tc>
          <w:tcPr>
            <w:tcW w:w="715" w:type="pct"/>
            <w:hideMark/>
          </w:tcPr>
          <w:p w14:paraId="549030CF"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w:t>
            </w:r>
          </w:p>
        </w:tc>
        <w:tc>
          <w:tcPr>
            <w:tcW w:w="543" w:type="pct"/>
            <w:hideMark/>
          </w:tcPr>
          <w:p w14:paraId="3AAD5901"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w:t>
            </w:r>
          </w:p>
        </w:tc>
      </w:tr>
      <w:tr w:rsidR="00D81433" w:rsidRPr="00077581" w14:paraId="30F1B4C4" w14:textId="77777777" w:rsidTr="00E55E15">
        <w:tc>
          <w:tcPr>
            <w:tcW w:w="2572" w:type="pct"/>
            <w:hideMark/>
          </w:tcPr>
          <w:p w14:paraId="504D012F"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Any Change in Dose Advised?</w:t>
            </w:r>
          </w:p>
        </w:tc>
        <w:tc>
          <w:tcPr>
            <w:tcW w:w="1170" w:type="pct"/>
            <w:hideMark/>
          </w:tcPr>
          <w:p w14:paraId="353341C4" w14:textId="77777777" w:rsidR="00D81433" w:rsidRPr="00077581" w:rsidRDefault="00D81433" w:rsidP="00EF0802">
            <w:pPr>
              <w:spacing w:line="360" w:lineRule="auto"/>
              <w:rPr>
                <w:rFonts w:ascii="Times New Roman" w:hAnsi="Times New Roman" w:cs="Times New Roman"/>
                <w:bCs/>
              </w:rPr>
            </w:pP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w:t>
            </w:r>
          </w:p>
        </w:tc>
        <w:tc>
          <w:tcPr>
            <w:tcW w:w="715" w:type="pct"/>
            <w:hideMark/>
          </w:tcPr>
          <w:p w14:paraId="0A6EBFF1"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w:t>
            </w:r>
          </w:p>
        </w:tc>
        <w:tc>
          <w:tcPr>
            <w:tcW w:w="543" w:type="pct"/>
            <w:hideMark/>
          </w:tcPr>
          <w:p w14:paraId="55C63BD1" w14:textId="77777777" w:rsidR="00D81433" w:rsidRPr="00077581" w:rsidRDefault="00D81433" w:rsidP="00EF0802">
            <w:pPr>
              <w:spacing w:line="360" w:lineRule="auto"/>
              <w:rPr>
                <w:rFonts w:ascii="Times New Roman" w:hAnsi="Times New Roman" w:cs="Times New Roman"/>
                <w:bCs/>
              </w:rPr>
            </w:pPr>
            <w:r w:rsidRPr="00077581">
              <w:rPr>
                <w:rFonts w:ascii="Times New Roman" w:hAnsi="Times New Roman" w:cs="Times New Roman"/>
                <w:bCs/>
              </w:rPr>
              <w:t>–</w:t>
            </w:r>
          </w:p>
        </w:tc>
      </w:tr>
    </w:tbl>
    <w:p w14:paraId="43B09600" w14:textId="77777777" w:rsidR="00D81433" w:rsidRDefault="00D81433" w:rsidP="00EF0802">
      <w:pPr>
        <w:spacing w:line="360" w:lineRule="auto"/>
        <w:rPr>
          <w:rFonts w:ascii="Times New Roman" w:hAnsi="Times New Roman" w:cs="Times New Roman"/>
          <w:bCs/>
        </w:rPr>
      </w:pPr>
    </w:p>
    <w:p w14:paraId="31792F94" w14:textId="77777777" w:rsidR="00B14133" w:rsidRDefault="00B14133" w:rsidP="00EF0802">
      <w:pPr>
        <w:spacing w:line="360" w:lineRule="auto"/>
        <w:rPr>
          <w:rFonts w:ascii="Times New Roman" w:hAnsi="Times New Roman" w:cs="Times New Roman"/>
          <w:bCs/>
        </w:rPr>
      </w:pPr>
    </w:p>
    <w:p w14:paraId="073FA655" w14:textId="77777777" w:rsidR="00B14133" w:rsidRPr="00077581" w:rsidRDefault="00B14133" w:rsidP="00EF0802">
      <w:pPr>
        <w:spacing w:line="360" w:lineRule="auto"/>
        <w:rPr>
          <w:rFonts w:ascii="Times New Roman" w:hAnsi="Times New Roman" w:cs="Times New Roman"/>
          <w:bCs/>
        </w:rPr>
      </w:pPr>
    </w:p>
    <w:p w14:paraId="68774CD3" w14:textId="77777777" w:rsidR="00D81433" w:rsidRPr="00077581" w:rsidRDefault="00D81433" w:rsidP="00EF0802">
      <w:pPr>
        <w:spacing w:line="360" w:lineRule="auto"/>
        <w:rPr>
          <w:rFonts w:ascii="Times New Roman" w:hAnsi="Times New Roman" w:cs="Times New Roman"/>
          <w:b/>
        </w:rPr>
      </w:pPr>
      <w:r w:rsidRPr="00077581">
        <w:rPr>
          <w:rFonts w:ascii="Times New Roman" w:hAnsi="Times New Roman" w:cs="Times New Roman"/>
          <w:b/>
        </w:rPr>
        <w:lastRenderedPageBreak/>
        <w:t>SECTION D: LIFESTYLE PRACTICES (Pre &amp; Post)</w:t>
      </w:r>
    </w:p>
    <w:p w14:paraId="43CB17CA" w14:textId="77777777" w:rsidR="00D81433" w:rsidRPr="00077581" w:rsidRDefault="00D81433" w:rsidP="00EF0802">
      <w:pPr>
        <w:numPr>
          <w:ilvl w:val="0"/>
          <w:numId w:val="43"/>
        </w:numPr>
        <w:spacing w:line="360" w:lineRule="auto"/>
        <w:rPr>
          <w:rFonts w:ascii="Times New Roman" w:hAnsi="Times New Roman" w:cs="Times New Roman"/>
          <w:bCs/>
        </w:rPr>
      </w:pPr>
      <w:r w:rsidRPr="00077581">
        <w:rPr>
          <w:rFonts w:ascii="Times New Roman" w:hAnsi="Times New Roman" w:cs="Times New Roman"/>
          <w:bCs/>
        </w:rPr>
        <w:t>How often do you exercise (e.g., walk, yoga)?</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Daily </w:t>
      </w:r>
      <w:r w:rsidRPr="00077581">
        <w:rPr>
          <w:rFonts w:ascii="Segoe UI Symbol" w:hAnsi="Segoe UI Symbol" w:cs="Segoe UI Symbol"/>
          <w:bCs/>
        </w:rPr>
        <w:t>☐</w:t>
      </w:r>
      <w:r w:rsidRPr="00077581">
        <w:rPr>
          <w:rFonts w:ascii="Times New Roman" w:hAnsi="Times New Roman" w:cs="Times New Roman"/>
          <w:bCs/>
        </w:rPr>
        <w:t xml:space="preserve"> 3–4×/week </w:t>
      </w:r>
      <w:r w:rsidRPr="00077581">
        <w:rPr>
          <w:rFonts w:ascii="Segoe UI Symbol" w:hAnsi="Segoe UI Symbol" w:cs="Segoe UI Symbol"/>
          <w:bCs/>
        </w:rPr>
        <w:t>☐</w:t>
      </w:r>
      <w:r w:rsidRPr="00077581">
        <w:rPr>
          <w:rFonts w:ascii="Times New Roman" w:hAnsi="Times New Roman" w:cs="Times New Roman"/>
          <w:bCs/>
        </w:rPr>
        <w:t xml:space="preserve"> 1–2×/week </w:t>
      </w:r>
      <w:r w:rsidRPr="00077581">
        <w:rPr>
          <w:rFonts w:ascii="Segoe UI Symbol" w:hAnsi="Segoe UI Symbol" w:cs="Segoe UI Symbol"/>
          <w:bCs/>
        </w:rPr>
        <w:t>☐</w:t>
      </w:r>
      <w:r w:rsidRPr="00077581">
        <w:rPr>
          <w:rFonts w:ascii="Times New Roman" w:hAnsi="Times New Roman" w:cs="Times New Roman"/>
          <w:bCs/>
        </w:rPr>
        <w:t xml:space="preserve"> Rarely/Never</w:t>
      </w:r>
    </w:p>
    <w:p w14:paraId="615C71C1" w14:textId="77777777" w:rsidR="00D81433" w:rsidRPr="00077581" w:rsidRDefault="00D81433" w:rsidP="00EF0802">
      <w:pPr>
        <w:numPr>
          <w:ilvl w:val="0"/>
          <w:numId w:val="43"/>
        </w:numPr>
        <w:spacing w:line="360" w:lineRule="auto"/>
        <w:rPr>
          <w:rFonts w:ascii="Times New Roman" w:hAnsi="Times New Roman" w:cs="Times New Roman"/>
          <w:bCs/>
        </w:rPr>
      </w:pPr>
      <w:r w:rsidRPr="00077581">
        <w:rPr>
          <w:rFonts w:ascii="Times New Roman" w:hAnsi="Times New Roman" w:cs="Times New Roman"/>
          <w:bCs/>
        </w:rPr>
        <w:t xml:space="preserve">Types of activity (select all): </w:t>
      </w:r>
      <w:r w:rsidRPr="00077581">
        <w:rPr>
          <w:rFonts w:ascii="Segoe UI Symbol" w:hAnsi="Segoe UI Symbol" w:cs="Segoe UI Symbol"/>
          <w:bCs/>
        </w:rPr>
        <w:t>☐</w:t>
      </w:r>
      <w:r w:rsidRPr="00077581">
        <w:rPr>
          <w:rFonts w:ascii="Times New Roman" w:hAnsi="Times New Roman" w:cs="Times New Roman"/>
          <w:bCs/>
        </w:rPr>
        <w:t xml:space="preserve"> Walking </w:t>
      </w:r>
      <w:r w:rsidRPr="00077581">
        <w:rPr>
          <w:rFonts w:ascii="Segoe UI Symbol" w:hAnsi="Segoe UI Symbol" w:cs="Segoe UI Symbol"/>
          <w:bCs/>
        </w:rPr>
        <w:t>☐</w:t>
      </w:r>
      <w:r w:rsidRPr="00077581">
        <w:rPr>
          <w:rFonts w:ascii="Times New Roman" w:hAnsi="Times New Roman" w:cs="Times New Roman"/>
          <w:bCs/>
        </w:rPr>
        <w:t xml:space="preserve"> Yoga </w:t>
      </w:r>
      <w:r w:rsidRPr="00077581">
        <w:rPr>
          <w:rFonts w:ascii="Segoe UI Symbol" w:hAnsi="Segoe UI Symbol" w:cs="Segoe UI Symbol"/>
          <w:bCs/>
        </w:rPr>
        <w:t>☐</w:t>
      </w:r>
      <w:r w:rsidRPr="00077581">
        <w:rPr>
          <w:rFonts w:ascii="Times New Roman" w:hAnsi="Times New Roman" w:cs="Times New Roman"/>
          <w:bCs/>
        </w:rPr>
        <w:t xml:space="preserve"> Swimming </w:t>
      </w:r>
      <w:r w:rsidRPr="00077581">
        <w:rPr>
          <w:rFonts w:ascii="Segoe UI Symbol" w:hAnsi="Segoe UI Symbol" w:cs="Segoe UI Symbol"/>
          <w:bCs/>
        </w:rPr>
        <w:t>☐</w:t>
      </w:r>
      <w:r w:rsidRPr="00077581">
        <w:rPr>
          <w:rFonts w:ascii="Times New Roman" w:hAnsi="Times New Roman" w:cs="Times New Roman"/>
          <w:bCs/>
        </w:rPr>
        <w:t xml:space="preserve"> Aerobics </w:t>
      </w:r>
      <w:r w:rsidRPr="00077581">
        <w:rPr>
          <w:rFonts w:ascii="Segoe UI Symbol" w:hAnsi="Segoe UI Symbol" w:cs="Segoe UI Symbol"/>
          <w:bCs/>
        </w:rPr>
        <w:t>☐</w:t>
      </w:r>
      <w:r w:rsidRPr="00077581">
        <w:rPr>
          <w:rFonts w:ascii="Times New Roman" w:hAnsi="Times New Roman" w:cs="Times New Roman"/>
          <w:bCs/>
        </w:rPr>
        <w:t xml:space="preserve"> Other: ______</w:t>
      </w:r>
    </w:p>
    <w:p w14:paraId="3284DCFE" w14:textId="77777777" w:rsidR="00D81433" w:rsidRPr="00077581" w:rsidRDefault="00D81433" w:rsidP="00EF0802">
      <w:pPr>
        <w:numPr>
          <w:ilvl w:val="0"/>
          <w:numId w:val="43"/>
        </w:numPr>
        <w:spacing w:line="360" w:lineRule="auto"/>
        <w:rPr>
          <w:rFonts w:ascii="Times New Roman" w:hAnsi="Times New Roman" w:cs="Times New Roman"/>
          <w:bCs/>
        </w:rPr>
      </w:pPr>
      <w:r w:rsidRPr="00077581">
        <w:rPr>
          <w:rFonts w:ascii="Times New Roman" w:hAnsi="Times New Roman" w:cs="Times New Roman"/>
          <w:bCs/>
        </w:rPr>
        <w:t xml:space="preserve">Have you made any dietary changes since pregnancy? </w:t>
      </w: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w:t>
      </w:r>
    </w:p>
    <w:p w14:paraId="2E1EDAFC" w14:textId="77777777" w:rsidR="00D81433" w:rsidRPr="00077581" w:rsidRDefault="00D81433" w:rsidP="00EF0802">
      <w:pPr>
        <w:numPr>
          <w:ilvl w:val="0"/>
          <w:numId w:val="43"/>
        </w:numPr>
        <w:spacing w:line="360" w:lineRule="auto"/>
        <w:rPr>
          <w:rFonts w:ascii="Times New Roman" w:hAnsi="Times New Roman" w:cs="Times New Roman"/>
          <w:bCs/>
        </w:rPr>
      </w:pPr>
      <w:r w:rsidRPr="00077581">
        <w:rPr>
          <w:rFonts w:ascii="Times New Roman" w:hAnsi="Times New Roman" w:cs="Times New Roman"/>
          <w:bCs/>
        </w:rPr>
        <w:t>If yes, what changes?</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Reduced salt </w:t>
      </w:r>
      <w:r w:rsidRPr="00077581">
        <w:rPr>
          <w:rFonts w:ascii="Segoe UI Symbol" w:hAnsi="Segoe UI Symbol" w:cs="Segoe UI Symbol"/>
          <w:bCs/>
        </w:rPr>
        <w:t>☐</w:t>
      </w:r>
      <w:r w:rsidRPr="00077581">
        <w:rPr>
          <w:rFonts w:ascii="Times New Roman" w:hAnsi="Times New Roman" w:cs="Times New Roman"/>
          <w:bCs/>
        </w:rPr>
        <w:t xml:space="preserve"> More fruits/vegetables </w:t>
      </w:r>
      <w:r w:rsidRPr="00077581">
        <w:rPr>
          <w:rFonts w:ascii="Segoe UI Symbol" w:hAnsi="Segoe UI Symbol" w:cs="Segoe UI Symbol"/>
          <w:bCs/>
        </w:rPr>
        <w:t>☐</w:t>
      </w:r>
      <w:r w:rsidRPr="00077581">
        <w:rPr>
          <w:rFonts w:ascii="Times New Roman" w:hAnsi="Times New Roman" w:cs="Times New Roman"/>
          <w:bCs/>
        </w:rPr>
        <w:t xml:space="preserve"> Reduced caffeine </w:t>
      </w:r>
      <w:r w:rsidRPr="00077581">
        <w:rPr>
          <w:rFonts w:ascii="Segoe UI Symbol" w:hAnsi="Segoe UI Symbol" w:cs="Segoe UI Symbol"/>
          <w:bCs/>
        </w:rPr>
        <w:t>☐</w:t>
      </w:r>
      <w:r w:rsidRPr="00077581">
        <w:rPr>
          <w:rFonts w:ascii="Times New Roman" w:hAnsi="Times New Roman" w:cs="Times New Roman"/>
          <w:bCs/>
        </w:rPr>
        <w:t xml:space="preserve"> More water </w:t>
      </w:r>
      <w:r w:rsidRPr="00077581">
        <w:rPr>
          <w:rFonts w:ascii="Segoe UI Symbol" w:hAnsi="Segoe UI Symbol" w:cs="Segoe UI Symbol"/>
          <w:bCs/>
        </w:rPr>
        <w:t>☐</w:t>
      </w:r>
      <w:r w:rsidRPr="00077581">
        <w:rPr>
          <w:rFonts w:ascii="Times New Roman" w:hAnsi="Times New Roman" w:cs="Times New Roman"/>
          <w:bCs/>
        </w:rPr>
        <w:t xml:space="preserve"> Other: _____</w:t>
      </w:r>
    </w:p>
    <w:p w14:paraId="70C3BFCC" w14:textId="77777777" w:rsidR="00D81433" w:rsidRPr="00077581" w:rsidRDefault="00D81433" w:rsidP="00EF0802">
      <w:pPr>
        <w:numPr>
          <w:ilvl w:val="0"/>
          <w:numId w:val="43"/>
        </w:numPr>
        <w:spacing w:line="360" w:lineRule="auto"/>
        <w:rPr>
          <w:rFonts w:ascii="Times New Roman" w:hAnsi="Times New Roman" w:cs="Times New Roman"/>
          <w:bCs/>
        </w:rPr>
      </w:pPr>
      <w:r w:rsidRPr="00077581">
        <w:rPr>
          <w:rFonts w:ascii="Times New Roman" w:hAnsi="Times New Roman" w:cs="Times New Roman"/>
          <w:bCs/>
        </w:rPr>
        <w:t xml:space="preserve">Do you follow a specific diet for thyroid/BP? </w:t>
      </w: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w:t>
      </w:r>
    </w:p>
    <w:p w14:paraId="20A1F58A" w14:textId="77777777" w:rsidR="00D81433" w:rsidRPr="00077581" w:rsidRDefault="00D81433" w:rsidP="00EF0802">
      <w:pPr>
        <w:numPr>
          <w:ilvl w:val="0"/>
          <w:numId w:val="43"/>
        </w:numPr>
        <w:spacing w:line="360" w:lineRule="auto"/>
        <w:rPr>
          <w:rFonts w:ascii="Times New Roman" w:hAnsi="Times New Roman" w:cs="Times New Roman"/>
          <w:bCs/>
        </w:rPr>
      </w:pPr>
      <w:r w:rsidRPr="00077581">
        <w:rPr>
          <w:rFonts w:ascii="Times New Roman" w:hAnsi="Times New Roman" w:cs="Times New Roman"/>
          <w:bCs/>
        </w:rPr>
        <w:t>Do you consume high-sodium foods?</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Daily </w:t>
      </w:r>
      <w:r w:rsidRPr="00077581">
        <w:rPr>
          <w:rFonts w:ascii="Segoe UI Symbol" w:hAnsi="Segoe UI Symbol" w:cs="Segoe UI Symbol"/>
          <w:bCs/>
        </w:rPr>
        <w:t>☐</w:t>
      </w:r>
      <w:r w:rsidRPr="00077581">
        <w:rPr>
          <w:rFonts w:ascii="Times New Roman" w:hAnsi="Times New Roman" w:cs="Times New Roman"/>
          <w:bCs/>
        </w:rPr>
        <w:t xml:space="preserve"> 3–4×/week </w:t>
      </w:r>
      <w:r w:rsidRPr="00077581">
        <w:rPr>
          <w:rFonts w:ascii="Segoe UI Symbol" w:hAnsi="Segoe UI Symbol" w:cs="Segoe UI Symbol"/>
          <w:bCs/>
        </w:rPr>
        <w:t>☐</w:t>
      </w:r>
      <w:r w:rsidRPr="00077581">
        <w:rPr>
          <w:rFonts w:ascii="Times New Roman" w:hAnsi="Times New Roman" w:cs="Times New Roman"/>
          <w:bCs/>
        </w:rPr>
        <w:t xml:space="preserve"> 1–2×/week </w:t>
      </w:r>
      <w:r w:rsidRPr="00077581">
        <w:rPr>
          <w:rFonts w:ascii="Segoe UI Symbol" w:hAnsi="Segoe UI Symbol" w:cs="Segoe UI Symbol"/>
          <w:bCs/>
        </w:rPr>
        <w:t>☐</w:t>
      </w:r>
      <w:r w:rsidRPr="00077581">
        <w:rPr>
          <w:rFonts w:ascii="Times New Roman" w:hAnsi="Times New Roman" w:cs="Times New Roman"/>
          <w:bCs/>
        </w:rPr>
        <w:t xml:space="preserve"> Rarely/Never</w:t>
      </w:r>
    </w:p>
    <w:p w14:paraId="00556F80" w14:textId="77777777" w:rsidR="00D81433" w:rsidRPr="00077581" w:rsidRDefault="00D81433" w:rsidP="00EF0802">
      <w:pPr>
        <w:numPr>
          <w:ilvl w:val="0"/>
          <w:numId w:val="43"/>
        </w:numPr>
        <w:spacing w:line="360" w:lineRule="auto"/>
        <w:rPr>
          <w:rFonts w:ascii="Times New Roman" w:hAnsi="Times New Roman" w:cs="Times New Roman"/>
          <w:bCs/>
        </w:rPr>
      </w:pPr>
      <w:r w:rsidRPr="00077581">
        <w:rPr>
          <w:rFonts w:ascii="Times New Roman" w:hAnsi="Times New Roman" w:cs="Times New Roman"/>
          <w:bCs/>
        </w:rPr>
        <w:t xml:space="preserve">Do you take supplements (e.g., iodine, folic acid)? </w:t>
      </w: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w:t>
      </w:r>
    </w:p>
    <w:p w14:paraId="68A33619" w14:textId="77777777" w:rsidR="00D81433" w:rsidRPr="00077581" w:rsidRDefault="00D81433" w:rsidP="00EF0802">
      <w:pPr>
        <w:numPr>
          <w:ilvl w:val="0"/>
          <w:numId w:val="43"/>
        </w:numPr>
        <w:spacing w:line="360" w:lineRule="auto"/>
        <w:rPr>
          <w:rFonts w:ascii="Times New Roman" w:hAnsi="Times New Roman" w:cs="Times New Roman"/>
          <w:bCs/>
        </w:rPr>
      </w:pPr>
      <w:r w:rsidRPr="00077581">
        <w:rPr>
          <w:rFonts w:ascii="Times New Roman" w:hAnsi="Times New Roman" w:cs="Times New Roman"/>
          <w:bCs/>
        </w:rPr>
        <w:t xml:space="preserve">Do you practice stress-relief techniques? </w:t>
      </w: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w:t>
      </w:r>
    </w:p>
    <w:p w14:paraId="585F4A8D" w14:textId="77777777" w:rsidR="00D81433" w:rsidRPr="00077581" w:rsidRDefault="00D81433" w:rsidP="00EF0802">
      <w:pPr>
        <w:numPr>
          <w:ilvl w:val="0"/>
          <w:numId w:val="43"/>
        </w:numPr>
        <w:spacing w:line="360" w:lineRule="auto"/>
        <w:rPr>
          <w:rFonts w:ascii="Times New Roman" w:hAnsi="Times New Roman" w:cs="Times New Roman"/>
          <w:bCs/>
        </w:rPr>
      </w:pPr>
      <w:r w:rsidRPr="00077581">
        <w:rPr>
          <w:rFonts w:ascii="Times New Roman" w:hAnsi="Times New Roman" w:cs="Times New Roman"/>
          <w:bCs/>
        </w:rPr>
        <w:t xml:space="preserve">Average sleep per night: </w:t>
      </w:r>
      <w:r w:rsidRPr="00077581">
        <w:rPr>
          <w:rFonts w:ascii="Segoe UI Symbol" w:hAnsi="Segoe UI Symbol" w:cs="Segoe UI Symbol"/>
          <w:bCs/>
        </w:rPr>
        <w:t>☐</w:t>
      </w:r>
      <w:r w:rsidRPr="00077581">
        <w:rPr>
          <w:rFonts w:ascii="Times New Roman" w:hAnsi="Times New Roman" w:cs="Times New Roman"/>
          <w:bCs/>
        </w:rPr>
        <w:t xml:space="preserve"> &lt;5 hrs </w:t>
      </w:r>
      <w:r w:rsidRPr="00077581">
        <w:rPr>
          <w:rFonts w:ascii="Segoe UI Symbol" w:hAnsi="Segoe UI Symbol" w:cs="Segoe UI Symbol"/>
          <w:bCs/>
        </w:rPr>
        <w:t>☐</w:t>
      </w:r>
      <w:r w:rsidRPr="00077581">
        <w:rPr>
          <w:rFonts w:ascii="Times New Roman" w:hAnsi="Times New Roman" w:cs="Times New Roman"/>
          <w:bCs/>
        </w:rPr>
        <w:t xml:space="preserve"> 5–6 hrs </w:t>
      </w:r>
      <w:r w:rsidRPr="00077581">
        <w:rPr>
          <w:rFonts w:ascii="Segoe UI Symbol" w:hAnsi="Segoe UI Symbol" w:cs="Segoe UI Symbol"/>
          <w:bCs/>
        </w:rPr>
        <w:t>☐</w:t>
      </w:r>
      <w:r w:rsidRPr="00077581">
        <w:rPr>
          <w:rFonts w:ascii="Times New Roman" w:hAnsi="Times New Roman" w:cs="Times New Roman"/>
          <w:bCs/>
        </w:rPr>
        <w:t xml:space="preserve"> 7–8 hrs </w:t>
      </w:r>
      <w:r w:rsidRPr="00077581">
        <w:rPr>
          <w:rFonts w:ascii="Segoe UI Symbol" w:hAnsi="Segoe UI Symbol" w:cs="Segoe UI Symbol"/>
          <w:bCs/>
        </w:rPr>
        <w:t>☐</w:t>
      </w:r>
      <w:r w:rsidRPr="00077581">
        <w:rPr>
          <w:rFonts w:ascii="Times New Roman" w:hAnsi="Times New Roman" w:cs="Times New Roman"/>
          <w:bCs/>
        </w:rPr>
        <w:t xml:space="preserve"> &gt;8 hrs</w:t>
      </w:r>
    </w:p>
    <w:p w14:paraId="5ABBF9E8" w14:textId="77777777" w:rsidR="00D81433" w:rsidRPr="00077581" w:rsidRDefault="00D81433" w:rsidP="00EF0802">
      <w:pPr>
        <w:numPr>
          <w:ilvl w:val="0"/>
          <w:numId w:val="43"/>
        </w:numPr>
        <w:spacing w:line="360" w:lineRule="auto"/>
        <w:rPr>
          <w:rFonts w:ascii="Times New Roman" w:hAnsi="Times New Roman" w:cs="Times New Roman"/>
          <w:bCs/>
        </w:rPr>
      </w:pPr>
      <w:r w:rsidRPr="00077581">
        <w:rPr>
          <w:rFonts w:ascii="Times New Roman" w:hAnsi="Times New Roman" w:cs="Times New Roman"/>
          <w:bCs/>
        </w:rPr>
        <w:t xml:space="preserve">Have you discussed lifestyle changes with your doctor? </w:t>
      </w: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w:t>
      </w:r>
    </w:p>
    <w:p w14:paraId="786F2EB1" w14:textId="77777777" w:rsidR="00D81433" w:rsidRPr="00077581" w:rsidRDefault="00D81433" w:rsidP="00EF0802">
      <w:pPr>
        <w:spacing w:line="360" w:lineRule="auto"/>
        <w:rPr>
          <w:rFonts w:ascii="Times New Roman" w:hAnsi="Times New Roman" w:cs="Times New Roman"/>
          <w:bCs/>
        </w:rPr>
      </w:pPr>
    </w:p>
    <w:p w14:paraId="5C5F2E57" w14:textId="77777777" w:rsidR="00D81433" w:rsidRPr="00077581" w:rsidRDefault="00D81433" w:rsidP="00EF0802">
      <w:pPr>
        <w:spacing w:line="360" w:lineRule="auto"/>
        <w:rPr>
          <w:rFonts w:ascii="Times New Roman" w:hAnsi="Times New Roman" w:cs="Times New Roman"/>
          <w:b/>
        </w:rPr>
      </w:pPr>
      <w:r w:rsidRPr="00077581">
        <w:rPr>
          <w:rFonts w:ascii="Times New Roman" w:hAnsi="Times New Roman" w:cs="Times New Roman"/>
          <w:b/>
        </w:rPr>
        <w:t xml:space="preserve">SECTION E: LIFESTYLE CHANGES POST-INTERVENTION </w:t>
      </w:r>
      <w:r w:rsidRPr="00077581">
        <w:rPr>
          <w:rFonts w:ascii="Times New Roman" w:hAnsi="Times New Roman" w:cs="Times New Roman"/>
          <w:b/>
          <w:i/>
          <w:iCs/>
        </w:rPr>
        <w:t>(Post-Test Only)</w:t>
      </w:r>
    </w:p>
    <w:p w14:paraId="4A81AB21" w14:textId="77777777" w:rsidR="00D81433" w:rsidRPr="00077581" w:rsidRDefault="00D81433" w:rsidP="00EF0802">
      <w:pPr>
        <w:numPr>
          <w:ilvl w:val="0"/>
          <w:numId w:val="44"/>
        </w:numPr>
        <w:spacing w:line="360" w:lineRule="auto"/>
        <w:rPr>
          <w:rFonts w:ascii="Times New Roman" w:hAnsi="Times New Roman" w:cs="Times New Roman"/>
          <w:bCs/>
        </w:rPr>
      </w:pPr>
      <w:r w:rsidRPr="00077581">
        <w:rPr>
          <w:rFonts w:ascii="Times New Roman" w:hAnsi="Times New Roman" w:cs="Times New Roman"/>
          <w:bCs/>
        </w:rPr>
        <w:t>Have you adopted lifestyle modifications since the suggestions?</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w:t>
      </w:r>
    </w:p>
    <w:p w14:paraId="6B8EDD90" w14:textId="77777777" w:rsidR="00D81433" w:rsidRPr="00077581" w:rsidRDefault="00D81433" w:rsidP="00EF0802">
      <w:pPr>
        <w:numPr>
          <w:ilvl w:val="0"/>
          <w:numId w:val="44"/>
        </w:numPr>
        <w:spacing w:line="360" w:lineRule="auto"/>
        <w:rPr>
          <w:rFonts w:ascii="Times New Roman" w:hAnsi="Times New Roman" w:cs="Times New Roman"/>
          <w:bCs/>
        </w:rPr>
      </w:pPr>
      <w:r w:rsidRPr="00077581">
        <w:rPr>
          <w:rFonts w:ascii="Times New Roman" w:hAnsi="Times New Roman" w:cs="Times New Roman"/>
          <w:bCs/>
        </w:rPr>
        <w:t>If not or partially, why?</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Lack of time </w:t>
      </w:r>
      <w:r w:rsidRPr="00077581">
        <w:rPr>
          <w:rFonts w:ascii="Segoe UI Symbol" w:hAnsi="Segoe UI Symbol" w:cs="Segoe UI Symbol"/>
          <w:bCs/>
        </w:rPr>
        <w:t>☐</w:t>
      </w:r>
      <w:r w:rsidRPr="00077581">
        <w:rPr>
          <w:rFonts w:ascii="Times New Roman" w:hAnsi="Times New Roman" w:cs="Times New Roman"/>
          <w:bCs/>
        </w:rPr>
        <w:t xml:space="preserve"> Inconvenient routine </w:t>
      </w:r>
      <w:r w:rsidRPr="00077581">
        <w:rPr>
          <w:rFonts w:ascii="Segoe UI Symbol" w:hAnsi="Segoe UI Symbol" w:cs="Segoe UI Symbol"/>
          <w:bCs/>
        </w:rPr>
        <w:t>☐</w:t>
      </w:r>
      <w:r w:rsidRPr="00077581">
        <w:rPr>
          <w:rFonts w:ascii="Times New Roman" w:hAnsi="Times New Roman" w:cs="Times New Roman"/>
          <w:bCs/>
        </w:rPr>
        <w:t xml:space="preserve"> No perceived benefit </w:t>
      </w:r>
      <w:r w:rsidRPr="00077581">
        <w:rPr>
          <w:rFonts w:ascii="Segoe UI Symbol" w:hAnsi="Segoe UI Symbol" w:cs="Segoe UI Symbol"/>
          <w:bCs/>
        </w:rPr>
        <w:t>☐</w:t>
      </w:r>
      <w:r w:rsidRPr="00077581">
        <w:rPr>
          <w:rFonts w:ascii="Times New Roman" w:hAnsi="Times New Roman" w:cs="Times New Roman"/>
          <w:bCs/>
        </w:rPr>
        <w:t xml:space="preserve"> Other: ________</w:t>
      </w:r>
    </w:p>
    <w:p w14:paraId="62D6CF94" w14:textId="77777777" w:rsidR="00D81433" w:rsidRPr="00077581" w:rsidRDefault="00D81433" w:rsidP="00EF0802">
      <w:pPr>
        <w:numPr>
          <w:ilvl w:val="0"/>
          <w:numId w:val="44"/>
        </w:numPr>
        <w:spacing w:line="360" w:lineRule="auto"/>
        <w:rPr>
          <w:rFonts w:ascii="Times New Roman" w:hAnsi="Times New Roman" w:cs="Times New Roman"/>
          <w:bCs/>
        </w:rPr>
      </w:pPr>
      <w:r w:rsidRPr="00077581">
        <w:rPr>
          <w:rFonts w:ascii="Times New Roman" w:hAnsi="Times New Roman" w:cs="Times New Roman"/>
          <w:bCs/>
        </w:rPr>
        <w:lastRenderedPageBreak/>
        <w:t>Changes implemented (select all):</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Diet </w:t>
      </w:r>
      <w:r w:rsidRPr="00077581">
        <w:rPr>
          <w:rFonts w:ascii="Segoe UI Symbol" w:hAnsi="Segoe UI Symbol" w:cs="Segoe UI Symbol"/>
          <w:bCs/>
        </w:rPr>
        <w:t>☐</w:t>
      </w:r>
      <w:r w:rsidRPr="00077581">
        <w:rPr>
          <w:rFonts w:ascii="Times New Roman" w:hAnsi="Times New Roman" w:cs="Times New Roman"/>
          <w:bCs/>
        </w:rPr>
        <w:t xml:space="preserve"> Exercise </w:t>
      </w:r>
      <w:r w:rsidRPr="00077581">
        <w:rPr>
          <w:rFonts w:ascii="Segoe UI Symbol" w:hAnsi="Segoe UI Symbol" w:cs="Segoe UI Symbol"/>
          <w:bCs/>
        </w:rPr>
        <w:t>☐</w:t>
      </w:r>
      <w:r w:rsidRPr="00077581">
        <w:rPr>
          <w:rFonts w:ascii="Times New Roman" w:hAnsi="Times New Roman" w:cs="Times New Roman"/>
          <w:bCs/>
        </w:rPr>
        <w:t xml:space="preserve"> Stress management </w:t>
      </w:r>
      <w:r w:rsidRPr="00077581">
        <w:rPr>
          <w:rFonts w:ascii="Segoe UI Symbol" w:hAnsi="Segoe UI Symbol" w:cs="Segoe UI Symbol"/>
          <w:bCs/>
        </w:rPr>
        <w:t>☐</w:t>
      </w:r>
      <w:r w:rsidRPr="00077581">
        <w:rPr>
          <w:rFonts w:ascii="Times New Roman" w:hAnsi="Times New Roman" w:cs="Times New Roman"/>
          <w:bCs/>
        </w:rPr>
        <w:t xml:space="preserve"> Medication adherence </w:t>
      </w:r>
      <w:r w:rsidRPr="00077581">
        <w:rPr>
          <w:rFonts w:ascii="Segoe UI Symbol" w:hAnsi="Segoe UI Symbol" w:cs="Segoe UI Symbol"/>
          <w:bCs/>
        </w:rPr>
        <w:t>☐</w:t>
      </w:r>
      <w:r w:rsidRPr="00077581">
        <w:rPr>
          <w:rFonts w:ascii="Times New Roman" w:hAnsi="Times New Roman" w:cs="Times New Roman"/>
          <w:bCs/>
        </w:rPr>
        <w:t xml:space="preserve"> Other: ______</w:t>
      </w:r>
    </w:p>
    <w:p w14:paraId="65E63AC1" w14:textId="77777777" w:rsidR="00D81433" w:rsidRPr="00077581" w:rsidRDefault="00D81433" w:rsidP="00EF0802">
      <w:pPr>
        <w:numPr>
          <w:ilvl w:val="0"/>
          <w:numId w:val="44"/>
        </w:numPr>
        <w:spacing w:line="360" w:lineRule="auto"/>
        <w:rPr>
          <w:rFonts w:ascii="Times New Roman" w:hAnsi="Times New Roman" w:cs="Times New Roman"/>
          <w:bCs/>
        </w:rPr>
      </w:pPr>
      <w:r w:rsidRPr="00077581">
        <w:rPr>
          <w:rFonts w:ascii="Times New Roman" w:hAnsi="Times New Roman" w:cs="Times New Roman"/>
          <w:bCs/>
        </w:rPr>
        <w:t>How closely have you followed dietary advice?</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Very closely </w:t>
      </w:r>
      <w:r w:rsidRPr="00077581">
        <w:rPr>
          <w:rFonts w:ascii="Segoe UI Symbol" w:hAnsi="Segoe UI Symbol" w:cs="Segoe UI Symbol"/>
          <w:bCs/>
        </w:rPr>
        <w:t>☐</w:t>
      </w:r>
      <w:r w:rsidRPr="00077581">
        <w:rPr>
          <w:rFonts w:ascii="Times New Roman" w:hAnsi="Times New Roman" w:cs="Times New Roman"/>
          <w:bCs/>
        </w:rPr>
        <w:t xml:space="preserve"> Somewhat </w:t>
      </w:r>
      <w:r w:rsidRPr="00077581">
        <w:rPr>
          <w:rFonts w:ascii="Segoe UI Symbol" w:hAnsi="Segoe UI Symbol" w:cs="Segoe UI Symbol"/>
          <w:bCs/>
        </w:rPr>
        <w:t>☐</w:t>
      </w:r>
      <w:r w:rsidRPr="00077581">
        <w:rPr>
          <w:rFonts w:ascii="Times New Roman" w:hAnsi="Times New Roman" w:cs="Times New Roman"/>
          <w:bCs/>
        </w:rPr>
        <w:t xml:space="preserve"> Rarely </w:t>
      </w:r>
      <w:r w:rsidRPr="00077581">
        <w:rPr>
          <w:rFonts w:ascii="Segoe UI Symbol" w:hAnsi="Segoe UI Symbol" w:cs="Segoe UI Symbol"/>
          <w:bCs/>
        </w:rPr>
        <w:t>☐</w:t>
      </w:r>
      <w:r w:rsidRPr="00077581">
        <w:rPr>
          <w:rFonts w:ascii="Times New Roman" w:hAnsi="Times New Roman" w:cs="Times New Roman"/>
          <w:bCs/>
        </w:rPr>
        <w:t xml:space="preserve"> Not at all</w:t>
      </w:r>
    </w:p>
    <w:p w14:paraId="4C68DDB9" w14:textId="77777777" w:rsidR="00D81433" w:rsidRPr="00077581" w:rsidRDefault="00D81433" w:rsidP="00EF0802">
      <w:pPr>
        <w:numPr>
          <w:ilvl w:val="0"/>
          <w:numId w:val="44"/>
        </w:numPr>
        <w:spacing w:line="360" w:lineRule="auto"/>
        <w:rPr>
          <w:rFonts w:ascii="Times New Roman" w:hAnsi="Times New Roman" w:cs="Times New Roman"/>
          <w:bCs/>
        </w:rPr>
      </w:pPr>
      <w:r w:rsidRPr="00077581">
        <w:rPr>
          <w:rFonts w:ascii="Times New Roman" w:hAnsi="Times New Roman" w:cs="Times New Roman"/>
          <w:bCs/>
        </w:rPr>
        <w:t xml:space="preserve">Changes in stress management habits: </w:t>
      </w: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w:t>
      </w:r>
    </w:p>
    <w:p w14:paraId="6E0ED35A" w14:textId="77777777" w:rsidR="00D81433" w:rsidRPr="00077581" w:rsidRDefault="00D81433" w:rsidP="00EF0802">
      <w:pPr>
        <w:numPr>
          <w:ilvl w:val="0"/>
          <w:numId w:val="44"/>
        </w:numPr>
        <w:spacing w:line="360" w:lineRule="auto"/>
        <w:rPr>
          <w:rFonts w:ascii="Times New Roman" w:hAnsi="Times New Roman" w:cs="Times New Roman"/>
          <w:bCs/>
        </w:rPr>
      </w:pPr>
      <w:r w:rsidRPr="00077581">
        <w:rPr>
          <w:rFonts w:ascii="Times New Roman" w:hAnsi="Times New Roman" w:cs="Times New Roman"/>
          <w:bCs/>
        </w:rPr>
        <w:t xml:space="preserve">If yes, method used: </w:t>
      </w:r>
      <w:r w:rsidRPr="00077581">
        <w:rPr>
          <w:rFonts w:ascii="Segoe UI Symbol" w:hAnsi="Segoe UI Symbol" w:cs="Segoe UI Symbol"/>
          <w:bCs/>
        </w:rPr>
        <w:t>☐</w:t>
      </w:r>
      <w:r w:rsidRPr="00077581">
        <w:rPr>
          <w:rFonts w:ascii="Times New Roman" w:hAnsi="Times New Roman" w:cs="Times New Roman"/>
          <w:bCs/>
        </w:rPr>
        <w:t xml:space="preserve"> Meditation </w:t>
      </w:r>
      <w:r w:rsidRPr="00077581">
        <w:rPr>
          <w:rFonts w:ascii="Segoe UI Symbol" w:hAnsi="Segoe UI Symbol" w:cs="Segoe UI Symbol"/>
          <w:bCs/>
        </w:rPr>
        <w:t>☐</w:t>
      </w:r>
      <w:r w:rsidRPr="00077581">
        <w:rPr>
          <w:rFonts w:ascii="Times New Roman" w:hAnsi="Times New Roman" w:cs="Times New Roman"/>
          <w:bCs/>
        </w:rPr>
        <w:t xml:space="preserve"> Breathing </w:t>
      </w:r>
      <w:r w:rsidRPr="00077581">
        <w:rPr>
          <w:rFonts w:ascii="Segoe UI Symbol" w:hAnsi="Segoe UI Symbol" w:cs="Segoe UI Symbol"/>
          <w:bCs/>
        </w:rPr>
        <w:t>☐</w:t>
      </w:r>
      <w:r w:rsidRPr="00077581">
        <w:rPr>
          <w:rFonts w:ascii="Times New Roman" w:hAnsi="Times New Roman" w:cs="Times New Roman"/>
          <w:bCs/>
        </w:rPr>
        <w:t xml:space="preserve"> Mindfulness </w:t>
      </w:r>
      <w:r w:rsidRPr="00077581">
        <w:rPr>
          <w:rFonts w:ascii="Segoe UI Symbol" w:hAnsi="Segoe UI Symbol" w:cs="Segoe UI Symbol"/>
          <w:bCs/>
        </w:rPr>
        <w:t>☐</w:t>
      </w:r>
      <w:r w:rsidRPr="00077581">
        <w:rPr>
          <w:rFonts w:ascii="Times New Roman" w:hAnsi="Times New Roman" w:cs="Times New Roman"/>
          <w:bCs/>
        </w:rPr>
        <w:t xml:space="preserve"> Other: ______</w:t>
      </w:r>
    </w:p>
    <w:p w14:paraId="49CF1908" w14:textId="77777777" w:rsidR="00D81433" w:rsidRPr="00077581" w:rsidRDefault="00D81433" w:rsidP="00EF0802">
      <w:pPr>
        <w:spacing w:line="360" w:lineRule="auto"/>
        <w:rPr>
          <w:rFonts w:ascii="Times New Roman" w:hAnsi="Times New Roman" w:cs="Times New Roman"/>
          <w:bCs/>
        </w:rPr>
      </w:pPr>
    </w:p>
    <w:p w14:paraId="29003321" w14:textId="77777777" w:rsidR="00D81433" w:rsidRPr="00077581" w:rsidRDefault="00D81433" w:rsidP="00EF0802">
      <w:pPr>
        <w:spacing w:line="360" w:lineRule="auto"/>
        <w:rPr>
          <w:rFonts w:ascii="Times New Roman" w:hAnsi="Times New Roman" w:cs="Times New Roman"/>
          <w:b/>
        </w:rPr>
      </w:pPr>
      <w:r w:rsidRPr="00077581">
        <w:rPr>
          <w:rFonts w:ascii="Times New Roman" w:hAnsi="Times New Roman" w:cs="Times New Roman"/>
          <w:b/>
        </w:rPr>
        <w:t>SECTION F: MEDICAL OUTCOMES &amp; MONITORING (Post-Test Only)</w:t>
      </w:r>
    </w:p>
    <w:p w14:paraId="07B6500F" w14:textId="77777777" w:rsidR="00D81433" w:rsidRPr="00077581" w:rsidRDefault="00D81433" w:rsidP="00EF0802">
      <w:pPr>
        <w:numPr>
          <w:ilvl w:val="0"/>
          <w:numId w:val="48"/>
        </w:numPr>
        <w:spacing w:line="360" w:lineRule="auto"/>
        <w:rPr>
          <w:rFonts w:ascii="Times New Roman" w:hAnsi="Times New Roman" w:cs="Times New Roman"/>
          <w:bCs/>
        </w:rPr>
      </w:pPr>
      <w:r w:rsidRPr="00077581">
        <w:rPr>
          <w:rFonts w:ascii="Times New Roman" w:hAnsi="Times New Roman" w:cs="Times New Roman"/>
          <w:bCs/>
        </w:rPr>
        <w:t>Has your blood pressure improved?</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Significant </w:t>
      </w:r>
      <w:r w:rsidRPr="00077581">
        <w:rPr>
          <w:rFonts w:ascii="Segoe UI Symbol" w:hAnsi="Segoe UI Symbol" w:cs="Segoe UI Symbol"/>
          <w:bCs/>
        </w:rPr>
        <w:t>☐</w:t>
      </w:r>
      <w:r w:rsidRPr="00077581">
        <w:rPr>
          <w:rFonts w:ascii="Times New Roman" w:hAnsi="Times New Roman" w:cs="Times New Roman"/>
          <w:bCs/>
        </w:rPr>
        <w:t xml:space="preserve"> Some </w:t>
      </w:r>
      <w:r w:rsidRPr="00077581">
        <w:rPr>
          <w:rFonts w:ascii="Segoe UI Symbol" w:hAnsi="Segoe UI Symbol" w:cs="Segoe UI Symbol"/>
          <w:bCs/>
        </w:rPr>
        <w:t>☐</w:t>
      </w:r>
      <w:r w:rsidRPr="00077581">
        <w:rPr>
          <w:rFonts w:ascii="Times New Roman" w:hAnsi="Times New Roman" w:cs="Times New Roman"/>
          <w:bCs/>
        </w:rPr>
        <w:t xml:space="preserve"> No change </w:t>
      </w:r>
      <w:r w:rsidRPr="00077581">
        <w:rPr>
          <w:rFonts w:ascii="Segoe UI Symbol" w:hAnsi="Segoe UI Symbol" w:cs="Segoe UI Symbol"/>
          <w:bCs/>
        </w:rPr>
        <w:t>☐</w:t>
      </w:r>
      <w:r w:rsidRPr="00077581">
        <w:rPr>
          <w:rFonts w:ascii="Times New Roman" w:hAnsi="Times New Roman" w:cs="Times New Roman"/>
          <w:bCs/>
        </w:rPr>
        <w:t xml:space="preserve"> Worse</w:t>
      </w:r>
    </w:p>
    <w:p w14:paraId="782A0578" w14:textId="77777777" w:rsidR="00D81433" w:rsidRPr="00077581" w:rsidRDefault="00D81433" w:rsidP="00EF0802">
      <w:pPr>
        <w:numPr>
          <w:ilvl w:val="0"/>
          <w:numId w:val="48"/>
        </w:numPr>
        <w:spacing w:line="360" w:lineRule="auto"/>
        <w:rPr>
          <w:rFonts w:ascii="Times New Roman" w:hAnsi="Times New Roman" w:cs="Times New Roman"/>
          <w:bCs/>
        </w:rPr>
      </w:pPr>
      <w:r w:rsidRPr="00077581">
        <w:rPr>
          <w:rFonts w:ascii="Times New Roman" w:hAnsi="Times New Roman" w:cs="Times New Roman"/>
          <w:bCs/>
        </w:rPr>
        <w:t>Has your thyroid function improved?</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Significant </w:t>
      </w:r>
      <w:r w:rsidRPr="00077581">
        <w:rPr>
          <w:rFonts w:ascii="Segoe UI Symbol" w:hAnsi="Segoe UI Symbol" w:cs="Segoe UI Symbol"/>
          <w:bCs/>
        </w:rPr>
        <w:t>☐</w:t>
      </w:r>
      <w:r w:rsidRPr="00077581">
        <w:rPr>
          <w:rFonts w:ascii="Times New Roman" w:hAnsi="Times New Roman" w:cs="Times New Roman"/>
          <w:bCs/>
        </w:rPr>
        <w:t xml:space="preserve"> Some </w:t>
      </w:r>
      <w:r w:rsidRPr="00077581">
        <w:rPr>
          <w:rFonts w:ascii="Segoe UI Symbol" w:hAnsi="Segoe UI Symbol" w:cs="Segoe UI Symbol"/>
          <w:bCs/>
        </w:rPr>
        <w:t>☐</w:t>
      </w:r>
      <w:r w:rsidRPr="00077581">
        <w:rPr>
          <w:rFonts w:ascii="Times New Roman" w:hAnsi="Times New Roman" w:cs="Times New Roman"/>
          <w:bCs/>
        </w:rPr>
        <w:t xml:space="preserve"> No change </w:t>
      </w:r>
      <w:r w:rsidRPr="00077581">
        <w:rPr>
          <w:rFonts w:ascii="Segoe UI Symbol" w:hAnsi="Segoe UI Symbol" w:cs="Segoe UI Symbol"/>
          <w:bCs/>
        </w:rPr>
        <w:t>☐</w:t>
      </w:r>
      <w:r w:rsidRPr="00077581">
        <w:rPr>
          <w:rFonts w:ascii="Times New Roman" w:hAnsi="Times New Roman" w:cs="Times New Roman"/>
          <w:bCs/>
        </w:rPr>
        <w:t xml:space="preserve"> Worse</w:t>
      </w:r>
    </w:p>
    <w:p w14:paraId="7F20CB5E" w14:textId="77777777" w:rsidR="00D81433" w:rsidRPr="00077581" w:rsidRDefault="00D81433" w:rsidP="00EF0802">
      <w:pPr>
        <w:numPr>
          <w:ilvl w:val="0"/>
          <w:numId w:val="48"/>
        </w:numPr>
        <w:spacing w:line="360" w:lineRule="auto"/>
        <w:rPr>
          <w:rFonts w:ascii="Times New Roman" w:hAnsi="Times New Roman" w:cs="Times New Roman"/>
          <w:bCs/>
        </w:rPr>
      </w:pPr>
      <w:r w:rsidRPr="00077581">
        <w:rPr>
          <w:rFonts w:ascii="Times New Roman" w:hAnsi="Times New Roman" w:cs="Times New Roman"/>
          <w:bCs/>
        </w:rPr>
        <w:t>Have symptoms of thyroid (e.g., fatigue, weight) reduced?</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 </w:t>
      </w:r>
      <w:r w:rsidRPr="00077581">
        <w:rPr>
          <w:rFonts w:ascii="Segoe UI Symbol" w:hAnsi="Segoe UI Symbol" w:cs="Segoe UI Symbol"/>
          <w:bCs/>
        </w:rPr>
        <w:t>☐</w:t>
      </w:r>
      <w:r w:rsidRPr="00077581">
        <w:rPr>
          <w:rFonts w:ascii="Times New Roman" w:hAnsi="Times New Roman" w:cs="Times New Roman"/>
          <w:bCs/>
        </w:rPr>
        <w:t xml:space="preserve"> Not applicable</w:t>
      </w:r>
    </w:p>
    <w:p w14:paraId="2826E23D" w14:textId="77777777" w:rsidR="00D81433" w:rsidRPr="00077581" w:rsidRDefault="00D81433" w:rsidP="00EF0802">
      <w:pPr>
        <w:numPr>
          <w:ilvl w:val="0"/>
          <w:numId w:val="48"/>
        </w:numPr>
        <w:spacing w:line="360" w:lineRule="auto"/>
        <w:rPr>
          <w:rFonts w:ascii="Times New Roman" w:hAnsi="Times New Roman" w:cs="Times New Roman"/>
          <w:bCs/>
        </w:rPr>
      </w:pPr>
      <w:r w:rsidRPr="00077581">
        <w:rPr>
          <w:rFonts w:ascii="Times New Roman" w:hAnsi="Times New Roman" w:cs="Times New Roman"/>
          <w:bCs/>
        </w:rPr>
        <w:t>Have hypertension symptoms (e.g., headache, dizziness) reduced?</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 </w:t>
      </w:r>
      <w:r w:rsidRPr="00077581">
        <w:rPr>
          <w:rFonts w:ascii="Segoe UI Symbol" w:hAnsi="Segoe UI Symbol" w:cs="Segoe UI Symbol"/>
          <w:bCs/>
        </w:rPr>
        <w:t>☐</w:t>
      </w:r>
      <w:r w:rsidRPr="00077581">
        <w:rPr>
          <w:rFonts w:ascii="Times New Roman" w:hAnsi="Times New Roman" w:cs="Times New Roman"/>
          <w:bCs/>
        </w:rPr>
        <w:t xml:space="preserve"> Not applicable</w:t>
      </w:r>
    </w:p>
    <w:p w14:paraId="76C21932" w14:textId="77777777" w:rsidR="00D81433" w:rsidRPr="00077581" w:rsidRDefault="00D81433" w:rsidP="00EF0802">
      <w:pPr>
        <w:numPr>
          <w:ilvl w:val="0"/>
          <w:numId w:val="48"/>
        </w:numPr>
        <w:spacing w:line="360" w:lineRule="auto"/>
        <w:rPr>
          <w:rFonts w:ascii="Times New Roman" w:hAnsi="Times New Roman" w:cs="Times New Roman"/>
          <w:bCs/>
        </w:rPr>
      </w:pPr>
      <w:r w:rsidRPr="00077581">
        <w:rPr>
          <w:rFonts w:ascii="Times New Roman" w:hAnsi="Times New Roman" w:cs="Times New Roman"/>
          <w:bCs/>
        </w:rPr>
        <w:t>BP monitoring frequency:</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Weekly or more </w:t>
      </w:r>
      <w:r w:rsidRPr="00077581">
        <w:rPr>
          <w:rFonts w:ascii="Segoe UI Symbol" w:hAnsi="Segoe UI Symbol" w:cs="Segoe UI Symbol"/>
          <w:bCs/>
        </w:rPr>
        <w:t>☐</w:t>
      </w:r>
      <w:r w:rsidRPr="00077581">
        <w:rPr>
          <w:rFonts w:ascii="Times New Roman" w:hAnsi="Times New Roman" w:cs="Times New Roman"/>
          <w:bCs/>
        </w:rPr>
        <w:t xml:space="preserve"> Monthly </w:t>
      </w:r>
      <w:r w:rsidRPr="00077581">
        <w:rPr>
          <w:rFonts w:ascii="Segoe UI Symbol" w:hAnsi="Segoe UI Symbol" w:cs="Segoe UI Symbol"/>
          <w:bCs/>
        </w:rPr>
        <w:t>☐</w:t>
      </w:r>
      <w:r w:rsidRPr="00077581">
        <w:rPr>
          <w:rFonts w:ascii="Times New Roman" w:hAnsi="Times New Roman" w:cs="Times New Roman"/>
          <w:bCs/>
        </w:rPr>
        <w:t xml:space="preserve"> Rarely/Never</w:t>
      </w:r>
    </w:p>
    <w:p w14:paraId="0F4D879B" w14:textId="77777777" w:rsidR="00D81433" w:rsidRPr="00077581" w:rsidRDefault="00D81433" w:rsidP="00EF0802">
      <w:pPr>
        <w:numPr>
          <w:ilvl w:val="0"/>
          <w:numId w:val="48"/>
        </w:numPr>
        <w:spacing w:line="360" w:lineRule="auto"/>
        <w:rPr>
          <w:rFonts w:ascii="Times New Roman" w:hAnsi="Times New Roman" w:cs="Times New Roman"/>
          <w:bCs/>
        </w:rPr>
      </w:pPr>
      <w:r w:rsidRPr="00077581">
        <w:rPr>
          <w:rFonts w:ascii="Times New Roman" w:hAnsi="Times New Roman" w:cs="Times New Roman"/>
          <w:bCs/>
        </w:rPr>
        <w:t>Thyroid monitoring frequency:</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Within 3 months </w:t>
      </w:r>
      <w:r w:rsidRPr="00077581">
        <w:rPr>
          <w:rFonts w:ascii="Segoe UI Symbol" w:hAnsi="Segoe UI Symbol" w:cs="Segoe UI Symbol"/>
          <w:bCs/>
        </w:rPr>
        <w:t>☐</w:t>
      </w:r>
      <w:r w:rsidRPr="00077581">
        <w:rPr>
          <w:rFonts w:ascii="Times New Roman" w:hAnsi="Times New Roman" w:cs="Times New Roman"/>
          <w:bCs/>
        </w:rPr>
        <w:t xml:space="preserve"> Monthly </w:t>
      </w:r>
      <w:r w:rsidRPr="00077581">
        <w:rPr>
          <w:rFonts w:ascii="Segoe UI Symbol" w:hAnsi="Segoe UI Symbol" w:cs="Segoe UI Symbol"/>
          <w:bCs/>
        </w:rPr>
        <w:t>☐</w:t>
      </w:r>
      <w:r w:rsidRPr="00077581">
        <w:rPr>
          <w:rFonts w:ascii="Times New Roman" w:hAnsi="Times New Roman" w:cs="Times New Roman"/>
          <w:bCs/>
        </w:rPr>
        <w:t xml:space="preserve"> Rarely/Never</w:t>
      </w:r>
    </w:p>
    <w:p w14:paraId="2C580347" w14:textId="77777777" w:rsidR="00D81433" w:rsidRPr="00077581" w:rsidRDefault="00D81433" w:rsidP="00EF0802">
      <w:pPr>
        <w:spacing w:line="360" w:lineRule="auto"/>
        <w:rPr>
          <w:rFonts w:ascii="Times New Roman" w:hAnsi="Times New Roman" w:cs="Times New Roman"/>
          <w:bCs/>
        </w:rPr>
      </w:pPr>
    </w:p>
    <w:p w14:paraId="47827696" w14:textId="77777777" w:rsidR="00D81433" w:rsidRPr="00077581" w:rsidRDefault="00D81433" w:rsidP="00EF0802">
      <w:pPr>
        <w:spacing w:line="360" w:lineRule="auto"/>
        <w:rPr>
          <w:rFonts w:ascii="Times New Roman" w:hAnsi="Times New Roman" w:cs="Times New Roman"/>
          <w:b/>
        </w:rPr>
      </w:pPr>
      <w:r w:rsidRPr="00077581">
        <w:rPr>
          <w:rFonts w:ascii="Times New Roman" w:hAnsi="Times New Roman" w:cs="Times New Roman"/>
          <w:b/>
        </w:rPr>
        <w:t>SECTION G: SATISFACTION &amp; FEEDBACK (Post-Test Only)</w:t>
      </w:r>
    </w:p>
    <w:p w14:paraId="730C3061" w14:textId="77777777" w:rsidR="00D81433" w:rsidRPr="00077581" w:rsidRDefault="00D81433" w:rsidP="00EF0802">
      <w:pPr>
        <w:numPr>
          <w:ilvl w:val="0"/>
          <w:numId w:val="49"/>
        </w:numPr>
        <w:spacing w:line="360" w:lineRule="auto"/>
        <w:rPr>
          <w:rFonts w:ascii="Times New Roman" w:hAnsi="Times New Roman" w:cs="Times New Roman"/>
          <w:bCs/>
        </w:rPr>
      </w:pPr>
      <w:r w:rsidRPr="00077581">
        <w:rPr>
          <w:rFonts w:ascii="Times New Roman" w:hAnsi="Times New Roman" w:cs="Times New Roman"/>
          <w:bCs/>
        </w:rPr>
        <w:t>Satisfaction with guidance:</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Very satisfied </w:t>
      </w:r>
      <w:r w:rsidRPr="00077581">
        <w:rPr>
          <w:rFonts w:ascii="Segoe UI Symbol" w:hAnsi="Segoe UI Symbol" w:cs="Segoe UI Symbol"/>
          <w:bCs/>
        </w:rPr>
        <w:t>☐</w:t>
      </w:r>
      <w:r w:rsidRPr="00077581">
        <w:rPr>
          <w:rFonts w:ascii="Times New Roman" w:hAnsi="Times New Roman" w:cs="Times New Roman"/>
          <w:bCs/>
        </w:rPr>
        <w:t xml:space="preserve"> Satisfied </w:t>
      </w:r>
      <w:r w:rsidRPr="00077581">
        <w:rPr>
          <w:rFonts w:ascii="Segoe UI Symbol" w:hAnsi="Segoe UI Symbol" w:cs="Segoe UI Symbol"/>
          <w:bCs/>
        </w:rPr>
        <w:t>☐</w:t>
      </w:r>
      <w:r w:rsidRPr="00077581">
        <w:rPr>
          <w:rFonts w:ascii="Times New Roman" w:hAnsi="Times New Roman" w:cs="Times New Roman"/>
          <w:bCs/>
        </w:rPr>
        <w:t xml:space="preserve"> Neutral </w:t>
      </w:r>
      <w:r w:rsidRPr="00077581">
        <w:rPr>
          <w:rFonts w:ascii="Segoe UI Symbol" w:hAnsi="Segoe UI Symbol" w:cs="Segoe UI Symbol"/>
          <w:bCs/>
        </w:rPr>
        <w:t>☐</w:t>
      </w:r>
      <w:r w:rsidRPr="00077581">
        <w:rPr>
          <w:rFonts w:ascii="Times New Roman" w:hAnsi="Times New Roman" w:cs="Times New Roman"/>
          <w:bCs/>
        </w:rPr>
        <w:t xml:space="preserve"> Dissatisfied </w:t>
      </w:r>
      <w:r w:rsidRPr="00077581">
        <w:rPr>
          <w:rFonts w:ascii="Segoe UI Symbol" w:hAnsi="Segoe UI Symbol" w:cs="Segoe UI Symbol"/>
          <w:bCs/>
        </w:rPr>
        <w:t>☐</w:t>
      </w:r>
      <w:r w:rsidRPr="00077581">
        <w:rPr>
          <w:rFonts w:ascii="Times New Roman" w:hAnsi="Times New Roman" w:cs="Times New Roman"/>
          <w:bCs/>
        </w:rPr>
        <w:t xml:space="preserve"> Very dissatisfied</w:t>
      </w:r>
    </w:p>
    <w:p w14:paraId="35A8FBEA" w14:textId="77777777" w:rsidR="00D81433" w:rsidRPr="00077581" w:rsidRDefault="00D81433" w:rsidP="00EF0802">
      <w:pPr>
        <w:numPr>
          <w:ilvl w:val="0"/>
          <w:numId w:val="49"/>
        </w:numPr>
        <w:spacing w:line="360" w:lineRule="auto"/>
        <w:rPr>
          <w:rFonts w:ascii="Times New Roman" w:hAnsi="Times New Roman" w:cs="Times New Roman"/>
          <w:bCs/>
        </w:rPr>
      </w:pPr>
      <w:r w:rsidRPr="00077581">
        <w:rPr>
          <w:rFonts w:ascii="Times New Roman" w:hAnsi="Times New Roman" w:cs="Times New Roman"/>
          <w:bCs/>
        </w:rPr>
        <w:lastRenderedPageBreak/>
        <w:t>Do you feel lifestyle changes improved your overall health?</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Strongly agree </w:t>
      </w:r>
      <w:r w:rsidRPr="00077581">
        <w:rPr>
          <w:rFonts w:ascii="Segoe UI Symbol" w:hAnsi="Segoe UI Symbol" w:cs="Segoe UI Symbol"/>
          <w:bCs/>
        </w:rPr>
        <w:t>☐</w:t>
      </w:r>
      <w:r w:rsidRPr="00077581">
        <w:rPr>
          <w:rFonts w:ascii="Times New Roman" w:hAnsi="Times New Roman" w:cs="Times New Roman"/>
          <w:bCs/>
        </w:rPr>
        <w:t xml:space="preserve"> Agree </w:t>
      </w:r>
      <w:r w:rsidRPr="00077581">
        <w:rPr>
          <w:rFonts w:ascii="Segoe UI Symbol" w:hAnsi="Segoe UI Symbol" w:cs="Segoe UI Symbol"/>
          <w:bCs/>
        </w:rPr>
        <w:t>☐</w:t>
      </w:r>
      <w:r w:rsidRPr="00077581">
        <w:rPr>
          <w:rFonts w:ascii="Times New Roman" w:hAnsi="Times New Roman" w:cs="Times New Roman"/>
          <w:bCs/>
        </w:rPr>
        <w:t xml:space="preserve"> Neutral </w:t>
      </w:r>
      <w:r w:rsidRPr="00077581">
        <w:rPr>
          <w:rFonts w:ascii="Segoe UI Symbol" w:hAnsi="Segoe UI Symbol" w:cs="Segoe UI Symbol"/>
          <w:bCs/>
        </w:rPr>
        <w:t>☐</w:t>
      </w:r>
      <w:r w:rsidRPr="00077581">
        <w:rPr>
          <w:rFonts w:ascii="Times New Roman" w:hAnsi="Times New Roman" w:cs="Times New Roman"/>
          <w:bCs/>
        </w:rPr>
        <w:t xml:space="preserve"> Disagree </w:t>
      </w:r>
      <w:r w:rsidRPr="00077581">
        <w:rPr>
          <w:rFonts w:ascii="Segoe UI Symbol" w:hAnsi="Segoe UI Symbol" w:cs="Segoe UI Symbol"/>
          <w:bCs/>
        </w:rPr>
        <w:t>☐</w:t>
      </w:r>
      <w:r w:rsidRPr="00077581">
        <w:rPr>
          <w:rFonts w:ascii="Times New Roman" w:hAnsi="Times New Roman" w:cs="Times New Roman"/>
          <w:bCs/>
        </w:rPr>
        <w:t xml:space="preserve"> Strongly disagree</w:t>
      </w:r>
    </w:p>
    <w:p w14:paraId="2ED51175" w14:textId="77777777" w:rsidR="00D81433" w:rsidRPr="00077581" w:rsidRDefault="00D81433" w:rsidP="00EF0802">
      <w:pPr>
        <w:numPr>
          <w:ilvl w:val="0"/>
          <w:numId w:val="49"/>
        </w:numPr>
        <w:spacing w:line="360" w:lineRule="auto"/>
        <w:rPr>
          <w:rFonts w:ascii="Times New Roman" w:hAnsi="Times New Roman" w:cs="Times New Roman"/>
          <w:bCs/>
        </w:rPr>
      </w:pPr>
      <w:r w:rsidRPr="00077581">
        <w:rPr>
          <w:rFonts w:ascii="Times New Roman" w:hAnsi="Times New Roman" w:cs="Times New Roman"/>
          <w:bCs/>
        </w:rPr>
        <w:t>Do you plan to continue these changes post-pregnancy?</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 </w:t>
      </w:r>
      <w:r w:rsidRPr="00077581">
        <w:rPr>
          <w:rFonts w:ascii="Segoe UI Symbol" w:hAnsi="Segoe UI Symbol" w:cs="Segoe UI Symbol"/>
          <w:bCs/>
        </w:rPr>
        <w:t>☐</w:t>
      </w:r>
      <w:r w:rsidRPr="00077581">
        <w:rPr>
          <w:rFonts w:ascii="Times New Roman" w:hAnsi="Times New Roman" w:cs="Times New Roman"/>
          <w:bCs/>
        </w:rPr>
        <w:t xml:space="preserve"> Not sure</w:t>
      </w:r>
    </w:p>
    <w:p w14:paraId="3F0B79FD" w14:textId="77777777" w:rsidR="00D81433" w:rsidRPr="00077581" w:rsidRDefault="00D81433" w:rsidP="00EF0802">
      <w:pPr>
        <w:numPr>
          <w:ilvl w:val="0"/>
          <w:numId w:val="49"/>
        </w:numPr>
        <w:spacing w:line="360" w:lineRule="auto"/>
        <w:rPr>
          <w:rFonts w:ascii="Times New Roman" w:hAnsi="Times New Roman" w:cs="Times New Roman"/>
          <w:bCs/>
        </w:rPr>
      </w:pPr>
      <w:r w:rsidRPr="00077581">
        <w:rPr>
          <w:rFonts w:ascii="Times New Roman" w:hAnsi="Times New Roman" w:cs="Times New Roman"/>
          <w:bCs/>
        </w:rPr>
        <w:t xml:space="preserve">Did you face barriers to implementation (e.g., time, food access)? </w:t>
      </w:r>
      <w:r w:rsidRPr="00077581">
        <w:rPr>
          <w:rFonts w:ascii="Segoe UI Symbol" w:hAnsi="Segoe UI Symbol" w:cs="Segoe UI Symbol"/>
          <w:bCs/>
        </w:rPr>
        <w:t>☐</w:t>
      </w:r>
      <w:r w:rsidRPr="00077581">
        <w:rPr>
          <w:rFonts w:ascii="Times New Roman" w:hAnsi="Times New Roman" w:cs="Times New Roman"/>
          <w:bCs/>
        </w:rPr>
        <w:t xml:space="preserve"> Yes </w:t>
      </w:r>
      <w:r w:rsidRPr="00077581">
        <w:rPr>
          <w:rFonts w:ascii="Segoe UI Symbol" w:hAnsi="Segoe UI Symbol" w:cs="Segoe UI Symbol"/>
          <w:bCs/>
        </w:rPr>
        <w:t>☐</w:t>
      </w:r>
      <w:r w:rsidRPr="00077581">
        <w:rPr>
          <w:rFonts w:ascii="Times New Roman" w:hAnsi="Times New Roman" w:cs="Times New Roman"/>
          <w:bCs/>
        </w:rPr>
        <w:t xml:space="preserve"> No</w:t>
      </w:r>
      <w:r w:rsidRPr="00077581">
        <w:rPr>
          <w:rFonts w:ascii="Times New Roman" w:hAnsi="Times New Roman" w:cs="Times New Roman"/>
          <w:bCs/>
        </w:rPr>
        <w:br/>
        <w:t>If yes, specify: ___________________</w:t>
      </w:r>
    </w:p>
    <w:p w14:paraId="39A6EA33" w14:textId="34E73F76" w:rsidR="00845104" w:rsidRPr="00B51CCF" w:rsidRDefault="00D81433" w:rsidP="00B51CCF">
      <w:pPr>
        <w:numPr>
          <w:ilvl w:val="0"/>
          <w:numId w:val="49"/>
        </w:numPr>
        <w:spacing w:line="360" w:lineRule="auto"/>
        <w:rPr>
          <w:rFonts w:ascii="Times New Roman" w:hAnsi="Times New Roman" w:cs="Times New Roman"/>
          <w:bCs/>
        </w:rPr>
      </w:pPr>
      <w:r w:rsidRPr="00077581">
        <w:rPr>
          <w:rFonts w:ascii="Times New Roman" w:hAnsi="Times New Roman" w:cs="Times New Roman"/>
          <w:bCs/>
        </w:rPr>
        <w:t>Overall effectiveness of lifestyle changes:</w:t>
      </w:r>
      <w:r w:rsidRPr="00077581">
        <w:rPr>
          <w:rFonts w:ascii="Times New Roman" w:hAnsi="Times New Roman" w:cs="Times New Roman"/>
          <w:bCs/>
        </w:rPr>
        <w:br/>
      </w:r>
      <w:r w:rsidRPr="00077581">
        <w:rPr>
          <w:rFonts w:ascii="Segoe UI Symbol" w:hAnsi="Segoe UI Symbol" w:cs="Segoe UI Symbol"/>
          <w:bCs/>
        </w:rPr>
        <w:t>☐</w:t>
      </w:r>
      <w:r w:rsidRPr="00077581">
        <w:rPr>
          <w:rFonts w:ascii="Times New Roman" w:hAnsi="Times New Roman" w:cs="Times New Roman"/>
          <w:bCs/>
        </w:rPr>
        <w:t xml:space="preserve"> Very effective </w:t>
      </w:r>
      <w:r w:rsidRPr="00077581">
        <w:rPr>
          <w:rFonts w:ascii="Segoe UI Symbol" w:hAnsi="Segoe UI Symbol" w:cs="Segoe UI Symbol"/>
          <w:bCs/>
        </w:rPr>
        <w:t>☐</w:t>
      </w:r>
      <w:r w:rsidRPr="00077581">
        <w:rPr>
          <w:rFonts w:ascii="Times New Roman" w:hAnsi="Times New Roman" w:cs="Times New Roman"/>
          <w:bCs/>
        </w:rPr>
        <w:t xml:space="preserve"> Somewhat effective </w:t>
      </w:r>
      <w:r w:rsidRPr="00077581">
        <w:rPr>
          <w:rFonts w:ascii="Segoe UI Symbol" w:hAnsi="Segoe UI Symbol" w:cs="Segoe UI Symbol"/>
          <w:bCs/>
        </w:rPr>
        <w:t>☐</w:t>
      </w:r>
      <w:r w:rsidRPr="00077581">
        <w:rPr>
          <w:rFonts w:ascii="Times New Roman" w:hAnsi="Times New Roman" w:cs="Times New Roman"/>
          <w:bCs/>
        </w:rPr>
        <w:t xml:space="preserve"> Not effective </w:t>
      </w:r>
      <w:r w:rsidRPr="00077581">
        <w:rPr>
          <w:rFonts w:ascii="Segoe UI Symbol" w:hAnsi="Segoe UI Symbol" w:cs="Segoe UI Symbol"/>
          <w:bCs/>
        </w:rPr>
        <w:t>☐</w:t>
      </w:r>
      <w:r w:rsidRPr="00077581">
        <w:rPr>
          <w:rFonts w:ascii="Times New Roman" w:hAnsi="Times New Roman" w:cs="Times New Roman"/>
          <w:bCs/>
        </w:rPr>
        <w:t xml:space="preserve"> Unsure</w:t>
      </w:r>
    </w:p>
    <w:p w14:paraId="5BCED517" w14:textId="77777777" w:rsidR="005E429F" w:rsidRPr="00B51CCF" w:rsidRDefault="005E429F" w:rsidP="00CC5373">
      <w:pPr>
        <w:spacing w:line="360" w:lineRule="auto"/>
        <w:ind w:left="720"/>
        <w:rPr>
          <w:rFonts w:ascii="Times New Roman" w:hAnsi="Times New Roman" w:cs="Times New Roman"/>
          <w:bCs/>
        </w:rPr>
      </w:pPr>
    </w:p>
    <w:sectPr w:rsidR="005E429F" w:rsidRPr="00B51CCF" w:rsidSect="00EF0802">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CDC"/>
    <w:multiLevelType w:val="multilevel"/>
    <w:tmpl w:val="7A00F0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97761"/>
    <w:multiLevelType w:val="multilevel"/>
    <w:tmpl w:val="201A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45B7E"/>
    <w:multiLevelType w:val="multilevel"/>
    <w:tmpl w:val="7C68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C91151"/>
    <w:multiLevelType w:val="multilevel"/>
    <w:tmpl w:val="17882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765E5"/>
    <w:multiLevelType w:val="multilevel"/>
    <w:tmpl w:val="86BE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7734C"/>
    <w:multiLevelType w:val="multilevel"/>
    <w:tmpl w:val="D17A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E1B52"/>
    <w:multiLevelType w:val="multilevel"/>
    <w:tmpl w:val="B7B6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9025B"/>
    <w:multiLevelType w:val="hybridMultilevel"/>
    <w:tmpl w:val="47E2F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EC00240"/>
    <w:multiLevelType w:val="multilevel"/>
    <w:tmpl w:val="0E84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275E9"/>
    <w:multiLevelType w:val="hybridMultilevel"/>
    <w:tmpl w:val="9488C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311E10"/>
    <w:multiLevelType w:val="multilevel"/>
    <w:tmpl w:val="04A4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063C0"/>
    <w:multiLevelType w:val="hybridMultilevel"/>
    <w:tmpl w:val="28CC7A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C943A5"/>
    <w:multiLevelType w:val="hybridMultilevel"/>
    <w:tmpl w:val="A21EDE0C"/>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3" w15:restartNumberingAfterBreak="0">
    <w:nsid w:val="185E0ADC"/>
    <w:multiLevelType w:val="multilevel"/>
    <w:tmpl w:val="B93E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04DDA"/>
    <w:multiLevelType w:val="multilevel"/>
    <w:tmpl w:val="F19E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FA1FEF"/>
    <w:multiLevelType w:val="multilevel"/>
    <w:tmpl w:val="927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42A1B"/>
    <w:multiLevelType w:val="multilevel"/>
    <w:tmpl w:val="1728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276C8B"/>
    <w:multiLevelType w:val="multilevel"/>
    <w:tmpl w:val="E380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15F4E"/>
    <w:multiLevelType w:val="multilevel"/>
    <w:tmpl w:val="F668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546A28"/>
    <w:multiLevelType w:val="hybridMultilevel"/>
    <w:tmpl w:val="EBE8BC26"/>
    <w:lvl w:ilvl="0" w:tplc="A1B08E9A">
      <w:start w:val="1"/>
      <w:numFmt w:val="decimal"/>
      <w:lvlText w:val="%1."/>
      <w:lvlJc w:val="left"/>
      <w:pPr>
        <w:ind w:left="450" w:hanging="360"/>
      </w:pPr>
      <w:rPr>
        <w:b w:val="0"/>
        <w:bCs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235D59C0"/>
    <w:multiLevelType w:val="multilevel"/>
    <w:tmpl w:val="B1A4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6817DC"/>
    <w:multiLevelType w:val="multilevel"/>
    <w:tmpl w:val="032E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787897"/>
    <w:multiLevelType w:val="hybridMultilevel"/>
    <w:tmpl w:val="007E6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569684B"/>
    <w:multiLevelType w:val="hybridMultilevel"/>
    <w:tmpl w:val="2174B02E"/>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24" w15:restartNumberingAfterBreak="0">
    <w:nsid w:val="25A445C7"/>
    <w:multiLevelType w:val="multilevel"/>
    <w:tmpl w:val="4CA4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497DAC"/>
    <w:multiLevelType w:val="multilevel"/>
    <w:tmpl w:val="00146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374A70"/>
    <w:multiLevelType w:val="multilevel"/>
    <w:tmpl w:val="DBEEB29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E627D7"/>
    <w:multiLevelType w:val="multilevel"/>
    <w:tmpl w:val="25A44E1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1A64C5"/>
    <w:multiLevelType w:val="multilevel"/>
    <w:tmpl w:val="4B18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7D7FDE"/>
    <w:multiLevelType w:val="multilevel"/>
    <w:tmpl w:val="7CBA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9C196C"/>
    <w:multiLevelType w:val="multilevel"/>
    <w:tmpl w:val="D62A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07211F"/>
    <w:multiLevelType w:val="hybridMultilevel"/>
    <w:tmpl w:val="A21ED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4FB3848"/>
    <w:multiLevelType w:val="hybridMultilevel"/>
    <w:tmpl w:val="C90E9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5355DCA"/>
    <w:multiLevelType w:val="hybridMultilevel"/>
    <w:tmpl w:val="AB127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6120AA5"/>
    <w:multiLevelType w:val="multilevel"/>
    <w:tmpl w:val="FB84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84145B"/>
    <w:multiLevelType w:val="multilevel"/>
    <w:tmpl w:val="5050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E40505"/>
    <w:multiLevelType w:val="multilevel"/>
    <w:tmpl w:val="7622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C1358C"/>
    <w:multiLevelType w:val="multilevel"/>
    <w:tmpl w:val="09BE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D65643"/>
    <w:multiLevelType w:val="multilevel"/>
    <w:tmpl w:val="090A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D921C1"/>
    <w:multiLevelType w:val="hybridMultilevel"/>
    <w:tmpl w:val="12941E00"/>
    <w:lvl w:ilvl="0" w:tplc="0409000F">
      <w:start w:val="1"/>
      <w:numFmt w:val="decimal"/>
      <w:lvlText w:val="%1."/>
      <w:lvlJc w:val="left"/>
      <w:pPr>
        <w:ind w:left="360" w:hanging="360"/>
      </w:pPr>
    </w:lvl>
    <w:lvl w:ilvl="1" w:tplc="7B4C7FDE">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0AE253A"/>
    <w:multiLevelType w:val="multilevel"/>
    <w:tmpl w:val="97BA27D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0BF0ED3"/>
    <w:multiLevelType w:val="multilevel"/>
    <w:tmpl w:val="B450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3B255A"/>
    <w:multiLevelType w:val="multilevel"/>
    <w:tmpl w:val="3C82A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5D1041"/>
    <w:multiLevelType w:val="hybridMultilevel"/>
    <w:tmpl w:val="005AE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6AB40FE"/>
    <w:multiLevelType w:val="multilevel"/>
    <w:tmpl w:val="1534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B97D45"/>
    <w:multiLevelType w:val="hybridMultilevel"/>
    <w:tmpl w:val="B9569EAA"/>
    <w:lvl w:ilvl="0" w:tplc="0409000F">
      <w:start w:val="1"/>
      <w:numFmt w:val="decimal"/>
      <w:lvlText w:val="%1."/>
      <w:lvlJc w:val="left"/>
      <w:pPr>
        <w:ind w:left="450" w:hanging="360"/>
      </w:pPr>
    </w:lvl>
    <w:lvl w:ilvl="1" w:tplc="7B4C7FDE">
      <w:start w:val="1"/>
      <w:numFmt w:val="decimal"/>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6" w15:restartNumberingAfterBreak="0">
    <w:nsid w:val="46BA096A"/>
    <w:multiLevelType w:val="multilevel"/>
    <w:tmpl w:val="A8BE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067504"/>
    <w:multiLevelType w:val="hybridMultilevel"/>
    <w:tmpl w:val="765E9924"/>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48" w15:restartNumberingAfterBreak="0">
    <w:nsid w:val="476D7737"/>
    <w:multiLevelType w:val="multilevel"/>
    <w:tmpl w:val="B036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953D2B"/>
    <w:multiLevelType w:val="multilevel"/>
    <w:tmpl w:val="3E7467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F408B2"/>
    <w:multiLevelType w:val="multilevel"/>
    <w:tmpl w:val="9A22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EE508F"/>
    <w:multiLevelType w:val="hybridMultilevel"/>
    <w:tmpl w:val="55482A4C"/>
    <w:lvl w:ilvl="0" w:tplc="0409000F">
      <w:start w:val="1"/>
      <w:numFmt w:val="decimal"/>
      <w:lvlText w:val="%1."/>
      <w:lvlJc w:val="left"/>
      <w:pPr>
        <w:ind w:left="63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52" w15:restartNumberingAfterBreak="0">
    <w:nsid w:val="4BE71054"/>
    <w:multiLevelType w:val="multilevel"/>
    <w:tmpl w:val="2A4A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081F64"/>
    <w:multiLevelType w:val="hybridMultilevel"/>
    <w:tmpl w:val="12A82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E8F7CBD"/>
    <w:multiLevelType w:val="multilevel"/>
    <w:tmpl w:val="5E5C6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884F1E"/>
    <w:multiLevelType w:val="multilevel"/>
    <w:tmpl w:val="7A00F0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A66516"/>
    <w:multiLevelType w:val="multilevel"/>
    <w:tmpl w:val="7CAE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3D7B0E"/>
    <w:multiLevelType w:val="multilevel"/>
    <w:tmpl w:val="242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B5629D"/>
    <w:multiLevelType w:val="multilevel"/>
    <w:tmpl w:val="E606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C705FC"/>
    <w:multiLevelType w:val="hybridMultilevel"/>
    <w:tmpl w:val="69925FA0"/>
    <w:lvl w:ilvl="0" w:tplc="4009000F">
      <w:start w:val="1"/>
      <w:numFmt w:val="decimal"/>
      <w:lvlText w:val="%1."/>
      <w:lvlJc w:val="left"/>
      <w:pPr>
        <w:ind w:left="540" w:hanging="360"/>
      </w:p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60" w15:restartNumberingAfterBreak="0">
    <w:nsid w:val="592F3048"/>
    <w:multiLevelType w:val="multilevel"/>
    <w:tmpl w:val="E55C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644327"/>
    <w:multiLevelType w:val="multilevel"/>
    <w:tmpl w:val="E84A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4A0122"/>
    <w:multiLevelType w:val="hybridMultilevel"/>
    <w:tmpl w:val="29146F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0C542EE"/>
    <w:multiLevelType w:val="multilevel"/>
    <w:tmpl w:val="CB6A4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E5418B"/>
    <w:multiLevelType w:val="hybridMultilevel"/>
    <w:tmpl w:val="66A66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4531629"/>
    <w:multiLevelType w:val="hybridMultilevel"/>
    <w:tmpl w:val="6792E316"/>
    <w:lvl w:ilvl="0" w:tplc="0409000F">
      <w:start w:val="1"/>
      <w:numFmt w:val="decimal"/>
      <w:lvlText w:val="%1."/>
      <w:lvlJc w:val="left"/>
      <w:pPr>
        <w:ind w:left="540" w:hanging="360"/>
      </w:pPr>
    </w:lvl>
    <w:lvl w:ilvl="1" w:tplc="7B4C7FDE">
      <w:start w:val="1"/>
      <w:numFmt w:val="decimal"/>
      <w:lvlText w:val="%2."/>
      <w:lvlJc w:val="left"/>
      <w:pPr>
        <w:ind w:left="1260" w:hanging="360"/>
      </w:pPr>
      <w:rPr>
        <w:rFonts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6" w15:restartNumberingAfterBreak="0">
    <w:nsid w:val="64DD373E"/>
    <w:multiLevelType w:val="hybridMultilevel"/>
    <w:tmpl w:val="E570820A"/>
    <w:lvl w:ilvl="0" w:tplc="2E248EF4">
      <w:start w:val="1"/>
      <w:numFmt w:val="decimal"/>
      <w:lvlText w:val="%1."/>
      <w:lvlJc w:val="left"/>
      <w:pPr>
        <w:ind w:left="63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651E6EDF"/>
    <w:multiLevelType w:val="hybridMultilevel"/>
    <w:tmpl w:val="475E4D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8" w15:restartNumberingAfterBreak="0">
    <w:nsid w:val="6560624C"/>
    <w:multiLevelType w:val="multilevel"/>
    <w:tmpl w:val="8680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6F2268"/>
    <w:multiLevelType w:val="multilevel"/>
    <w:tmpl w:val="6A6ABD0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5C03CCE"/>
    <w:multiLevelType w:val="multilevel"/>
    <w:tmpl w:val="D124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BD1B41"/>
    <w:multiLevelType w:val="multilevel"/>
    <w:tmpl w:val="767601E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FA1B3A"/>
    <w:multiLevelType w:val="multilevel"/>
    <w:tmpl w:val="8E06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4C4050"/>
    <w:multiLevelType w:val="multilevel"/>
    <w:tmpl w:val="1A38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8D612D"/>
    <w:multiLevelType w:val="multilevel"/>
    <w:tmpl w:val="7004C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9F662E"/>
    <w:multiLevelType w:val="multilevel"/>
    <w:tmpl w:val="8884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557736"/>
    <w:multiLevelType w:val="multilevel"/>
    <w:tmpl w:val="66A8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2538C0"/>
    <w:multiLevelType w:val="multilevel"/>
    <w:tmpl w:val="7A00F0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06476A8"/>
    <w:multiLevelType w:val="hybridMultilevel"/>
    <w:tmpl w:val="BEF8CA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4694108"/>
    <w:multiLevelType w:val="multilevel"/>
    <w:tmpl w:val="1410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BC1E3F"/>
    <w:multiLevelType w:val="hybridMultilevel"/>
    <w:tmpl w:val="AF386FE2"/>
    <w:lvl w:ilvl="0" w:tplc="9CACF8D0">
      <w:start w:val="1"/>
      <w:numFmt w:val="decimal"/>
      <w:lvlText w:val="%1."/>
      <w:lvlJc w:val="left"/>
      <w:pPr>
        <w:ind w:left="540" w:hanging="360"/>
      </w:pPr>
      <w:rPr>
        <w:b w:val="0"/>
        <w:bCs w:val="0"/>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81" w15:restartNumberingAfterBreak="0">
    <w:nsid w:val="78743F56"/>
    <w:multiLevelType w:val="multilevel"/>
    <w:tmpl w:val="29FC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CD05DF"/>
    <w:multiLevelType w:val="multilevel"/>
    <w:tmpl w:val="DDBA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B83AEF"/>
    <w:multiLevelType w:val="multilevel"/>
    <w:tmpl w:val="3C16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1B7197"/>
    <w:multiLevelType w:val="multilevel"/>
    <w:tmpl w:val="0ECC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6804A0"/>
    <w:multiLevelType w:val="hybridMultilevel"/>
    <w:tmpl w:val="1D5E259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EF833AF"/>
    <w:multiLevelType w:val="multilevel"/>
    <w:tmpl w:val="DCBA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3E3F5D"/>
    <w:multiLevelType w:val="multilevel"/>
    <w:tmpl w:val="43F6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194484">
    <w:abstractNumId w:val="58"/>
  </w:num>
  <w:num w:numId="2" w16cid:durableId="1336877494">
    <w:abstractNumId w:val="6"/>
  </w:num>
  <w:num w:numId="3" w16cid:durableId="1169368320">
    <w:abstractNumId w:val="37"/>
  </w:num>
  <w:num w:numId="4" w16cid:durableId="237641150">
    <w:abstractNumId w:val="16"/>
  </w:num>
  <w:num w:numId="5" w16cid:durableId="275063442">
    <w:abstractNumId w:val="43"/>
  </w:num>
  <w:num w:numId="6" w16cid:durableId="1052730687">
    <w:abstractNumId w:val="79"/>
  </w:num>
  <w:num w:numId="7" w16cid:durableId="708576927">
    <w:abstractNumId w:val="83"/>
  </w:num>
  <w:num w:numId="8" w16cid:durableId="600915493">
    <w:abstractNumId w:val="28"/>
  </w:num>
  <w:num w:numId="9" w16cid:durableId="611517392">
    <w:abstractNumId w:val="48"/>
  </w:num>
  <w:num w:numId="10" w16cid:durableId="1319772793">
    <w:abstractNumId w:val="12"/>
  </w:num>
  <w:num w:numId="11" w16cid:durableId="1962419254">
    <w:abstractNumId w:val="31"/>
  </w:num>
  <w:num w:numId="12" w16cid:durableId="1791052349">
    <w:abstractNumId w:val="85"/>
  </w:num>
  <w:num w:numId="13" w16cid:durableId="217934087">
    <w:abstractNumId w:val="39"/>
  </w:num>
  <w:num w:numId="14" w16cid:durableId="984823088">
    <w:abstractNumId w:val="45"/>
  </w:num>
  <w:num w:numId="15" w16cid:durableId="192814724">
    <w:abstractNumId w:val="65"/>
  </w:num>
  <w:num w:numId="16" w16cid:durableId="1463960100">
    <w:abstractNumId w:val="19"/>
  </w:num>
  <w:num w:numId="17" w16cid:durableId="229192822">
    <w:abstractNumId w:val="13"/>
  </w:num>
  <w:num w:numId="18" w16cid:durableId="319846249">
    <w:abstractNumId w:val="59"/>
  </w:num>
  <w:num w:numId="19" w16cid:durableId="953515238">
    <w:abstractNumId w:val="62"/>
  </w:num>
  <w:num w:numId="20" w16cid:durableId="274362574">
    <w:abstractNumId w:val="78"/>
  </w:num>
  <w:num w:numId="21" w16cid:durableId="28727565">
    <w:abstractNumId w:val="70"/>
  </w:num>
  <w:num w:numId="22" w16cid:durableId="53511630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672367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9043043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4165810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8917796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7232085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801385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92324006">
    <w:abstractNumId w:val="11"/>
  </w:num>
  <w:num w:numId="30" w16cid:durableId="716588262">
    <w:abstractNumId w:val="57"/>
  </w:num>
  <w:num w:numId="31" w16cid:durableId="2069260192">
    <w:abstractNumId w:val="61"/>
  </w:num>
  <w:num w:numId="32" w16cid:durableId="1066420959">
    <w:abstractNumId w:val="46"/>
  </w:num>
  <w:num w:numId="33" w16cid:durableId="141823178">
    <w:abstractNumId w:val="8"/>
  </w:num>
  <w:num w:numId="34" w16cid:durableId="1096363794">
    <w:abstractNumId w:val="73"/>
  </w:num>
  <w:num w:numId="35" w16cid:durableId="13656038">
    <w:abstractNumId w:val="15"/>
  </w:num>
  <w:num w:numId="36" w16cid:durableId="1321230091">
    <w:abstractNumId w:val="30"/>
  </w:num>
  <w:num w:numId="37" w16cid:durableId="1631741445">
    <w:abstractNumId w:val="29"/>
  </w:num>
  <w:num w:numId="38" w16cid:durableId="484277080">
    <w:abstractNumId w:val="18"/>
  </w:num>
  <w:num w:numId="39" w16cid:durableId="719551155">
    <w:abstractNumId w:val="22"/>
  </w:num>
  <w:num w:numId="40" w16cid:durableId="1978491210">
    <w:abstractNumId w:val="9"/>
  </w:num>
  <w:num w:numId="41" w16cid:durableId="654649363">
    <w:abstractNumId w:val="50"/>
  </w:num>
  <w:num w:numId="42" w16cid:durableId="725640991">
    <w:abstractNumId w:val="17"/>
  </w:num>
  <w:num w:numId="43" w16cid:durableId="1389375317">
    <w:abstractNumId w:val="71"/>
  </w:num>
  <w:num w:numId="44" w16cid:durableId="2093893463">
    <w:abstractNumId w:val="40"/>
  </w:num>
  <w:num w:numId="45" w16cid:durableId="217129898">
    <w:abstractNumId w:val="5"/>
  </w:num>
  <w:num w:numId="46" w16cid:durableId="2010718371">
    <w:abstractNumId w:val="41"/>
  </w:num>
  <w:num w:numId="47" w16cid:durableId="902913808">
    <w:abstractNumId w:val="68"/>
  </w:num>
  <w:num w:numId="48" w16cid:durableId="982857626">
    <w:abstractNumId w:val="27"/>
  </w:num>
  <w:num w:numId="49" w16cid:durableId="1136989396">
    <w:abstractNumId w:val="26"/>
  </w:num>
  <w:num w:numId="50" w16cid:durableId="721906260">
    <w:abstractNumId w:val="20"/>
  </w:num>
  <w:num w:numId="51" w16cid:durableId="1528904404">
    <w:abstractNumId w:val="84"/>
  </w:num>
  <w:num w:numId="52" w16cid:durableId="311300676">
    <w:abstractNumId w:val="60"/>
  </w:num>
  <w:num w:numId="53" w16cid:durableId="2125222664">
    <w:abstractNumId w:val="10"/>
  </w:num>
  <w:num w:numId="54" w16cid:durableId="364912815">
    <w:abstractNumId w:val="38"/>
  </w:num>
  <w:num w:numId="55" w16cid:durableId="448008747">
    <w:abstractNumId w:val="87"/>
  </w:num>
  <w:num w:numId="56" w16cid:durableId="594629461">
    <w:abstractNumId w:val="14"/>
  </w:num>
  <w:num w:numId="57" w16cid:durableId="956260246">
    <w:abstractNumId w:val="52"/>
  </w:num>
  <w:num w:numId="58" w16cid:durableId="1066533754">
    <w:abstractNumId w:val="4"/>
  </w:num>
  <w:num w:numId="59" w16cid:durableId="2089450318">
    <w:abstractNumId w:val="75"/>
  </w:num>
  <w:num w:numId="60" w16cid:durableId="691146064">
    <w:abstractNumId w:val="72"/>
  </w:num>
  <w:num w:numId="61" w16cid:durableId="1574469291">
    <w:abstractNumId w:val="34"/>
  </w:num>
  <w:num w:numId="62" w16cid:durableId="671496385">
    <w:abstractNumId w:val="36"/>
  </w:num>
  <w:num w:numId="63" w16cid:durableId="1982879070">
    <w:abstractNumId w:val="25"/>
  </w:num>
  <w:num w:numId="64" w16cid:durableId="1136947994">
    <w:abstractNumId w:val="56"/>
  </w:num>
  <w:num w:numId="65" w16cid:durableId="1962302810">
    <w:abstractNumId w:val="82"/>
  </w:num>
  <w:num w:numId="66" w16cid:durableId="11226289">
    <w:abstractNumId w:val="3"/>
  </w:num>
  <w:num w:numId="67" w16cid:durableId="1666935885">
    <w:abstractNumId w:val="86"/>
  </w:num>
  <w:num w:numId="68" w16cid:durableId="584648169">
    <w:abstractNumId w:val="74"/>
  </w:num>
  <w:num w:numId="69" w16cid:durableId="1582981470">
    <w:abstractNumId w:val="53"/>
  </w:num>
  <w:num w:numId="70" w16cid:durableId="785275460">
    <w:abstractNumId w:val="81"/>
  </w:num>
  <w:num w:numId="71" w16cid:durableId="505898483">
    <w:abstractNumId w:val="54"/>
  </w:num>
  <w:num w:numId="72" w16cid:durableId="2043943522">
    <w:abstractNumId w:val="69"/>
  </w:num>
  <w:num w:numId="73" w16cid:durableId="1770546885">
    <w:abstractNumId w:val="1"/>
  </w:num>
  <w:num w:numId="74" w16cid:durableId="1447652298">
    <w:abstractNumId w:val="76"/>
  </w:num>
  <w:num w:numId="75" w16cid:durableId="101385666">
    <w:abstractNumId w:val="21"/>
  </w:num>
  <w:num w:numId="76" w16cid:durableId="297104336">
    <w:abstractNumId w:val="24"/>
  </w:num>
  <w:num w:numId="77" w16cid:durableId="1232622503">
    <w:abstractNumId w:val="63"/>
  </w:num>
  <w:num w:numId="78" w16cid:durableId="64691156">
    <w:abstractNumId w:val="42"/>
  </w:num>
  <w:num w:numId="79" w16cid:durableId="986008611">
    <w:abstractNumId w:val="0"/>
  </w:num>
  <w:num w:numId="80" w16cid:durableId="315886525">
    <w:abstractNumId w:val="77"/>
  </w:num>
  <w:num w:numId="81" w16cid:durableId="202638486">
    <w:abstractNumId w:val="35"/>
  </w:num>
  <w:num w:numId="82" w16cid:durableId="226690038">
    <w:abstractNumId w:val="64"/>
  </w:num>
  <w:num w:numId="83" w16cid:durableId="890773915">
    <w:abstractNumId w:val="55"/>
  </w:num>
  <w:num w:numId="84" w16cid:durableId="1600678529">
    <w:abstractNumId w:val="33"/>
  </w:num>
  <w:num w:numId="85" w16cid:durableId="2015766249">
    <w:abstractNumId w:val="2"/>
  </w:num>
  <w:num w:numId="86" w16cid:durableId="249704457">
    <w:abstractNumId w:val="44"/>
  </w:num>
  <w:num w:numId="87" w16cid:durableId="1273632876">
    <w:abstractNumId w:val="49"/>
  </w:num>
  <w:num w:numId="88" w16cid:durableId="79876448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B4"/>
    <w:rsid w:val="000565F2"/>
    <w:rsid w:val="00057B4B"/>
    <w:rsid w:val="0006413E"/>
    <w:rsid w:val="00064EB5"/>
    <w:rsid w:val="00071B38"/>
    <w:rsid w:val="000855BE"/>
    <w:rsid w:val="00087C6B"/>
    <w:rsid w:val="00090F75"/>
    <w:rsid w:val="00096657"/>
    <w:rsid w:val="000D701E"/>
    <w:rsid w:val="00111AD3"/>
    <w:rsid w:val="00122C53"/>
    <w:rsid w:val="00126C63"/>
    <w:rsid w:val="001417DB"/>
    <w:rsid w:val="001C473F"/>
    <w:rsid w:val="001E6A49"/>
    <w:rsid w:val="00210FE5"/>
    <w:rsid w:val="00232ACE"/>
    <w:rsid w:val="002352DE"/>
    <w:rsid w:val="0024257A"/>
    <w:rsid w:val="00245AD8"/>
    <w:rsid w:val="00251BE4"/>
    <w:rsid w:val="0025672F"/>
    <w:rsid w:val="00267064"/>
    <w:rsid w:val="002A296D"/>
    <w:rsid w:val="002E653E"/>
    <w:rsid w:val="002F0B1C"/>
    <w:rsid w:val="002F1224"/>
    <w:rsid w:val="002F72DC"/>
    <w:rsid w:val="002F74CD"/>
    <w:rsid w:val="00325B52"/>
    <w:rsid w:val="00335F93"/>
    <w:rsid w:val="00355175"/>
    <w:rsid w:val="0039546B"/>
    <w:rsid w:val="00396DC5"/>
    <w:rsid w:val="003D240C"/>
    <w:rsid w:val="003E554F"/>
    <w:rsid w:val="00406EE8"/>
    <w:rsid w:val="00415883"/>
    <w:rsid w:val="00425765"/>
    <w:rsid w:val="00442B18"/>
    <w:rsid w:val="004431F7"/>
    <w:rsid w:val="004513E2"/>
    <w:rsid w:val="00452A1D"/>
    <w:rsid w:val="004575B0"/>
    <w:rsid w:val="00464D72"/>
    <w:rsid w:val="00477547"/>
    <w:rsid w:val="004908AE"/>
    <w:rsid w:val="004E073D"/>
    <w:rsid w:val="004F4008"/>
    <w:rsid w:val="00501027"/>
    <w:rsid w:val="00557C55"/>
    <w:rsid w:val="005A6C70"/>
    <w:rsid w:val="005B3F01"/>
    <w:rsid w:val="005D5611"/>
    <w:rsid w:val="005E429F"/>
    <w:rsid w:val="00616211"/>
    <w:rsid w:val="0062473E"/>
    <w:rsid w:val="00642A1A"/>
    <w:rsid w:val="00682F04"/>
    <w:rsid w:val="00697C51"/>
    <w:rsid w:val="006B46B5"/>
    <w:rsid w:val="006E5535"/>
    <w:rsid w:val="0070192E"/>
    <w:rsid w:val="00704F34"/>
    <w:rsid w:val="00720D1F"/>
    <w:rsid w:val="00722236"/>
    <w:rsid w:val="00724FE7"/>
    <w:rsid w:val="00735D7C"/>
    <w:rsid w:val="00797E91"/>
    <w:rsid w:val="007A184E"/>
    <w:rsid w:val="007C7511"/>
    <w:rsid w:val="007D0707"/>
    <w:rsid w:val="007D27C3"/>
    <w:rsid w:val="007D6E2F"/>
    <w:rsid w:val="007E5737"/>
    <w:rsid w:val="007E6C19"/>
    <w:rsid w:val="007E77ED"/>
    <w:rsid w:val="00804F87"/>
    <w:rsid w:val="00806BAD"/>
    <w:rsid w:val="00845104"/>
    <w:rsid w:val="00850AFF"/>
    <w:rsid w:val="00892112"/>
    <w:rsid w:val="008A5465"/>
    <w:rsid w:val="008C6476"/>
    <w:rsid w:val="00902AA9"/>
    <w:rsid w:val="00926510"/>
    <w:rsid w:val="00944A04"/>
    <w:rsid w:val="00952CD4"/>
    <w:rsid w:val="00956DE2"/>
    <w:rsid w:val="00992EA7"/>
    <w:rsid w:val="009D52A7"/>
    <w:rsid w:val="00A23719"/>
    <w:rsid w:val="00A27822"/>
    <w:rsid w:val="00A45490"/>
    <w:rsid w:val="00A512BB"/>
    <w:rsid w:val="00A6476F"/>
    <w:rsid w:val="00A83F7A"/>
    <w:rsid w:val="00A87BCD"/>
    <w:rsid w:val="00AB47F3"/>
    <w:rsid w:val="00AB7CBA"/>
    <w:rsid w:val="00B14133"/>
    <w:rsid w:val="00B2356D"/>
    <w:rsid w:val="00B36320"/>
    <w:rsid w:val="00B447BD"/>
    <w:rsid w:val="00B51CCF"/>
    <w:rsid w:val="00B56651"/>
    <w:rsid w:val="00B66DB4"/>
    <w:rsid w:val="00BB71C2"/>
    <w:rsid w:val="00BC0396"/>
    <w:rsid w:val="00BF3C84"/>
    <w:rsid w:val="00C7766F"/>
    <w:rsid w:val="00CB757E"/>
    <w:rsid w:val="00CC5373"/>
    <w:rsid w:val="00CF2C0E"/>
    <w:rsid w:val="00CF72FF"/>
    <w:rsid w:val="00D54480"/>
    <w:rsid w:val="00D579D6"/>
    <w:rsid w:val="00D81433"/>
    <w:rsid w:val="00D96AD7"/>
    <w:rsid w:val="00DB6E67"/>
    <w:rsid w:val="00DC2130"/>
    <w:rsid w:val="00DC3CA9"/>
    <w:rsid w:val="00DD13BE"/>
    <w:rsid w:val="00DE2809"/>
    <w:rsid w:val="00E05A6F"/>
    <w:rsid w:val="00E9690B"/>
    <w:rsid w:val="00EB029D"/>
    <w:rsid w:val="00ED03FB"/>
    <w:rsid w:val="00EE7C43"/>
    <w:rsid w:val="00EF0802"/>
    <w:rsid w:val="00EF0A62"/>
    <w:rsid w:val="00EF2DC7"/>
    <w:rsid w:val="00EF44DB"/>
    <w:rsid w:val="00F11700"/>
    <w:rsid w:val="00F237B4"/>
    <w:rsid w:val="00F3177C"/>
    <w:rsid w:val="00F33AC4"/>
    <w:rsid w:val="00F41D70"/>
    <w:rsid w:val="00F44607"/>
    <w:rsid w:val="00F47ADF"/>
    <w:rsid w:val="00F51157"/>
    <w:rsid w:val="00F53731"/>
    <w:rsid w:val="00F874FF"/>
    <w:rsid w:val="00FA0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3108"/>
  <w15:chartTrackingRefBased/>
  <w15:docId w15:val="{0284641D-BE54-447B-8837-2CFE50A8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D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6D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6D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D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D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D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D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D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D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D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6D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6D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D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D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D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D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D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DB4"/>
    <w:rPr>
      <w:rFonts w:eastAsiaTheme="majorEastAsia" w:cstheme="majorBidi"/>
      <w:color w:val="272727" w:themeColor="text1" w:themeTint="D8"/>
    </w:rPr>
  </w:style>
  <w:style w:type="paragraph" w:styleId="Title">
    <w:name w:val="Title"/>
    <w:basedOn w:val="Normal"/>
    <w:next w:val="Normal"/>
    <w:link w:val="TitleChar"/>
    <w:uiPriority w:val="10"/>
    <w:qFormat/>
    <w:rsid w:val="00B66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D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D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DB4"/>
    <w:pPr>
      <w:spacing w:before="160"/>
      <w:jc w:val="center"/>
    </w:pPr>
    <w:rPr>
      <w:i/>
      <w:iCs/>
      <w:color w:val="404040" w:themeColor="text1" w:themeTint="BF"/>
    </w:rPr>
  </w:style>
  <w:style w:type="character" w:customStyle="1" w:styleId="QuoteChar">
    <w:name w:val="Quote Char"/>
    <w:basedOn w:val="DefaultParagraphFont"/>
    <w:link w:val="Quote"/>
    <w:uiPriority w:val="29"/>
    <w:rsid w:val="00B66DB4"/>
    <w:rPr>
      <w:i/>
      <w:iCs/>
      <w:color w:val="404040" w:themeColor="text1" w:themeTint="BF"/>
    </w:rPr>
  </w:style>
  <w:style w:type="paragraph" w:styleId="ListParagraph">
    <w:name w:val="List Paragraph"/>
    <w:basedOn w:val="Normal"/>
    <w:uiPriority w:val="34"/>
    <w:qFormat/>
    <w:rsid w:val="00B66DB4"/>
    <w:pPr>
      <w:ind w:left="720"/>
      <w:contextualSpacing/>
    </w:pPr>
  </w:style>
  <w:style w:type="character" w:styleId="IntenseEmphasis">
    <w:name w:val="Intense Emphasis"/>
    <w:basedOn w:val="DefaultParagraphFont"/>
    <w:uiPriority w:val="21"/>
    <w:qFormat/>
    <w:rsid w:val="00B66DB4"/>
    <w:rPr>
      <w:i/>
      <w:iCs/>
      <w:color w:val="0F4761" w:themeColor="accent1" w:themeShade="BF"/>
    </w:rPr>
  </w:style>
  <w:style w:type="paragraph" w:styleId="IntenseQuote">
    <w:name w:val="Intense Quote"/>
    <w:basedOn w:val="Normal"/>
    <w:next w:val="Normal"/>
    <w:link w:val="IntenseQuoteChar"/>
    <w:uiPriority w:val="30"/>
    <w:qFormat/>
    <w:rsid w:val="00B66D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DB4"/>
    <w:rPr>
      <w:i/>
      <w:iCs/>
      <w:color w:val="0F4761" w:themeColor="accent1" w:themeShade="BF"/>
    </w:rPr>
  </w:style>
  <w:style w:type="character" w:styleId="IntenseReference">
    <w:name w:val="Intense Reference"/>
    <w:basedOn w:val="DefaultParagraphFont"/>
    <w:uiPriority w:val="32"/>
    <w:qFormat/>
    <w:rsid w:val="00B66DB4"/>
    <w:rPr>
      <w:b/>
      <w:bCs/>
      <w:smallCaps/>
      <w:color w:val="0F4761" w:themeColor="accent1" w:themeShade="BF"/>
      <w:spacing w:val="5"/>
    </w:rPr>
  </w:style>
  <w:style w:type="paragraph" w:styleId="NormalWeb">
    <w:name w:val="Normal (Web)"/>
    <w:basedOn w:val="Normal"/>
    <w:uiPriority w:val="99"/>
    <w:unhideWhenUsed/>
    <w:rsid w:val="000D701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52CD4"/>
    <w:rPr>
      <w:b/>
      <w:bCs/>
    </w:rPr>
  </w:style>
  <w:style w:type="character" w:styleId="Hyperlink">
    <w:name w:val="Hyperlink"/>
    <w:basedOn w:val="DefaultParagraphFont"/>
    <w:uiPriority w:val="99"/>
    <w:unhideWhenUsed/>
    <w:rsid w:val="00845104"/>
    <w:rPr>
      <w:color w:val="467886" w:themeColor="hyperlink"/>
      <w:u w:val="single"/>
    </w:rPr>
  </w:style>
  <w:style w:type="character" w:styleId="UnresolvedMention">
    <w:name w:val="Unresolved Mention"/>
    <w:basedOn w:val="DefaultParagraphFont"/>
    <w:uiPriority w:val="99"/>
    <w:semiHidden/>
    <w:unhideWhenUsed/>
    <w:rsid w:val="00845104"/>
    <w:rPr>
      <w:color w:val="605E5C"/>
      <w:shd w:val="clear" w:color="auto" w:fill="E1DFDD"/>
    </w:rPr>
  </w:style>
  <w:style w:type="table" w:styleId="TableGrid">
    <w:name w:val="Table Grid"/>
    <w:basedOn w:val="TableNormal"/>
    <w:uiPriority w:val="39"/>
    <w:rsid w:val="00D81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814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6512">
      <w:bodyDiv w:val="1"/>
      <w:marLeft w:val="0"/>
      <w:marRight w:val="0"/>
      <w:marTop w:val="0"/>
      <w:marBottom w:val="0"/>
      <w:divBdr>
        <w:top w:val="none" w:sz="0" w:space="0" w:color="auto"/>
        <w:left w:val="none" w:sz="0" w:space="0" w:color="auto"/>
        <w:bottom w:val="none" w:sz="0" w:space="0" w:color="auto"/>
        <w:right w:val="none" w:sz="0" w:space="0" w:color="auto"/>
      </w:divBdr>
    </w:div>
    <w:div w:id="21708978">
      <w:bodyDiv w:val="1"/>
      <w:marLeft w:val="0"/>
      <w:marRight w:val="0"/>
      <w:marTop w:val="0"/>
      <w:marBottom w:val="0"/>
      <w:divBdr>
        <w:top w:val="none" w:sz="0" w:space="0" w:color="auto"/>
        <w:left w:val="none" w:sz="0" w:space="0" w:color="auto"/>
        <w:bottom w:val="none" w:sz="0" w:space="0" w:color="auto"/>
        <w:right w:val="none" w:sz="0" w:space="0" w:color="auto"/>
      </w:divBdr>
    </w:div>
    <w:div w:id="177279689">
      <w:bodyDiv w:val="1"/>
      <w:marLeft w:val="0"/>
      <w:marRight w:val="0"/>
      <w:marTop w:val="0"/>
      <w:marBottom w:val="0"/>
      <w:divBdr>
        <w:top w:val="none" w:sz="0" w:space="0" w:color="auto"/>
        <w:left w:val="none" w:sz="0" w:space="0" w:color="auto"/>
        <w:bottom w:val="none" w:sz="0" w:space="0" w:color="auto"/>
        <w:right w:val="none" w:sz="0" w:space="0" w:color="auto"/>
      </w:divBdr>
    </w:div>
    <w:div w:id="203299662">
      <w:bodyDiv w:val="1"/>
      <w:marLeft w:val="0"/>
      <w:marRight w:val="0"/>
      <w:marTop w:val="0"/>
      <w:marBottom w:val="0"/>
      <w:divBdr>
        <w:top w:val="none" w:sz="0" w:space="0" w:color="auto"/>
        <w:left w:val="none" w:sz="0" w:space="0" w:color="auto"/>
        <w:bottom w:val="none" w:sz="0" w:space="0" w:color="auto"/>
        <w:right w:val="none" w:sz="0" w:space="0" w:color="auto"/>
      </w:divBdr>
    </w:div>
    <w:div w:id="207114068">
      <w:bodyDiv w:val="1"/>
      <w:marLeft w:val="0"/>
      <w:marRight w:val="0"/>
      <w:marTop w:val="0"/>
      <w:marBottom w:val="0"/>
      <w:divBdr>
        <w:top w:val="none" w:sz="0" w:space="0" w:color="auto"/>
        <w:left w:val="none" w:sz="0" w:space="0" w:color="auto"/>
        <w:bottom w:val="none" w:sz="0" w:space="0" w:color="auto"/>
        <w:right w:val="none" w:sz="0" w:space="0" w:color="auto"/>
      </w:divBdr>
    </w:div>
    <w:div w:id="305935845">
      <w:bodyDiv w:val="1"/>
      <w:marLeft w:val="0"/>
      <w:marRight w:val="0"/>
      <w:marTop w:val="0"/>
      <w:marBottom w:val="0"/>
      <w:divBdr>
        <w:top w:val="none" w:sz="0" w:space="0" w:color="auto"/>
        <w:left w:val="none" w:sz="0" w:space="0" w:color="auto"/>
        <w:bottom w:val="none" w:sz="0" w:space="0" w:color="auto"/>
        <w:right w:val="none" w:sz="0" w:space="0" w:color="auto"/>
      </w:divBdr>
    </w:div>
    <w:div w:id="344332983">
      <w:bodyDiv w:val="1"/>
      <w:marLeft w:val="0"/>
      <w:marRight w:val="0"/>
      <w:marTop w:val="0"/>
      <w:marBottom w:val="0"/>
      <w:divBdr>
        <w:top w:val="none" w:sz="0" w:space="0" w:color="auto"/>
        <w:left w:val="none" w:sz="0" w:space="0" w:color="auto"/>
        <w:bottom w:val="none" w:sz="0" w:space="0" w:color="auto"/>
        <w:right w:val="none" w:sz="0" w:space="0" w:color="auto"/>
      </w:divBdr>
    </w:div>
    <w:div w:id="366952189">
      <w:bodyDiv w:val="1"/>
      <w:marLeft w:val="0"/>
      <w:marRight w:val="0"/>
      <w:marTop w:val="0"/>
      <w:marBottom w:val="0"/>
      <w:divBdr>
        <w:top w:val="none" w:sz="0" w:space="0" w:color="auto"/>
        <w:left w:val="none" w:sz="0" w:space="0" w:color="auto"/>
        <w:bottom w:val="none" w:sz="0" w:space="0" w:color="auto"/>
        <w:right w:val="none" w:sz="0" w:space="0" w:color="auto"/>
      </w:divBdr>
    </w:div>
    <w:div w:id="367492186">
      <w:bodyDiv w:val="1"/>
      <w:marLeft w:val="0"/>
      <w:marRight w:val="0"/>
      <w:marTop w:val="0"/>
      <w:marBottom w:val="0"/>
      <w:divBdr>
        <w:top w:val="none" w:sz="0" w:space="0" w:color="auto"/>
        <w:left w:val="none" w:sz="0" w:space="0" w:color="auto"/>
        <w:bottom w:val="none" w:sz="0" w:space="0" w:color="auto"/>
        <w:right w:val="none" w:sz="0" w:space="0" w:color="auto"/>
      </w:divBdr>
    </w:div>
    <w:div w:id="385835935">
      <w:bodyDiv w:val="1"/>
      <w:marLeft w:val="0"/>
      <w:marRight w:val="0"/>
      <w:marTop w:val="0"/>
      <w:marBottom w:val="0"/>
      <w:divBdr>
        <w:top w:val="none" w:sz="0" w:space="0" w:color="auto"/>
        <w:left w:val="none" w:sz="0" w:space="0" w:color="auto"/>
        <w:bottom w:val="none" w:sz="0" w:space="0" w:color="auto"/>
        <w:right w:val="none" w:sz="0" w:space="0" w:color="auto"/>
      </w:divBdr>
    </w:div>
    <w:div w:id="451631024">
      <w:bodyDiv w:val="1"/>
      <w:marLeft w:val="0"/>
      <w:marRight w:val="0"/>
      <w:marTop w:val="0"/>
      <w:marBottom w:val="0"/>
      <w:divBdr>
        <w:top w:val="none" w:sz="0" w:space="0" w:color="auto"/>
        <w:left w:val="none" w:sz="0" w:space="0" w:color="auto"/>
        <w:bottom w:val="none" w:sz="0" w:space="0" w:color="auto"/>
        <w:right w:val="none" w:sz="0" w:space="0" w:color="auto"/>
      </w:divBdr>
    </w:div>
    <w:div w:id="482428652">
      <w:bodyDiv w:val="1"/>
      <w:marLeft w:val="0"/>
      <w:marRight w:val="0"/>
      <w:marTop w:val="0"/>
      <w:marBottom w:val="0"/>
      <w:divBdr>
        <w:top w:val="none" w:sz="0" w:space="0" w:color="auto"/>
        <w:left w:val="none" w:sz="0" w:space="0" w:color="auto"/>
        <w:bottom w:val="none" w:sz="0" w:space="0" w:color="auto"/>
        <w:right w:val="none" w:sz="0" w:space="0" w:color="auto"/>
      </w:divBdr>
    </w:div>
    <w:div w:id="508645035">
      <w:bodyDiv w:val="1"/>
      <w:marLeft w:val="0"/>
      <w:marRight w:val="0"/>
      <w:marTop w:val="0"/>
      <w:marBottom w:val="0"/>
      <w:divBdr>
        <w:top w:val="none" w:sz="0" w:space="0" w:color="auto"/>
        <w:left w:val="none" w:sz="0" w:space="0" w:color="auto"/>
        <w:bottom w:val="none" w:sz="0" w:space="0" w:color="auto"/>
        <w:right w:val="none" w:sz="0" w:space="0" w:color="auto"/>
      </w:divBdr>
      <w:divsChild>
        <w:div w:id="1926255476">
          <w:marLeft w:val="0"/>
          <w:marRight w:val="0"/>
          <w:marTop w:val="0"/>
          <w:marBottom w:val="0"/>
          <w:divBdr>
            <w:top w:val="none" w:sz="0" w:space="0" w:color="auto"/>
            <w:left w:val="none" w:sz="0" w:space="0" w:color="auto"/>
            <w:bottom w:val="none" w:sz="0" w:space="0" w:color="auto"/>
            <w:right w:val="none" w:sz="0" w:space="0" w:color="auto"/>
          </w:divBdr>
          <w:divsChild>
            <w:div w:id="14429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7008">
      <w:bodyDiv w:val="1"/>
      <w:marLeft w:val="0"/>
      <w:marRight w:val="0"/>
      <w:marTop w:val="0"/>
      <w:marBottom w:val="0"/>
      <w:divBdr>
        <w:top w:val="none" w:sz="0" w:space="0" w:color="auto"/>
        <w:left w:val="none" w:sz="0" w:space="0" w:color="auto"/>
        <w:bottom w:val="none" w:sz="0" w:space="0" w:color="auto"/>
        <w:right w:val="none" w:sz="0" w:space="0" w:color="auto"/>
      </w:divBdr>
    </w:div>
    <w:div w:id="602960238">
      <w:bodyDiv w:val="1"/>
      <w:marLeft w:val="0"/>
      <w:marRight w:val="0"/>
      <w:marTop w:val="0"/>
      <w:marBottom w:val="0"/>
      <w:divBdr>
        <w:top w:val="none" w:sz="0" w:space="0" w:color="auto"/>
        <w:left w:val="none" w:sz="0" w:space="0" w:color="auto"/>
        <w:bottom w:val="none" w:sz="0" w:space="0" w:color="auto"/>
        <w:right w:val="none" w:sz="0" w:space="0" w:color="auto"/>
      </w:divBdr>
    </w:div>
    <w:div w:id="629554484">
      <w:bodyDiv w:val="1"/>
      <w:marLeft w:val="0"/>
      <w:marRight w:val="0"/>
      <w:marTop w:val="0"/>
      <w:marBottom w:val="0"/>
      <w:divBdr>
        <w:top w:val="none" w:sz="0" w:space="0" w:color="auto"/>
        <w:left w:val="none" w:sz="0" w:space="0" w:color="auto"/>
        <w:bottom w:val="none" w:sz="0" w:space="0" w:color="auto"/>
        <w:right w:val="none" w:sz="0" w:space="0" w:color="auto"/>
      </w:divBdr>
    </w:div>
    <w:div w:id="642468568">
      <w:bodyDiv w:val="1"/>
      <w:marLeft w:val="0"/>
      <w:marRight w:val="0"/>
      <w:marTop w:val="0"/>
      <w:marBottom w:val="0"/>
      <w:divBdr>
        <w:top w:val="none" w:sz="0" w:space="0" w:color="auto"/>
        <w:left w:val="none" w:sz="0" w:space="0" w:color="auto"/>
        <w:bottom w:val="none" w:sz="0" w:space="0" w:color="auto"/>
        <w:right w:val="none" w:sz="0" w:space="0" w:color="auto"/>
      </w:divBdr>
      <w:divsChild>
        <w:div w:id="350960969">
          <w:marLeft w:val="0"/>
          <w:marRight w:val="0"/>
          <w:marTop w:val="0"/>
          <w:marBottom w:val="0"/>
          <w:divBdr>
            <w:top w:val="none" w:sz="0" w:space="0" w:color="auto"/>
            <w:left w:val="none" w:sz="0" w:space="0" w:color="auto"/>
            <w:bottom w:val="none" w:sz="0" w:space="0" w:color="auto"/>
            <w:right w:val="none" w:sz="0" w:space="0" w:color="auto"/>
          </w:divBdr>
          <w:divsChild>
            <w:div w:id="56517179">
              <w:marLeft w:val="0"/>
              <w:marRight w:val="0"/>
              <w:marTop w:val="0"/>
              <w:marBottom w:val="0"/>
              <w:divBdr>
                <w:top w:val="none" w:sz="0" w:space="0" w:color="auto"/>
                <w:left w:val="none" w:sz="0" w:space="0" w:color="auto"/>
                <w:bottom w:val="none" w:sz="0" w:space="0" w:color="auto"/>
                <w:right w:val="none" w:sz="0" w:space="0" w:color="auto"/>
              </w:divBdr>
              <w:divsChild>
                <w:div w:id="492575255">
                  <w:marLeft w:val="0"/>
                  <w:marRight w:val="0"/>
                  <w:marTop w:val="0"/>
                  <w:marBottom w:val="0"/>
                  <w:divBdr>
                    <w:top w:val="none" w:sz="0" w:space="0" w:color="auto"/>
                    <w:left w:val="none" w:sz="0" w:space="0" w:color="auto"/>
                    <w:bottom w:val="none" w:sz="0" w:space="0" w:color="auto"/>
                    <w:right w:val="none" w:sz="0" w:space="0" w:color="auto"/>
                  </w:divBdr>
                  <w:divsChild>
                    <w:div w:id="676081259">
                      <w:marLeft w:val="0"/>
                      <w:marRight w:val="0"/>
                      <w:marTop w:val="0"/>
                      <w:marBottom w:val="0"/>
                      <w:divBdr>
                        <w:top w:val="none" w:sz="0" w:space="0" w:color="auto"/>
                        <w:left w:val="none" w:sz="0" w:space="0" w:color="auto"/>
                        <w:bottom w:val="none" w:sz="0" w:space="0" w:color="auto"/>
                        <w:right w:val="none" w:sz="0" w:space="0" w:color="auto"/>
                      </w:divBdr>
                      <w:divsChild>
                        <w:div w:id="208542659">
                          <w:marLeft w:val="0"/>
                          <w:marRight w:val="0"/>
                          <w:marTop w:val="0"/>
                          <w:marBottom w:val="0"/>
                          <w:divBdr>
                            <w:top w:val="none" w:sz="0" w:space="0" w:color="auto"/>
                            <w:left w:val="none" w:sz="0" w:space="0" w:color="auto"/>
                            <w:bottom w:val="none" w:sz="0" w:space="0" w:color="auto"/>
                            <w:right w:val="none" w:sz="0" w:space="0" w:color="auto"/>
                          </w:divBdr>
                          <w:divsChild>
                            <w:div w:id="773285819">
                              <w:marLeft w:val="0"/>
                              <w:marRight w:val="0"/>
                              <w:marTop w:val="0"/>
                              <w:marBottom w:val="0"/>
                              <w:divBdr>
                                <w:top w:val="none" w:sz="0" w:space="0" w:color="auto"/>
                                <w:left w:val="none" w:sz="0" w:space="0" w:color="auto"/>
                                <w:bottom w:val="none" w:sz="0" w:space="0" w:color="auto"/>
                                <w:right w:val="none" w:sz="0" w:space="0" w:color="auto"/>
                              </w:divBdr>
                              <w:divsChild>
                                <w:div w:id="67114941">
                                  <w:marLeft w:val="0"/>
                                  <w:marRight w:val="0"/>
                                  <w:marTop w:val="0"/>
                                  <w:marBottom w:val="0"/>
                                  <w:divBdr>
                                    <w:top w:val="none" w:sz="0" w:space="0" w:color="auto"/>
                                    <w:left w:val="none" w:sz="0" w:space="0" w:color="auto"/>
                                    <w:bottom w:val="none" w:sz="0" w:space="0" w:color="auto"/>
                                    <w:right w:val="none" w:sz="0" w:space="0" w:color="auto"/>
                                  </w:divBdr>
                                  <w:divsChild>
                                    <w:div w:id="5023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014">
                      <w:marLeft w:val="0"/>
                      <w:marRight w:val="0"/>
                      <w:marTop w:val="0"/>
                      <w:marBottom w:val="0"/>
                      <w:divBdr>
                        <w:top w:val="none" w:sz="0" w:space="0" w:color="auto"/>
                        <w:left w:val="none" w:sz="0" w:space="0" w:color="auto"/>
                        <w:bottom w:val="none" w:sz="0" w:space="0" w:color="auto"/>
                        <w:right w:val="none" w:sz="0" w:space="0" w:color="auto"/>
                      </w:divBdr>
                      <w:divsChild>
                        <w:div w:id="14581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610333">
      <w:bodyDiv w:val="1"/>
      <w:marLeft w:val="0"/>
      <w:marRight w:val="0"/>
      <w:marTop w:val="0"/>
      <w:marBottom w:val="0"/>
      <w:divBdr>
        <w:top w:val="none" w:sz="0" w:space="0" w:color="auto"/>
        <w:left w:val="none" w:sz="0" w:space="0" w:color="auto"/>
        <w:bottom w:val="none" w:sz="0" w:space="0" w:color="auto"/>
        <w:right w:val="none" w:sz="0" w:space="0" w:color="auto"/>
      </w:divBdr>
    </w:div>
    <w:div w:id="725372213">
      <w:bodyDiv w:val="1"/>
      <w:marLeft w:val="0"/>
      <w:marRight w:val="0"/>
      <w:marTop w:val="0"/>
      <w:marBottom w:val="0"/>
      <w:divBdr>
        <w:top w:val="none" w:sz="0" w:space="0" w:color="auto"/>
        <w:left w:val="none" w:sz="0" w:space="0" w:color="auto"/>
        <w:bottom w:val="none" w:sz="0" w:space="0" w:color="auto"/>
        <w:right w:val="none" w:sz="0" w:space="0" w:color="auto"/>
      </w:divBdr>
    </w:div>
    <w:div w:id="858350673">
      <w:bodyDiv w:val="1"/>
      <w:marLeft w:val="0"/>
      <w:marRight w:val="0"/>
      <w:marTop w:val="0"/>
      <w:marBottom w:val="0"/>
      <w:divBdr>
        <w:top w:val="none" w:sz="0" w:space="0" w:color="auto"/>
        <w:left w:val="none" w:sz="0" w:space="0" w:color="auto"/>
        <w:bottom w:val="none" w:sz="0" w:space="0" w:color="auto"/>
        <w:right w:val="none" w:sz="0" w:space="0" w:color="auto"/>
      </w:divBdr>
      <w:divsChild>
        <w:div w:id="1966740673">
          <w:marLeft w:val="0"/>
          <w:marRight w:val="0"/>
          <w:marTop w:val="0"/>
          <w:marBottom w:val="0"/>
          <w:divBdr>
            <w:top w:val="none" w:sz="0" w:space="0" w:color="auto"/>
            <w:left w:val="none" w:sz="0" w:space="0" w:color="auto"/>
            <w:bottom w:val="none" w:sz="0" w:space="0" w:color="auto"/>
            <w:right w:val="none" w:sz="0" w:space="0" w:color="auto"/>
          </w:divBdr>
          <w:divsChild>
            <w:div w:id="12430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7653">
      <w:bodyDiv w:val="1"/>
      <w:marLeft w:val="0"/>
      <w:marRight w:val="0"/>
      <w:marTop w:val="0"/>
      <w:marBottom w:val="0"/>
      <w:divBdr>
        <w:top w:val="none" w:sz="0" w:space="0" w:color="auto"/>
        <w:left w:val="none" w:sz="0" w:space="0" w:color="auto"/>
        <w:bottom w:val="none" w:sz="0" w:space="0" w:color="auto"/>
        <w:right w:val="none" w:sz="0" w:space="0" w:color="auto"/>
      </w:divBdr>
    </w:div>
    <w:div w:id="879055955">
      <w:bodyDiv w:val="1"/>
      <w:marLeft w:val="0"/>
      <w:marRight w:val="0"/>
      <w:marTop w:val="0"/>
      <w:marBottom w:val="0"/>
      <w:divBdr>
        <w:top w:val="none" w:sz="0" w:space="0" w:color="auto"/>
        <w:left w:val="none" w:sz="0" w:space="0" w:color="auto"/>
        <w:bottom w:val="none" w:sz="0" w:space="0" w:color="auto"/>
        <w:right w:val="none" w:sz="0" w:space="0" w:color="auto"/>
      </w:divBdr>
    </w:div>
    <w:div w:id="897784481">
      <w:bodyDiv w:val="1"/>
      <w:marLeft w:val="0"/>
      <w:marRight w:val="0"/>
      <w:marTop w:val="0"/>
      <w:marBottom w:val="0"/>
      <w:divBdr>
        <w:top w:val="none" w:sz="0" w:space="0" w:color="auto"/>
        <w:left w:val="none" w:sz="0" w:space="0" w:color="auto"/>
        <w:bottom w:val="none" w:sz="0" w:space="0" w:color="auto"/>
        <w:right w:val="none" w:sz="0" w:space="0" w:color="auto"/>
      </w:divBdr>
    </w:div>
    <w:div w:id="1067461241">
      <w:bodyDiv w:val="1"/>
      <w:marLeft w:val="0"/>
      <w:marRight w:val="0"/>
      <w:marTop w:val="0"/>
      <w:marBottom w:val="0"/>
      <w:divBdr>
        <w:top w:val="none" w:sz="0" w:space="0" w:color="auto"/>
        <w:left w:val="none" w:sz="0" w:space="0" w:color="auto"/>
        <w:bottom w:val="none" w:sz="0" w:space="0" w:color="auto"/>
        <w:right w:val="none" w:sz="0" w:space="0" w:color="auto"/>
      </w:divBdr>
    </w:div>
    <w:div w:id="1143234013">
      <w:bodyDiv w:val="1"/>
      <w:marLeft w:val="0"/>
      <w:marRight w:val="0"/>
      <w:marTop w:val="0"/>
      <w:marBottom w:val="0"/>
      <w:divBdr>
        <w:top w:val="none" w:sz="0" w:space="0" w:color="auto"/>
        <w:left w:val="none" w:sz="0" w:space="0" w:color="auto"/>
        <w:bottom w:val="none" w:sz="0" w:space="0" w:color="auto"/>
        <w:right w:val="none" w:sz="0" w:space="0" w:color="auto"/>
      </w:divBdr>
    </w:div>
    <w:div w:id="1157724647">
      <w:bodyDiv w:val="1"/>
      <w:marLeft w:val="0"/>
      <w:marRight w:val="0"/>
      <w:marTop w:val="0"/>
      <w:marBottom w:val="0"/>
      <w:divBdr>
        <w:top w:val="none" w:sz="0" w:space="0" w:color="auto"/>
        <w:left w:val="none" w:sz="0" w:space="0" w:color="auto"/>
        <w:bottom w:val="none" w:sz="0" w:space="0" w:color="auto"/>
        <w:right w:val="none" w:sz="0" w:space="0" w:color="auto"/>
      </w:divBdr>
    </w:div>
    <w:div w:id="1164512606">
      <w:bodyDiv w:val="1"/>
      <w:marLeft w:val="0"/>
      <w:marRight w:val="0"/>
      <w:marTop w:val="0"/>
      <w:marBottom w:val="0"/>
      <w:divBdr>
        <w:top w:val="none" w:sz="0" w:space="0" w:color="auto"/>
        <w:left w:val="none" w:sz="0" w:space="0" w:color="auto"/>
        <w:bottom w:val="none" w:sz="0" w:space="0" w:color="auto"/>
        <w:right w:val="none" w:sz="0" w:space="0" w:color="auto"/>
      </w:divBdr>
    </w:div>
    <w:div w:id="1212427060">
      <w:bodyDiv w:val="1"/>
      <w:marLeft w:val="0"/>
      <w:marRight w:val="0"/>
      <w:marTop w:val="0"/>
      <w:marBottom w:val="0"/>
      <w:divBdr>
        <w:top w:val="none" w:sz="0" w:space="0" w:color="auto"/>
        <w:left w:val="none" w:sz="0" w:space="0" w:color="auto"/>
        <w:bottom w:val="none" w:sz="0" w:space="0" w:color="auto"/>
        <w:right w:val="none" w:sz="0" w:space="0" w:color="auto"/>
      </w:divBdr>
      <w:divsChild>
        <w:div w:id="851601917">
          <w:marLeft w:val="0"/>
          <w:marRight w:val="0"/>
          <w:marTop w:val="0"/>
          <w:marBottom w:val="0"/>
          <w:divBdr>
            <w:top w:val="none" w:sz="0" w:space="0" w:color="auto"/>
            <w:left w:val="none" w:sz="0" w:space="0" w:color="auto"/>
            <w:bottom w:val="none" w:sz="0" w:space="0" w:color="auto"/>
            <w:right w:val="none" w:sz="0" w:space="0" w:color="auto"/>
          </w:divBdr>
          <w:divsChild>
            <w:div w:id="10767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18826">
      <w:bodyDiv w:val="1"/>
      <w:marLeft w:val="0"/>
      <w:marRight w:val="0"/>
      <w:marTop w:val="0"/>
      <w:marBottom w:val="0"/>
      <w:divBdr>
        <w:top w:val="none" w:sz="0" w:space="0" w:color="auto"/>
        <w:left w:val="none" w:sz="0" w:space="0" w:color="auto"/>
        <w:bottom w:val="none" w:sz="0" w:space="0" w:color="auto"/>
        <w:right w:val="none" w:sz="0" w:space="0" w:color="auto"/>
      </w:divBdr>
    </w:div>
    <w:div w:id="1283269461">
      <w:bodyDiv w:val="1"/>
      <w:marLeft w:val="0"/>
      <w:marRight w:val="0"/>
      <w:marTop w:val="0"/>
      <w:marBottom w:val="0"/>
      <w:divBdr>
        <w:top w:val="none" w:sz="0" w:space="0" w:color="auto"/>
        <w:left w:val="none" w:sz="0" w:space="0" w:color="auto"/>
        <w:bottom w:val="none" w:sz="0" w:space="0" w:color="auto"/>
        <w:right w:val="none" w:sz="0" w:space="0" w:color="auto"/>
      </w:divBdr>
    </w:div>
    <w:div w:id="1294753335">
      <w:bodyDiv w:val="1"/>
      <w:marLeft w:val="0"/>
      <w:marRight w:val="0"/>
      <w:marTop w:val="0"/>
      <w:marBottom w:val="0"/>
      <w:divBdr>
        <w:top w:val="none" w:sz="0" w:space="0" w:color="auto"/>
        <w:left w:val="none" w:sz="0" w:space="0" w:color="auto"/>
        <w:bottom w:val="none" w:sz="0" w:space="0" w:color="auto"/>
        <w:right w:val="none" w:sz="0" w:space="0" w:color="auto"/>
      </w:divBdr>
    </w:div>
    <w:div w:id="1382753906">
      <w:bodyDiv w:val="1"/>
      <w:marLeft w:val="0"/>
      <w:marRight w:val="0"/>
      <w:marTop w:val="0"/>
      <w:marBottom w:val="0"/>
      <w:divBdr>
        <w:top w:val="none" w:sz="0" w:space="0" w:color="auto"/>
        <w:left w:val="none" w:sz="0" w:space="0" w:color="auto"/>
        <w:bottom w:val="none" w:sz="0" w:space="0" w:color="auto"/>
        <w:right w:val="none" w:sz="0" w:space="0" w:color="auto"/>
      </w:divBdr>
      <w:divsChild>
        <w:div w:id="2005274917">
          <w:marLeft w:val="0"/>
          <w:marRight w:val="0"/>
          <w:marTop w:val="0"/>
          <w:marBottom w:val="0"/>
          <w:divBdr>
            <w:top w:val="none" w:sz="0" w:space="0" w:color="auto"/>
            <w:left w:val="none" w:sz="0" w:space="0" w:color="auto"/>
            <w:bottom w:val="none" w:sz="0" w:space="0" w:color="auto"/>
            <w:right w:val="none" w:sz="0" w:space="0" w:color="auto"/>
          </w:divBdr>
          <w:divsChild>
            <w:div w:id="7779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7358">
      <w:bodyDiv w:val="1"/>
      <w:marLeft w:val="0"/>
      <w:marRight w:val="0"/>
      <w:marTop w:val="0"/>
      <w:marBottom w:val="0"/>
      <w:divBdr>
        <w:top w:val="none" w:sz="0" w:space="0" w:color="auto"/>
        <w:left w:val="none" w:sz="0" w:space="0" w:color="auto"/>
        <w:bottom w:val="none" w:sz="0" w:space="0" w:color="auto"/>
        <w:right w:val="none" w:sz="0" w:space="0" w:color="auto"/>
      </w:divBdr>
    </w:div>
    <w:div w:id="1427457982">
      <w:bodyDiv w:val="1"/>
      <w:marLeft w:val="0"/>
      <w:marRight w:val="0"/>
      <w:marTop w:val="0"/>
      <w:marBottom w:val="0"/>
      <w:divBdr>
        <w:top w:val="none" w:sz="0" w:space="0" w:color="auto"/>
        <w:left w:val="none" w:sz="0" w:space="0" w:color="auto"/>
        <w:bottom w:val="none" w:sz="0" w:space="0" w:color="auto"/>
        <w:right w:val="none" w:sz="0" w:space="0" w:color="auto"/>
      </w:divBdr>
    </w:div>
    <w:div w:id="1436174686">
      <w:bodyDiv w:val="1"/>
      <w:marLeft w:val="0"/>
      <w:marRight w:val="0"/>
      <w:marTop w:val="0"/>
      <w:marBottom w:val="0"/>
      <w:divBdr>
        <w:top w:val="none" w:sz="0" w:space="0" w:color="auto"/>
        <w:left w:val="none" w:sz="0" w:space="0" w:color="auto"/>
        <w:bottom w:val="none" w:sz="0" w:space="0" w:color="auto"/>
        <w:right w:val="none" w:sz="0" w:space="0" w:color="auto"/>
      </w:divBdr>
    </w:div>
    <w:div w:id="1549535793">
      <w:bodyDiv w:val="1"/>
      <w:marLeft w:val="0"/>
      <w:marRight w:val="0"/>
      <w:marTop w:val="0"/>
      <w:marBottom w:val="0"/>
      <w:divBdr>
        <w:top w:val="none" w:sz="0" w:space="0" w:color="auto"/>
        <w:left w:val="none" w:sz="0" w:space="0" w:color="auto"/>
        <w:bottom w:val="none" w:sz="0" w:space="0" w:color="auto"/>
        <w:right w:val="none" w:sz="0" w:space="0" w:color="auto"/>
      </w:divBdr>
      <w:divsChild>
        <w:div w:id="247269926">
          <w:marLeft w:val="0"/>
          <w:marRight w:val="0"/>
          <w:marTop w:val="0"/>
          <w:marBottom w:val="0"/>
          <w:divBdr>
            <w:top w:val="none" w:sz="0" w:space="0" w:color="auto"/>
            <w:left w:val="none" w:sz="0" w:space="0" w:color="auto"/>
            <w:bottom w:val="none" w:sz="0" w:space="0" w:color="auto"/>
            <w:right w:val="none" w:sz="0" w:space="0" w:color="auto"/>
          </w:divBdr>
          <w:divsChild>
            <w:div w:id="119080180">
              <w:marLeft w:val="0"/>
              <w:marRight w:val="0"/>
              <w:marTop w:val="0"/>
              <w:marBottom w:val="0"/>
              <w:divBdr>
                <w:top w:val="none" w:sz="0" w:space="0" w:color="auto"/>
                <w:left w:val="none" w:sz="0" w:space="0" w:color="auto"/>
                <w:bottom w:val="none" w:sz="0" w:space="0" w:color="auto"/>
                <w:right w:val="none" w:sz="0" w:space="0" w:color="auto"/>
              </w:divBdr>
              <w:divsChild>
                <w:div w:id="324363361">
                  <w:marLeft w:val="0"/>
                  <w:marRight w:val="0"/>
                  <w:marTop w:val="0"/>
                  <w:marBottom w:val="0"/>
                  <w:divBdr>
                    <w:top w:val="none" w:sz="0" w:space="0" w:color="auto"/>
                    <w:left w:val="none" w:sz="0" w:space="0" w:color="auto"/>
                    <w:bottom w:val="none" w:sz="0" w:space="0" w:color="auto"/>
                    <w:right w:val="none" w:sz="0" w:space="0" w:color="auto"/>
                  </w:divBdr>
                  <w:divsChild>
                    <w:div w:id="8145531">
                      <w:marLeft w:val="0"/>
                      <w:marRight w:val="0"/>
                      <w:marTop w:val="0"/>
                      <w:marBottom w:val="0"/>
                      <w:divBdr>
                        <w:top w:val="none" w:sz="0" w:space="0" w:color="auto"/>
                        <w:left w:val="none" w:sz="0" w:space="0" w:color="auto"/>
                        <w:bottom w:val="none" w:sz="0" w:space="0" w:color="auto"/>
                        <w:right w:val="none" w:sz="0" w:space="0" w:color="auto"/>
                      </w:divBdr>
                      <w:divsChild>
                        <w:div w:id="217281527">
                          <w:marLeft w:val="0"/>
                          <w:marRight w:val="0"/>
                          <w:marTop w:val="0"/>
                          <w:marBottom w:val="0"/>
                          <w:divBdr>
                            <w:top w:val="none" w:sz="0" w:space="0" w:color="auto"/>
                            <w:left w:val="none" w:sz="0" w:space="0" w:color="auto"/>
                            <w:bottom w:val="none" w:sz="0" w:space="0" w:color="auto"/>
                            <w:right w:val="none" w:sz="0" w:space="0" w:color="auto"/>
                          </w:divBdr>
                          <w:divsChild>
                            <w:div w:id="477264551">
                              <w:marLeft w:val="0"/>
                              <w:marRight w:val="0"/>
                              <w:marTop w:val="0"/>
                              <w:marBottom w:val="0"/>
                              <w:divBdr>
                                <w:top w:val="none" w:sz="0" w:space="0" w:color="auto"/>
                                <w:left w:val="none" w:sz="0" w:space="0" w:color="auto"/>
                                <w:bottom w:val="none" w:sz="0" w:space="0" w:color="auto"/>
                                <w:right w:val="none" w:sz="0" w:space="0" w:color="auto"/>
                              </w:divBdr>
                              <w:divsChild>
                                <w:div w:id="815226200">
                                  <w:marLeft w:val="0"/>
                                  <w:marRight w:val="0"/>
                                  <w:marTop w:val="0"/>
                                  <w:marBottom w:val="0"/>
                                  <w:divBdr>
                                    <w:top w:val="none" w:sz="0" w:space="0" w:color="auto"/>
                                    <w:left w:val="none" w:sz="0" w:space="0" w:color="auto"/>
                                    <w:bottom w:val="none" w:sz="0" w:space="0" w:color="auto"/>
                                    <w:right w:val="none" w:sz="0" w:space="0" w:color="auto"/>
                                  </w:divBdr>
                                  <w:divsChild>
                                    <w:div w:id="17033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38558">
                      <w:marLeft w:val="0"/>
                      <w:marRight w:val="0"/>
                      <w:marTop w:val="0"/>
                      <w:marBottom w:val="0"/>
                      <w:divBdr>
                        <w:top w:val="none" w:sz="0" w:space="0" w:color="auto"/>
                        <w:left w:val="none" w:sz="0" w:space="0" w:color="auto"/>
                        <w:bottom w:val="none" w:sz="0" w:space="0" w:color="auto"/>
                        <w:right w:val="none" w:sz="0" w:space="0" w:color="auto"/>
                      </w:divBdr>
                      <w:divsChild>
                        <w:div w:id="19023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324199">
      <w:bodyDiv w:val="1"/>
      <w:marLeft w:val="0"/>
      <w:marRight w:val="0"/>
      <w:marTop w:val="0"/>
      <w:marBottom w:val="0"/>
      <w:divBdr>
        <w:top w:val="none" w:sz="0" w:space="0" w:color="auto"/>
        <w:left w:val="none" w:sz="0" w:space="0" w:color="auto"/>
        <w:bottom w:val="none" w:sz="0" w:space="0" w:color="auto"/>
        <w:right w:val="none" w:sz="0" w:space="0" w:color="auto"/>
      </w:divBdr>
    </w:div>
    <w:div w:id="1764300937">
      <w:bodyDiv w:val="1"/>
      <w:marLeft w:val="0"/>
      <w:marRight w:val="0"/>
      <w:marTop w:val="0"/>
      <w:marBottom w:val="0"/>
      <w:divBdr>
        <w:top w:val="none" w:sz="0" w:space="0" w:color="auto"/>
        <w:left w:val="none" w:sz="0" w:space="0" w:color="auto"/>
        <w:bottom w:val="none" w:sz="0" w:space="0" w:color="auto"/>
        <w:right w:val="none" w:sz="0" w:space="0" w:color="auto"/>
      </w:divBdr>
    </w:div>
    <w:div w:id="1803384416">
      <w:bodyDiv w:val="1"/>
      <w:marLeft w:val="0"/>
      <w:marRight w:val="0"/>
      <w:marTop w:val="0"/>
      <w:marBottom w:val="0"/>
      <w:divBdr>
        <w:top w:val="none" w:sz="0" w:space="0" w:color="auto"/>
        <w:left w:val="none" w:sz="0" w:space="0" w:color="auto"/>
        <w:bottom w:val="none" w:sz="0" w:space="0" w:color="auto"/>
        <w:right w:val="none" w:sz="0" w:space="0" w:color="auto"/>
      </w:divBdr>
    </w:div>
    <w:div w:id="1823808108">
      <w:bodyDiv w:val="1"/>
      <w:marLeft w:val="0"/>
      <w:marRight w:val="0"/>
      <w:marTop w:val="0"/>
      <w:marBottom w:val="0"/>
      <w:divBdr>
        <w:top w:val="none" w:sz="0" w:space="0" w:color="auto"/>
        <w:left w:val="none" w:sz="0" w:space="0" w:color="auto"/>
        <w:bottom w:val="none" w:sz="0" w:space="0" w:color="auto"/>
        <w:right w:val="none" w:sz="0" w:space="0" w:color="auto"/>
      </w:divBdr>
    </w:div>
    <w:div w:id="200724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ord-Tech%20Datus\Dropbox\Kamal%20Works\August2025\Kavish%20New\Thyroid\Final%20Thesis\Figur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ord-Tech%20Datus\Dropbox\Kamal%20Works\August2025\Kavish%20New\Thyroid\Final%20Thesis\Figure.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ord-Tech%20Datus\Dropbox\Kamal%20Works\August2025\Kavish%20New\Thyroid\Final%20Thesis\Figu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ord-Tech%20Datus\Dropbox\Kamal%20Works\August2025\Kavish%20New\Thyroid\Final%20Thesis\Figur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ord-Tech%20Datus\Dropbox\Kamal%20Works\August2025\Kavish%20New\Thyroid\Final%20Thesis\Figur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ord-Tech%20Datus\Dropbox\Kamal%20Works\August2025\Kavish%20New\Thyroid\Final%20Thesis\Figur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ord-Tech%20Datus\Dropbox\Kamal%20Works\August2025\Kavish%20New\Thyroid\Final%20Thesis\Figur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ord-Tech%20Datus\Dropbox\Kamal%20Works\August2025\Kavish%20New\Thyroid\Final%20Thesis\Figur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ord-Tech%20Datus\Dropbox\Kamal%20Works\August2025\Kavish%20New\Thyroid\Final%20Thesis\Figur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ord-Tech%20Datus\Dropbox\Kamal%20Works\August2025\Kavish%20New\Thyroid\Final%20Thesis\Figur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Age (in Years)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86AA-468A-BDF5-50FB3CDE1AD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86AA-468A-BDF5-50FB3CDE1AD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86AA-468A-BDF5-50FB3CDE1AD9}"/>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86AA-468A-BDF5-50FB3CDE1AD9}"/>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86AA-468A-BDF5-50FB3CDE1AD9}"/>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multiLvlStrRef>
              <c:f>Sheet1!$A$2:$B$6</c:f>
              <c:multiLvlStrCache>
                <c:ptCount val="5"/>
                <c:lvl>
                  <c:pt idx="0">
                    <c:v>&lt;20 Years</c:v>
                  </c:pt>
                  <c:pt idx="1">
                    <c:v>21–25 Years</c:v>
                  </c:pt>
                  <c:pt idx="2">
                    <c:v>26–30 Years</c:v>
                  </c:pt>
                  <c:pt idx="3">
                    <c:v>31–35 Years</c:v>
                  </c:pt>
                  <c:pt idx="4">
                    <c:v>&gt;35 Years</c:v>
                  </c:pt>
                </c:lvl>
                <c:lvl>
                  <c:pt idx="0">
                    <c:v>Age</c:v>
                  </c:pt>
                </c:lvl>
              </c:multiLvlStrCache>
            </c:multiLvlStrRef>
          </c:cat>
          <c:val>
            <c:numRef>
              <c:f>Sheet1!$C$2:$C$6</c:f>
              <c:numCache>
                <c:formatCode>0.00%</c:formatCode>
                <c:ptCount val="5"/>
                <c:pt idx="0">
                  <c:v>0.14000000000000001</c:v>
                </c:pt>
                <c:pt idx="1">
                  <c:v>0.27</c:v>
                </c:pt>
                <c:pt idx="2">
                  <c:v>0.34</c:v>
                </c:pt>
                <c:pt idx="3">
                  <c:v>0.185</c:v>
                </c:pt>
                <c:pt idx="4">
                  <c:v>6.5000000000000002E-2</c:v>
                </c:pt>
              </c:numCache>
            </c:numRef>
          </c:val>
          <c:extLst>
            <c:ext xmlns:c16="http://schemas.microsoft.com/office/drawing/2014/chart" uri="{C3380CC4-5D6E-409C-BE32-E72D297353CC}">
              <c16:uniqueId val="{0000000A-86AA-468A-BDF5-50FB3CDE1AD9}"/>
            </c:ext>
          </c:extLst>
        </c:ser>
        <c:dLbls>
          <c:dLblPos val="bestFit"/>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Family History of Hypertension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5AB-4738-8DEA-E70BD297AA8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5AB-4738-8DEA-E70BD297AA8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multiLvlStrRef>
              <c:f>Sheet1!$A$33:$B$34</c:f>
              <c:multiLvlStrCache>
                <c:ptCount val="2"/>
                <c:lvl>
                  <c:pt idx="0">
                    <c:v>Yes</c:v>
                  </c:pt>
                  <c:pt idx="1">
                    <c:v>No</c:v>
                  </c:pt>
                </c:lvl>
                <c:lvl>
                  <c:pt idx="0">
                    <c:v>Family History of Hypertension</c:v>
                  </c:pt>
                </c:lvl>
              </c:multiLvlStrCache>
            </c:multiLvlStrRef>
          </c:cat>
          <c:val>
            <c:numRef>
              <c:f>Sheet1!$C$33:$C$34</c:f>
              <c:numCache>
                <c:formatCode>0.00%</c:formatCode>
                <c:ptCount val="2"/>
                <c:pt idx="0">
                  <c:v>0.40500000000000003</c:v>
                </c:pt>
                <c:pt idx="1">
                  <c:v>0.59499999999999997</c:v>
                </c:pt>
              </c:numCache>
            </c:numRef>
          </c:val>
          <c:extLst>
            <c:ext xmlns:c16="http://schemas.microsoft.com/office/drawing/2014/chart" uri="{C3380CC4-5D6E-409C-BE32-E72D297353CC}">
              <c16:uniqueId val="{00000004-E5AB-4738-8DEA-E70BD297AA8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Gestational Age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744-45CF-830C-0C14147D5D3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744-45CF-830C-0C14147D5D3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744-45CF-830C-0C14147D5D3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multiLvlStrRef>
              <c:f>Sheet1!$A$7:$B$9</c:f>
              <c:multiLvlStrCache>
                <c:ptCount val="3"/>
                <c:lvl>
                  <c:pt idx="0">
                    <c:v>1st Trimester</c:v>
                  </c:pt>
                  <c:pt idx="1">
                    <c:v>2nd Trimester</c:v>
                  </c:pt>
                  <c:pt idx="2">
                    <c:v>3rd Trimester</c:v>
                  </c:pt>
                </c:lvl>
                <c:lvl>
                  <c:pt idx="0">
                    <c:v>Gestational Age</c:v>
                  </c:pt>
                </c:lvl>
              </c:multiLvlStrCache>
            </c:multiLvlStrRef>
          </c:cat>
          <c:val>
            <c:numRef>
              <c:f>Sheet1!$C$7:$C$9</c:f>
              <c:numCache>
                <c:formatCode>0.00%</c:formatCode>
                <c:ptCount val="3"/>
                <c:pt idx="0">
                  <c:v>0.19</c:v>
                </c:pt>
                <c:pt idx="1">
                  <c:v>0.495</c:v>
                </c:pt>
                <c:pt idx="2">
                  <c:v>0.315</c:v>
                </c:pt>
              </c:numCache>
            </c:numRef>
          </c:val>
          <c:extLst>
            <c:ext xmlns:c16="http://schemas.microsoft.com/office/drawing/2014/chart" uri="{C3380CC4-5D6E-409C-BE32-E72D297353CC}">
              <c16:uniqueId val="{00000006-E744-45CF-830C-0C14147D5D38}"/>
            </c:ext>
          </c:extLst>
        </c:ser>
        <c:dLbls>
          <c:dLblPos val="bestFit"/>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Education Level</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78B-4059-A4B8-BD58BE36CD8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78B-4059-A4B8-BD58BE36CD8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78B-4059-A4B8-BD58BE36CD8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78B-4059-A4B8-BD58BE36CD8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78B-4059-A4B8-BD58BE36CD8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multiLvlStrRef>
              <c:f>Sheet1!$A$10:$B$14</c:f>
              <c:multiLvlStrCache>
                <c:ptCount val="5"/>
                <c:lvl>
                  <c:pt idx="0">
                    <c:v>No Formal Education</c:v>
                  </c:pt>
                  <c:pt idx="1">
                    <c:v>Primary</c:v>
                  </c:pt>
                  <c:pt idx="2">
                    <c:v>Secondary</c:v>
                  </c:pt>
                  <c:pt idx="3">
                    <c:v>Graduate</c:v>
                  </c:pt>
                  <c:pt idx="4">
                    <c:v>Postgraduate</c:v>
                  </c:pt>
                </c:lvl>
                <c:lvl>
                  <c:pt idx="0">
                    <c:v>Education Level</c:v>
                  </c:pt>
                </c:lvl>
              </c:multiLvlStrCache>
            </c:multiLvlStrRef>
          </c:cat>
          <c:val>
            <c:numRef>
              <c:f>Sheet1!$C$10:$C$14</c:f>
              <c:numCache>
                <c:formatCode>0.00%</c:formatCode>
                <c:ptCount val="5"/>
                <c:pt idx="0">
                  <c:v>4.4999999999999998E-2</c:v>
                </c:pt>
                <c:pt idx="1">
                  <c:v>0.14499999999999999</c:v>
                </c:pt>
                <c:pt idx="2">
                  <c:v>0.3</c:v>
                </c:pt>
                <c:pt idx="3">
                  <c:v>0.35499999999999998</c:v>
                </c:pt>
                <c:pt idx="4">
                  <c:v>0.155</c:v>
                </c:pt>
              </c:numCache>
            </c:numRef>
          </c:val>
          <c:extLst>
            <c:ext xmlns:c16="http://schemas.microsoft.com/office/drawing/2014/chart" uri="{C3380CC4-5D6E-409C-BE32-E72D297353CC}">
              <c16:uniqueId val="{0000000A-B78B-4059-A4B8-BD58BE36CD8B}"/>
            </c:ext>
          </c:extLst>
        </c:ser>
        <c:dLbls>
          <c:dLblPos val="bestFit"/>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Occupation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D8F-4E00-B494-DB236A971EF0}"/>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D8F-4E00-B494-DB236A971EF0}"/>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D8F-4E00-B494-DB236A971EF0}"/>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D8F-4E00-B494-DB236A971EF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multiLvlStrRef>
              <c:f>Sheet1!$A$15:$B$18</c:f>
              <c:multiLvlStrCache>
                <c:ptCount val="4"/>
                <c:lvl>
                  <c:pt idx="0">
                    <c:v>Homemaker</c:v>
                  </c:pt>
                  <c:pt idx="1">
                    <c:v>Working</c:v>
                  </c:pt>
                  <c:pt idx="2">
                    <c:v>Student</c:v>
                  </c:pt>
                  <c:pt idx="3">
                    <c:v>Unemployed</c:v>
                  </c:pt>
                </c:lvl>
                <c:lvl>
                  <c:pt idx="0">
                    <c:v>Occupation</c:v>
                  </c:pt>
                </c:lvl>
              </c:multiLvlStrCache>
            </c:multiLvlStrRef>
          </c:cat>
          <c:val>
            <c:numRef>
              <c:f>Sheet1!$C$15:$C$18</c:f>
              <c:numCache>
                <c:formatCode>0.00%</c:formatCode>
                <c:ptCount val="4"/>
                <c:pt idx="0">
                  <c:v>0.39</c:v>
                </c:pt>
                <c:pt idx="1">
                  <c:v>0.30499999999999999</c:v>
                </c:pt>
                <c:pt idx="2">
                  <c:v>0.19500000000000001</c:v>
                </c:pt>
                <c:pt idx="3">
                  <c:v>0.11</c:v>
                </c:pt>
              </c:numCache>
            </c:numRef>
          </c:val>
          <c:extLst>
            <c:ext xmlns:c16="http://schemas.microsoft.com/office/drawing/2014/chart" uri="{C3380CC4-5D6E-409C-BE32-E72D297353CC}">
              <c16:uniqueId val="{00000008-CD8F-4E00-B494-DB236A971EF0}"/>
            </c:ext>
          </c:extLst>
        </c:ser>
        <c:dLbls>
          <c:dLblPos val="bestFit"/>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Monthly Family Income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CAE-480D-ACC8-8AF61F6DF63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CAE-480D-ACC8-8AF61F6DF63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CAE-480D-ACC8-8AF61F6DF633}"/>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CAE-480D-ACC8-8AF61F6DF633}"/>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CAE-480D-ACC8-8AF61F6DF63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multiLvlStrRef>
              <c:f>Sheet1!$A$19:$B$23</c:f>
              <c:multiLvlStrCache>
                <c:ptCount val="5"/>
                <c:lvl>
                  <c:pt idx="0">
                    <c:v>&lt; ₹10,000</c:v>
                  </c:pt>
                  <c:pt idx="1">
                    <c:v>₹10,000 – ₹20,000</c:v>
                  </c:pt>
                  <c:pt idx="2">
                    <c:v>₹20,000 – ₹30,000</c:v>
                  </c:pt>
                  <c:pt idx="3">
                    <c:v>₹30,000 – ₹50,000</c:v>
                  </c:pt>
                  <c:pt idx="4">
                    <c:v>&gt; ₹50,000</c:v>
                  </c:pt>
                </c:lvl>
                <c:lvl>
                  <c:pt idx="0">
                    <c:v>Monthly Family Income</c:v>
                  </c:pt>
                </c:lvl>
              </c:multiLvlStrCache>
            </c:multiLvlStrRef>
          </c:cat>
          <c:val>
            <c:numRef>
              <c:f>Sheet1!$C$19:$C$23</c:f>
              <c:numCache>
                <c:formatCode>0.00%</c:formatCode>
                <c:ptCount val="5"/>
                <c:pt idx="0">
                  <c:v>0.1</c:v>
                </c:pt>
                <c:pt idx="1">
                  <c:v>0.29499999999999998</c:v>
                </c:pt>
                <c:pt idx="2">
                  <c:v>0.31</c:v>
                </c:pt>
                <c:pt idx="3">
                  <c:v>0.2</c:v>
                </c:pt>
                <c:pt idx="4">
                  <c:v>9.5000000000000001E-2</c:v>
                </c:pt>
              </c:numCache>
            </c:numRef>
          </c:val>
          <c:extLst>
            <c:ext xmlns:c16="http://schemas.microsoft.com/office/drawing/2014/chart" uri="{C3380CC4-5D6E-409C-BE32-E72D297353CC}">
              <c16:uniqueId val="{0000000A-BCAE-480D-ACC8-8AF61F6DF63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Residence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576-4169-B9F4-F32ACFA9DC2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576-4169-B9F4-F32ACFA9DC2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576-4169-B9F4-F32ACFA9DC2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multiLvlStrRef>
              <c:f>Sheet1!$A$24:$B$26</c:f>
              <c:multiLvlStrCache>
                <c:ptCount val="3"/>
                <c:lvl>
                  <c:pt idx="0">
                    <c:v>Urban</c:v>
                  </c:pt>
                  <c:pt idx="1">
                    <c:v>Semi-urban</c:v>
                  </c:pt>
                  <c:pt idx="2">
                    <c:v>Rural</c:v>
                  </c:pt>
                </c:lvl>
                <c:lvl>
                  <c:pt idx="0">
                    <c:v>Residence</c:v>
                  </c:pt>
                </c:lvl>
              </c:multiLvlStrCache>
            </c:multiLvlStrRef>
          </c:cat>
          <c:val>
            <c:numRef>
              <c:f>Sheet1!$C$24:$C$26</c:f>
              <c:numCache>
                <c:formatCode>0.00%</c:formatCode>
                <c:ptCount val="3"/>
                <c:pt idx="0">
                  <c:v>0.4</c:v>
                </c:pt>
                <c:pt idx="1">
                  <c:v>0.28999999999999998</c:v>
                </c:pt>
                <c:pt idx="2">
                  <c:v>0.31</c:v>
                </c:pt>
              </c:numCache>
            </c:numRef>
          </c:val>
          <c:extLst>
            <c:ext xmlns:c16="http://schemas.microsoft.com/office/drawing/2014/chart" uri="{C3380CC4-5D6E-409C-BE32-E72D297353CC}">
              <c16:uniqueId val="{00000006-E576-4169-B9F4-F32ACFA9DC2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Family Type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B33-4EFA-AD91-E7600200233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B33-4EFA-AD91-E7600200233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multiLvlStrRef>
              <c:f>Sheet1!$A$27:$B$28</c:f>
              <c:multiLvlStrCache>
                <c:ptCount val="2"/>
                <c:lvl>
                  <c:pt idx="0">
                    <c:v>Nuclear</c:v>
                  </c:pt>
                  <c:pt idx="1">
                    <c:v>Joint</c:v>
                  </c:pt>
                </c:lvl>
                <c:lvl>
                  <c:pt idx="0">
                    <c:v>Family Type</c:v>
                  </c:pt>
                </c:lvl>
              </c:multiLvlStrCache>
            </c:multiLvlStrRef>
          </c:cat>
          <c:val>
            <c:numRef>
              <c:f>Sheet1!$C$27:$C$28</c:f>
              <c:numCache>
                <c:formatCode>0.00%</c:formatCode>
                <c:ptCount val="2"/>
                <c:pt idx="0">
                  <c:v>0.60499999999999998</c:v>
                </c:pt>
                <c:pt idx="1">
                  <c:v>0.39500000000000002</c:v>
                </c:pt>
              </c:numCache>
            </c:numRef>
          </c:val>
          <c:extLst>
            <c:ext xmlns:c16="http://schemas.microsoft.com/office/drawing/2014/chart" uri="{C3380CC4-5D6E-409C-BE32-E72D297353CC}">
              <c16:uniqueId val="{00000004-9B33-4EFA-AD91-E7600200233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Parity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1F5-4D9F-B073-C9B18ED7F14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1F5-4D9F-B073-C9B18ED7F14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multiLvlStrRef>
              <c:f>Sheet1!$A$29:$B$30</c:f>
              <c:multiLvlStrCache>
                <c:ptCount val="2"/>
                <c:lvl>
                  <c:pt idx="0">
                    <c:v>Primigravida</c:v>
                  </c:pt>
                  <c:pt idx="1">
                    <c:v>Multigravida</c:v>
                  </c:pt>
                </c:lvl>
                <c:lvl>
                  <c:pt idx="0">
                    <c:v>Parity</c:v>
                  </c:pt>
                </c:lvl>
              </c:multiLvlStrCache>
            </c:multiLvlStrRef>
          </c:cat>
          <c:val>
            <c:numRef>
              <c:f>Sheet1!$C$29:$C$30</c:f>
              <c:numCache>
                <c:formatCode>0.00%</c:formatCode>
                <c:ptCount val="2"/>
                <c:pt idx="0">
                  <c:v>0.55000000000000004</c:v>
                </c:pt>
                <c:pt idx="1">
                  <c:v>0.45</c:v>
                </c:pt>
              </c:numCache>
            </c:numRef>
          </c:val>
          <c:extLst>
            <c:ext xmlns:c16="http://schemas.microsoft.com/office/drawing/2014/chart" uri="{C3380CC4-5D6E-409C-BE32-E72D297353CC}">
              <c16:uniqueId val="{00000004-D1F5-4D9F-B073-C9B18ED7F14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Family History of Thyroid</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1BE-4CE7-81B4-91D0545473A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1BE-4CE7-81B4-91D0545473A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multiLvlStrRef>
              <c:f>Sheet1!$A$31:$B$32</c:f>
              <c:multiLvlStrCache>
                <c:ptCount val="2"/>
                <c:lvl>
                  <c:pt idx="0">
                    <c:v>Yes</c:v>
                  </c:pt>
                  <c:pt idx="1">
                    <c:v>No</c:v>
                  </c:pt>
                </c:lvl>
                <c:lvl>
                  <c:pt idx="0">
                    <c:v>Family History of Thyroid</c:v>
                  </c:pt>
                </c:lvl>
              </c:multiLvlStrCache>
            </c:multiLvlStrRef>
          </c:cat>
          <c:val>
            <c:numRef>
              <c:f>Sheet1!$C$31:$C$32</c:f>
              <c:numCache>
                <c:formatCode>0.00%</c:formatCode>
                <c:ptCount val="2"/>
                <c:pt idx="0">
                  <c:v>0.31</c:v>
                </c:pt>
                <c:pt idx="1">
                  <c:v>0.69</c:v>
                </c:pt>
              </c:numCache>
            </c:numRef>
          </c:val>
          <c:extLst>
            <c:ext xmlns:c16="http://schemas.microsoft.com/office/drawing/2014/chart" uri="{C3380CC4-5D6E-409C-BE32-E72D297353CC}">
              <c16:uniqueId val="{00000004-01BE-4CE7-81B4-91D0545473A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18CCB-7A9D-433E-9599-040BA68ED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158</Pages>
  <Words>99134</Words>
  <Characters>565070</Characters>
  <Application>Microsoft Office Word</Application>
  <DocSecurity>0</DocSecurity>
  <Lines>4708</Lines>
  <Paragraphs>1325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Sharma</dc:creator>
  <cp:keywords/>
  <dc:description/>
  <cp:lastModifiedBy>Kamal Sharma</cp:lastModifiedBy>
  <cp:revision>36</cp:revision>
  <dcterms:created xsi:type="dcterms:W3CDTF">2025-06-29T05:45:00Z</dcterms:created>
  <dcterms:modified xsi:type="dcterms:W3CDTF">2025-08-22T07:45:00Z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abb727e5-01b3-3202-b230-c5596cbff6ee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