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678A9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Уважаемые члены государственной экзаменационной комиссии!</w:t>
      </w:r>
    </w:p>
    <w:p w14:paraId="45EFAB62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Вашему вниманию представляется выпускная квалификационная работа на тему «Синтез и исследование нейтрон-поглощающего магнетронного покрытия на основе карбида бора».</w:t>
      </w:r>
    </w:p>
    <w:p w14:paraId="168EAD17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2]</w:t>
      </w:r>
    </w:p>
    <w:p w14:paraId="7A9300B3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Актуальность работы связана с необходимостью разработки материалов для современных систем регистрации нейтронного излучения. Одним из перспективных материалов является карбид бора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. Его применение основано на способности изотопа бор-10 захватывать тепловые нейтроны с образованием заряженных частиц — альфа-частицы и ядра лития. Именно эти частицы впоследствии могут формировать регистрируемый сигнал в чувствительном объёме детектора.</w:t>
      </w:r>
    </w:p>
    <w:p w14:paraId="748EDFD1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Целью работы являлось изучение технологической схемы получения покрытий на основе карбида бора методом магнетронного распыления и проведение комплексного исследования сформированной серии образцов.</w:t>
      </w:r>
    </w:p>
    <w:p w14:paraId="282D3A75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Для достижения цели были поставлены следующие задачи: изучить технологическую схему получения покрытий, сформировать серию образцов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 xml:space="preserve"> на алюминиевых подложках с различной номинальной толщиной, исследовать морфологию поверхности методом сканирующей электронной микроскопии, определить элементный состав методом ЭДС-анализа и оценить возможность использования покрытий в качестве нейтрон-поглощающих слоёв.</w:t>
      </w:r>
    </w:p>
    <w:p w14:paraId="6A2852C6" w14:textId="0DC6E5EA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В работе исследовались </w:t>
      </w:r>
      <w:r>
        <w:rPr>
          <w:sz w:val="28"/>
          <w:szCs w:val="28"/>
          <w:lang w:val="ru-RU"/>
        </w:rPr>
        <w:t>4</w:t>
      </w:r>
      <w:r w:rsidRPr="005B2932">
        <w:rPr>
          <w:sz w:val="28"/>
          <w:szCs w:val="28"/>
          <w:lang w:val="ru-RU"/>
        </w:rPr>
        <w:t xml:space="preserve"> образца с номинальной толщиной покрытия 50, 100, 200 и 400 нанометров.</w:t>
      </w:r>
    </w:p>
    <w:p w14:paraId="27FC5F95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3]</w:t>
      </w:r>
    </w:p>
    <w:p w14:paraId="17EB8EF4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Покрытия были сформированы методом вакуумного магнетронного распыления на установке </w:t>
      </w:r>
      <w:r w:rsidRPr="005B2932">
        <w:rPr>
          <w:sz w:val="28"/>
          <w:szCs w:val="28"/>
        </w:rPr>
        <w:t>VSR</w:t>
      </w:r>
      <w:r w:rsidRPr="005B2932">
        <w:rPr>
          <w:sz w:val="28"/>
          <w:szCs w:val="28"/>
          <w:lang w:val="ru-RU"/>
        </w:rPr>
        <w:t>-300.</w:t>
      </w:r>
    </w:p>
    <w:p w14:paraId="42D7E67B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В установке предусмотрены два магнетрона: один с мишенью из карбида бора и второй с алюминиевой мишенью. Также используется ионный источник очистки и ассистирования. Алюминиевые подложки размещаются на цилиндрическом барабане.</w:t>
      </w:r>
    </w:p>
    <w:p w14:paraId="6FB1CD3B" w14:textId="27131A6B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Технологическая схема включает откачку камеры до давления 6,</w:t>
      </w:r>
      <w:r>
        <w:rPr>
          <w:sz w:val="28"/>
          <w:szCs w:val="28"/>
          <w:lang w:val="ru-RU"/>
        </w:rPr>
        <w:t>7*10</w:t>
      </w:r>
      <w:r w:rsidRPr="005B2932">
        <w:rPr>
          <w:sz w:val="28"/>
          <w:szCs w:val="28"/>
          <w:vertAlign w:val="superscript"/>
          <w:lang w:val="ru-RU"/>
        </w:rPr>
        <w:t>-3</w:t>
      </w:r>
      <w:r>
        <w:rPr>
          <w:sz w:val="28"/>
          <w:szCs w:val="28"/>
          <w:lang w:val="ru-RU"/>
        </w:rPr>
        <w:t xml:space="preserve"> </w:t>
      </w:r>
      <w:r w:rsidRPr="005B2932">
        <w:rPr>
          <w:sz w:val="28"/>
          <w:szCs w:val="28"/>
          <w:lang w:val="ru-RU"/>
        </w:rPr>
        <w:t xml:space="preserve">паскаля, прогрев камеры при температуре 200 градусов в течение трёх часов, ионную очистку поверхности в среде аргона, нанесение алюминиевого подслоя и последующее нанесение слоя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.</w:t>
      </w:r>
    </w:p>
    <w:p w14:paraId="131B3464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Алюминиевый подслой и предварительная ионная обработка используются для повышения адгезии и стабилизации межфазной границы между покрытием и подложкой.</w:t>
      </w:r>
    </w:p>
    <w:p w14:paraId="15B59FCC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4]</w:t>
      </w:r>
    </w:p>
    <w:p w14:paraId="73C002D0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Морфология поверхности исследовалась методом сканирующей электронной микроскопии.</w:t>
      </w:r>
    </w:p>
    <w:p w14:paraId="2838DE20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По полученным изображениям видно, что поверхность образцов в целом имеет преимущественно однородный характер. Протяжённые трещины и области отслоения покрытия не наблюдаются.</w:t>
      </w:r>
    </w:p>
    <w:p w14:paraId="28AE2F25" w14:textId="68478B1F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lastRenderedPageBreak/>
        <w:t>На отдельных образцах обнаружены локальные особенности: тёмные загрязнения, светлые точечные включения и контрастные участки. При этом съёмка поверхности сверху не позволяет однозначно судить о внутренней пористости слоя.</w:t>
      </w:r>
    </w:p>
    <w:p w14:paraId="3D5356CA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5]</w:t>
      </w:r>
    </w:p>
    <w:p w14:paraId="41354DA3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Элементный состав определялся методом </w:t>
      </w:r>
      <w:proofErr w:type="spellStart"/>
      <w:r w:rsidRPr="005B2932">
        <w:rPr>
          <w:sz w:val="28"/>
          <w:szCs w:val="28"/>
          <w:lang w:val="ru-RU"/>
        </w:rPr>
        <w:t>энергодисперсионного</w:t>
      </w:r>
      <w:proofErr w:type="spellEnd"/>
      <w:r w:rsidRPr="005B2932">
        <w:rPr>
          <w:sz w:val="28"/>
          <w:szCs w:val="28"/>
          <w:lang w:val="ru-RU"/>
        </w:rPr>
        <w:t xml:space="preserve"> рентгеновского микроанализа с использованием системы </w:t>
      </w:r>
      <w:r w:rsidRPr="005B2932">
        <w:rPr>
          <w:sz w:val="28"/>
          <w:szCs w:val="28"/>
        </w:rPr>
        <w:t>Bruker</w:t>
      </w:r>
      <w:r w:rsidRPr="005B2932">
        <w:rPr>
          <w:sz w:val="28"/>
          <w:szCs w:val="28"/>
          <w:lang w:val="ru-RU"/>
        </w:rPr>
        <w:t>.</w:t>
      </w:r>
    </w:p>
    <w:p w14:paraId="34F04048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На спектрах всех образцов подтверждено наличие основных элементов покрытия — бора и углерода. Также присутствует сигнал алюминия, связанный с влиянием подложки. Поскольку толщина покрытий составляет десятки и сотни нанометров, часть сигнала формируется не только в плёнке, но и в алюминиевом основании.</w:t>
      </w:r>
    </w:p>
    <w:p w14:paraId="7FDECA5E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На отдельных участках обнаружены железосодержащие включения.</w:t>
      </w:r>
    </w:p>
    <w:p w14:paraId="21066B8A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Кроме того, на спектрах присутствует слабый пик в области около трёх килоэлектронвольт. При автоматической обработке он был отнесён к серебру. Однако характеристические линии серебра и аргона расположены близко друг к другу, а аргон использовался при осаждении. Поэтому этот пик предположительно связан преимущественно с аргоном. Его наличие может указывать на включение рабочего газа в структуру плёнки, но само по себе не доказывает наличие пористости.</w:t>
      </w:r>
    </w:p>
    <w:p w14:paraId="0E585C7C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6]</w:t>
      </w:r>
    </w:p>
    <w:p w14:paraId="6EE0C23B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Для образца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-400 дополнительно было выполнено элементное картирование.</w:t>
      </w:r>
    </w:p>
    <w:p w14:paraId="3F8852AF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На картах распределения видно локальное железосодержащее включение. При этом в той же области сохраняются сигналы бора и углерода. Это позволяет предположить, что частица находилась на поверхности алюминиевой подложки до нанесения покрытия и была перекрыта слоем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 xml:space="preserve"> в процессе осаждения.</w:t>
      </w:r>
    </w:p>
    <w:p w14:paraId="6BD8EA26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Таким образом, выявленное включение, вероятнее всего, связано с исходным состоянием подложки, а не с разрушением покрытия после синтеза.</w:t>
      </w:r>
    </w:p>
    <w:p w14:paraId="7B9BA731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7]</w:t>
      </w:r>
    </w:p>
    <w:p w14:paraId="1D69F884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Толщина и особенности оптического строения покрытий исследовались методом спектральной </w:t>
      </w:r>
      <w:proofErr w:type="spellStart"/>
      <w:r w:rsidRPr="005B2932">
        <w:rPr>
          <w:sz w:val="28"/>
          <w:szCs w:val="28"/>
          <w:lang w:val="ru-RU"/>
        </w:rPr>
        <w:t>эллипсометрии</w:t>
      </w:r>
      <w:proofErr w:type="spellEnd"/>
      <w:r w:rsidRPr="005B2932">
        <w:rPr>
          <w:sz w:val="28"/>
          <w:szCs w:val="28"/>
          <w:lang w:val="ru-RU"/>
        </w:rPr>
        <w:t>.</w:t>
      </w:r>
    </w:p>
    <w:p w14:paraId="056FA138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На слайде приведено сопоставление экспериментальных данных и расчётных моделей для четырёх образцов.</w:t>
      </w:r>
    </w:p>
    <w:p w14:paraId="26889CD7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Анализ показал, что исследуемые структуры нельзя рассматривать как изолированные слои карбида бора. При моделировании необходимо учитывать влияние алюминиевой подложки, шероховатость поверхности и наличие переходной межфазной области </w:t>
      </w:r>
      <w:r w:rsidRPr="005B2932">
        <w:rPr>
          <w:sz w:val="28"/>
          <w:szCs w:val="28"/>
        </w:rPr>
        <w:t>Al</w:t>
      </w:r>
      <w:r w:rsidRPr="005B2932">
        <w:rPr>
          <w:sz w:val="28"/>
          <w:szCs w:val="28"/>
          <w:lang w:val="ru-RU"/>
        </w:rPr>
        <w:t>/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.</w:t>
      </w:r>
    </w:p>
    <w:p w14:paraId="61F5A01F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Наиболее согласованные с номинальными значениями результаты были получены для образцов толщиной 100 и 200 нанометров. Для образца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 xml:space="preserve">-100 толщина основного слоя составила около 91 нанометра. Для образца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-200 эффективная толщина покрытия с учётом смешанного слоя составила около 191 нанометра.</w:t>
      </w:r>
    </w:p>
    <w:p w14:paraId="71D168F1" w14:textId="77777777" w:rsid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rStyle w:val="text-token-text-primary"/>
          <w:sz w:val="28"/>
          <w:szCs w:val="28"/>
        </w:rPr>
      </w:pPr>
    </w:p>
    <w:p w14:paraId="270CB20F" w14:textId="1BB109CB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B2932">
        <w:rPr>
          <w:rStyle w:val="text-token-text-primary"/>
          <w:sz w:val="28"/>
          <w:szCs w:val="28"/>
        </w:rPr>
        <w:lastRenderedPageBreak/>
        <w:t>[</w:t>
      </w:r>
      <w:proofErr w:type="spellStart"/>
      <w:r w:rsidRPr="005B2932">
        <w:rPr>
          <w:rStyle w:val="text-token-text-primary"/>
          <w:sz w:val="28"/>
          <w:szCs w:val="28"/>
        </w:rPr>
        <w:t>Слайд</w:t>
      </w:r>
      <w:proofErr w:type="spellEnd"/>
      <w:r w:rsidRPr="005B2932">
        <w:rPr>
          <w:rStyle w:val="text-token-text-primary"/>
          <w:sz w:val="28"/>
          <w:szCs w:val="28"/>
        </w:rPr>
        <w:t xml:space="preserve"> 8]</w:t>
      </w:r>
    </w:p>
    <w:p w14:paraId="2D17B966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Дополнительно была выполнена расчётная оценка влияния толщины покрытия на вероятность захвата нейтрона.</w:t>
      </w:r>
    </w:p>
    <w:p w14:paraId="023050A1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Расчёт основан на экспоненциальном законе ослабления нейтронного потока в веществе. На графике приведены зависимости для природного и обогащённого бора. Вертикальными линиями отмечены толщины исследованных образцов: 50, 100, 200 и 400 нанометров.</w:t>
      </w:r>
    </w:p>
    <w:p w14:paraId="1291EA69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В данном диапазоне зависимости выглядят практически линейными. Это связано с тем, что исследуемые покрытия относятся к области малых толщин. В пределах серии увеличение толщины должно сопровождаться почти пропорциональным ростом вероятности захвата нейтрона.</w:t>
      </w:r>
    </w:p>
    <w:p w14:paraId="02DA8149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Следует подчеркнуть, что график отражает именно расчётную вероятность захвата, а не полную эффективность регистрации детектора. Для определения полной эффективности необходимы прямые нейтронные измерения и учёт выхода продуктов реакции из покрытия.</w:t>
      </w:r>
    </w:p>
    <w:p w14:paraId="139E8E69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rStyle w:val="text-token-text-primary"/>
          <w:sz w:val="28"/>
          <w:szCs w:val="28"/>
          <w:lang w:val="ru-RU"/>
        </w:rPr>
        <w:t>[Слайд 9]</w:t>
      </w:r>
    </w:p>
    <w:p w14:paraId="44CA1129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 xml:space="preserve">Таким образом, в работе изучена технологическая схема получения покрытий 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 xml:space="preserve"> методом магнетронного распыления на алюминиевых подложках.</w:t>
      </w:r>
    </w:p>
    <w:p w14:paraId="17013986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По данным СЭМ установлено, что поверхность образцов преимущественно однородна, протяжённые трещины и области отслоения не обнаружены.</w:t>
      </w:r>
    </w:p>
    <w:p w14:paraId="2508852D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ЭДС-анализ подтвердил наличие бора и углерода, а также показал влияние алюминиевой подложки и локальных включений на результаты измерений.</w:t>
      </w:r>
    </w:p>
    <w:p w14:paraId="52E9CB5D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proofErr w:type="spellStart"/>
      <w:r w:rsidRPr="005B2932">
        <w:rPr>
          <w:sz w:val="28"/>
          <w:szCs w:val="28"/>
          <w:lang w:val="ru-RU"/>
        </w:rPr>
        <w:t>Эллипсометрическое</w:t>
      </w:r>
      <w:proofErr w:type="spellEnd"/>
      <w:r w:rsidRPr="005B2932">
        <w:rPr>
          <w:sz w:val="28"/>
          <w:szCs w:val="28"/>
          <w:lang w:val="ru-RU"/>
        </w:rPr>
        <w:t xml:space="preserve"> моделирование показало необходимость учитывать многослойное строение системы </w:t>
      </w:r>
      <w:r w:rsidRPr="005B2932">
        <w:rPr>
          <w:sz w:val="28"/>
          <w:szCs w:val="28"/>
        </w:rPr>
        <w:t>Al</w:t>
      </w:r>
      <w:r w:rsidRPr="005B2932">
        <w:rPr>
          <w:sz w:val="28"/>
          <w:szCs w:val="28"/>
          <w:lang w:val="ru-RU"/>
        </w:rPr>
        <w:t>/</w:t>
      </w:r>
      <w:r w:rsidRPr="005B2932">
        <w:rPr>
          <w:sz w:val="28"/>
          <w:szCs w:val="28"/>
        </w:rPr>
        <w:t>B</w:t>
      </w:r>
      <w:r w:rsidRPr="005B2932">
        <w:rPr>
          <w:sz w:val="28"/>
          <w:szCs w:val="28"/>
          <w:lang w:val="ru-RU"/>
        </w:rPr>
        <w:t>₄</w:t>
      </w:r>
      <w:r w:rsidRPr="005B2932">
        <w:rPr>
          <w:sz w:val="28"/>
          <w:szCs w:val="28"/>
        </w:rPr>
        <w:t>C</w:t>
      </w:r>
      <w:r w:rsidRPr="005B2932">
        <w:rPr>
          <w:sz w:val="28"/>
          <w:szCs w:val="28"/>
          <w:lang w:val="ru-RU"/>
        </w:rPr>
        <w:t>. Наиболее согласованные результаты получены для образцов толщиной 100 и 200 нанометров.</w:t>
      </w:r>
    </w:p>
    <w:p w14:paraId="6E2B9B94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Расчётная оценка показала, что в исследуемом диапазоне вероятность захвата нейтронов возрастает практически пропорционально толщине покрытия.</w:t>
      </w:r>
    </w:p>
    <w:p w14:paraId="19FC7314" w14:textId="77777777" w:rsidR="005B2932" w:rsidRPr="005B2932" w:rsidRDefault="005B2932" w:rsidP="005B2932">
      <w:pPr>
        <w:pStyle w:val="isselectedend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5B2932">
        <w:rPr>
          <w:sz w:val="28"/>
          <w:szCs w:val="28"/>
          <w:lang w:val="ru-RU"/>
        </w:rPr>
        <w:t>Полученные результаты могут использоваться для предварительного отбора образцов и постановки дальнейших нейтронных испытаний.</w:t>
      </w:r>
    </w:p>
    <w:p w14:paraId="04D798EA" w14:textId="77777777" w:rsidR="005B2932" w:rsidRPr="005B2932" w:rsidRDefault="005B2932" w:rsidP="005B2932">
      <w:pPr>
        <w:pStyle w:val="a3"/>
        <w:spacing w:before="0" w:beforeAutospacing="0" w:after="0" w:afterAutospacing="0"/>
        <w:ind w:firstLine="709"/>
        <w:jc w:val="both"/>
        <w:rPr>
          <w:sz w:val="28"/>
          <w:szCs w:val="28"/>
        </w:rPr>
      </w:pPr>
      <w:proofErr w:type="spellStart"/>
      <w:r w:rsidRPr="005B2932">
        <w:rPr>
          <w:sz w:val="28"/>
          <w:szCs w:val="28"/>
        </w:rPr>
        <w:t>Спасибо</w:t>
      </w:r>
      <w:proofErr w:type="spellEnd"/>
      <w:r w:rsidRPr="005B2932">
        <w:rPr>
          <w:sz w:val="28"/>
          <w:szCs w:val="28"/>
        </w:rPr>
        <w:t xml:space="preserve"> </w:t>
      </w:r>
      <w:proofErr w:type="spellStart"/>
      <w:r w:rsidRPr="005B2932">
        <w:rPr>
          <w:sz w:val="28"/>
          <w:szCs w:val="28"/>
        </w:rPr>
        <w:t>за</w:t>
      </w:r>
      <w:proofErr w:type="spellEnd"/>
      <w:r w:rsidRPr="005B2932">
        <w:rPr>
          <w:sz w:val="28"/>
          <w:szCs w:val="28"/>
        </w:rPr>
        <w:t xml:space="preserve"> </w:t>
      </w:r>
      <w:proofErr w:type="spellStart"/>
      <w:r w:rsidRPr="005B2932">
        <w:rPr>
          <w:sz w:val="28"/>
          <w:szCs w:val="28"/>
        </w:rPr>
        <w:t>внимание</w:t>
      </w:r>
      <w:proofErr w:type="spellEnd"/>
      <w:r w:rsidRPr="005B2932">
        <w:rPr>
          <w:sz w:val="28"/>
          <w:szCs w:val="28"/>
        </w:rPr>
        <w:t>.</w:t>
      </w:r>
    </w:p>
    <w:p w14:paraId="2ADCA59B" w14:textId="77777777" w:rsidR="00007EBD" w:rsidRPr="005B2932" w:rsidRDefault="00007EBD" w:rsidP="005B2932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007EBD" w:rsidRPr="005B2932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F05"/>
    <w:rsid w:val="00007EBD"/>
    <w:rsid w:val="0025029A"/>
    <w:rsid w:val="00327F05"/>
    <w:rsid w:val="003B4E14"/>
    <w:rsid w:val="004A5504"/>
    <w:rsid w:val="005B2932"/>
    <w:rsid w:val="0082264C"/>
    <w:rsid w:val="008B2027"/>
    <w:rsid w:val="00BE6C83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4F1F6"/>
  <w15:chartTrackingRefBased/>
  <w15:docId w15:val="{B1C95DD8-2627-445B-BD9D-0AB7C332E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7F05"/>
    <w:pPr>
      <w:spacing w:before="100" w:beforeAutospacing="1" w:after="100" w:afterAutospacing="1" w:line="240" w:lineRule="auto"/>
    </w:pPr>
    <w:rPr>
      <w:rFonts w:eastAsia="Times New Roman"/>
      <w:lang w:eastAsia="de-DE"/>
    </w:rPr>
  </w:style>
  <w:style w:type="paragraph" w:customStyle="1" w:styleId="isselectedend">
    <w:name w:val="isselectedend"/>
    <w:basedOn w:val="a"/>
    <w:rsid w:val="005B2932"/>
    <w:pPr>
      <w:spacing w:before="100" w:beforeAutospacing="1" w:after="100" w:afterAutospacing="1" w:line="240" w:lineRule="auto"/>
    </w:pPr>
    <w:rPr>
      <w:rFonts w:eastAsia="Times New Roman"/>
      <w:lang w:eastAsia="de-DE"/>
    </w:rPr>
  </w:style>
  <w:style w:type="character" w:customStyle="1" w:styleId="text-token-text-primary">
    <w:name w:val="text-token-text-primary"/>
    <w:basedOn w:val="a0"/>
    <w:rsid w:val="005B2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900</Words>
  <Characters>5674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1</cp:revision>
  <dcterms:created xsi:type="dcterms:W3CDTF">2026-06-10T20:29:00Z</dcterms:created>
  <dcterms:modified xsi:type="dcterms:W3CDTF">2026-06-11T01:24:00Z</dcterms:modified>
</cp:coreProperties>
</file>