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02FA9" w14:textId="22078DC3" w:rsidR="00E2792F" w:rsidRPr="00E2792F" w:rsidRDefault="00E2792F" w:rsidP="00E2792F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2792F">
        <w:rPr>
          <w:rFonts w:ascii="Times New Roman" w:hAnsi="Times New Roman" w:cs="Times New Roman"/>
          <w:sz w:val="24"/>
          <w:szCs w:val="24"/>
        </w:rPr>
        <w:t>Лабораторная работа №5</w:t>
      </w:r>
      <w:r w:rsidRPr="00E2792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E2792F">
        <w:rPr>
          <w:rFonts w:ascii="Times New Roman" w:hAnsi="Times New Roman" w:cs="Times New Roman"/>
          <w:sz w:val="24"/>
          <w:szCs w:val="24"/>
        </w:rPr>
        <w:t>Определение кислотно-основных характеристик поверхности твердых веществ</w:t>
      </w:r>
      <w:r>
        <w:rPr>
          <w:rFonts w:ascii="Times New Roman" w:hAnsi="Times New Roman" w:cs="Times New Roman"/>
          <w:sz w:val="24"/>
          <w:szCs w:val="24"/>
        </w:rPr>
        <w:t>»</w:t>
      </w:r>
    </w:p>
    <w:p w14:paraId="21114FE5" w14:textId="77777777" w:rsidR="00E2792F" w:rsidRDefault="00E2792F" w:rsidP="00E2792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Цель работы: </w:t>
      </w:r>
      <w:r>
        <w:rPr>
          <w:rFonts w:ascii="Times New Roman" w:hAnsi="Times New Roman" w:cs="Times New Roman"/>
          <w:sz w:val="24"/>
          <w:szCs w:val="24"/>
        </w:rPr>
        <w:t>получить распределение кислотно-основных центров на поверхности исследуемого вещества спектрофотометрическим методом по адсорбции индикаторов из водной среды и рассчитать значение функции кислотности и основности.</w:t>
      </w:r>
    </w:p>
    <w:p w14:paraId="3032D471" w14:textId="77777777" w:rsidR="00E2792F" w:rsidRDefault="00E2792F" w:rsidP="00E2792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Приборы и материалы:</w:t>
      </w:r>
    </w:p>
    <w:p w14:paraId="290CBB22" w14:textId="77777777" w:rsidR="00E2792F" w:rsidRPr="00E2792F" w:rsidRDefault="00E2792F" w:rsidP="00E2792F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792F">
        <w:rPr>
          <w:rFonts w:ascii="Times New Roman" w:hAnsi="Times New Roman" w:cs="Times New Roman"/>
          <w:sz w:val="24"/>
          <w:szCs w:val="24"/>
        </w:rPr>
        <w:t>Силикагель марки ШСКГ,</w:t>
      </w:r>
    </w:p>
    <w:p w14:paraId="6873D726" w14:textId="77777777" w:rsidR="00E2792F" w:rsidRPr="00E2792F" w:rsidRDefault="00E2792F" w:rsidP="00E2792F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792F">
        <w:rPr>
          <w:rFonts w:ascii="Times New Roman" w:hAnsi="Times New Roman" w:cs="Times New Roman"/>
          <w:sz w:val="24"/>
          <w:szCs w:val="24"/>
        </w:rPr>
        <w:t>набор индикаторов из таблицы 1,</w:t>
      </w:r>
    </w:p>
    <w:p w14:paraId="3F11B7CD" w14:textId="77777777" w:rsidR="00E2792F" w:rsidRPr="00E2792F" w:rsidRDefault="00E2792F" w:rsidP="00E2792F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792F">
        <w:rPr>
          <w:rFonts w:ascii="Times New Roman" w:hAnsi="Times New Roman" w:cs="Times New Roman"/>
          <w:sz w:val="24"/>
          <w:szCs w:val="24"/>
        </w:rPr>
        <w:t>мерные пробирки,</w:t>
      </w:r>
    </w:p>
    <w:p w14:paraId="25C51C00" w14:textId="77777777" w:rsidR="00E2792F" w:rsidRPr="00E2792F" w:rsidRDefault="00E2792F" w:rsidP="00E2792F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792F">
        <w:rPr>
          <w:rFonts w:ascii="Times New Roman" w:hAnsi="Times New Roman" w:cs="Times New Roman"/>
          <w:sz w:val="24"/>
          <w:szCs w:val="24"/>
        </w:rPr>
        <w:t xml:space="preserve">спектрофотометр </w:t>
      </w:r>
      <w:r w:rsidRPr="00E2792F">
        <w:rPr>
          <w:rFonts w:ascii="Times New Roman" w:hAnsi="Times New Roman" w:cs="Times New Roman"/>
          <w:sz w:val="24"/>
          <w:szCs w:val="24"/>
          <w:lang w:val="en-US"/>
        </w:rPr>
        <w:t>u – Violet R</w:t>
      </w:r>
      <w:r w:rsidRPr="00E2792F">
        <w:rPr>
          <w:rFonts w:ascii="Times New Roman" w:hAnsi="Times New Roman" w:cs="Times New Roman"/>
          <w:sz w:val="24"/>
          <w:szCs w:val="24"/>
        </w:rPr>
        <w:t>.</w:t>
      </w:r>
    </w:p>
    <w:p w14:paraId="44EA8FF4" w14:textId="2CD8A217" w:rsidR="00007EBD" w:rsidRDefault="00E2792F" w:rsidP="00E2792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Основные т</w:t>
      </w:r>
      <w:r>
        <w:rPr>
          <w:rFonts w:ascii="Times New Roman" w:hAnsi="Times New Roman" w:cs="Times New Roman"/>
          <w:b/>
          <w:bCs/>
          <w:sz w:val="24"/>
          <w:szCs w:val="24"/>
        </w:rPr>
        <w:t>еоретические положения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AC6F83F" w14:textId="77777777" w:rsidR="00E2792F" w:rsidRPr="00E2792F" w:rsidRDefault="00E2792F" w:rsidP="00E2792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2792F">
        <w:rPr>
          <w:rFonts w:ascii="Times New Roman" w:hAnsi="Times New Roman" w:cs="Times New Roman"/>
          <w:sz w:val="24"/>
          <w:szCs w:val="24"/>
        </w:rPr>
        <w:t xml:space="preserve">Поверхность твёрдого тела обладает бифункциональными свойствами: она содержит как кислотные, так и основные центры двух типов — Льюиса и </w:t>
      </w:r>
      <w:proofErr w:type="spellStart"/>
      <w:r w:rsidRPr="00E2792F">
        <w:rPr>
          <w:rFonts w:ascii="Times New Roman" w:hAnsi="Times New Roman" w:cs="Times New Roman"/>
          <w:sz w:val="24"/>
          <w:szCs w:val="24"/>
        </w:rPr>
        <w:t>Бренстеда</w:t>
      </w:r>
      <w:proofErr w:type="spellEnd"/>
      <w:r w:rsidRPr="00E2792F">
        <w:rPr>
          <w:rFonts w:ascii="Times New Roman" w:hAnsi="Times New Roman" w:cs="Times New Roman"/>
          <w:sz w:val="24"/>
          <w:szCs w:val="24"/>
        </w:rPr>
        <w:t>.</w:t>
      </w:r>
    </w:p>
    <w:p w14:paraId="79009807" w14:textId="77777777" w:rsidR="00E2792F" w:rsidRPr="00E2792F" w:rsidRDefault="00E2792F" w:rsidP="00E2792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2792F">
        <w:rPr>
          <w:rFonts w:ascii="Times New Roman" w:hAnsi="Times New Roman" w:cs="Times New Roman"/>
          <w:sz w:val="24"/>
          <w:szCs w:val="24"/>
        </w:rPr>
        <w:t>Особенности центров:</w:t>
      </w:r>
    </w:p>
    <w:p w14:paraId="26D52F9E" w14:textId="7733238E" w:rsidR="00E2792F" w:rsidRPr="00E2792F" w:rsidRDefault="00E2792F" w:rsidP="00E2792F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792F">
        <w:rPr>
          <w:rFonts w:ascii="Times New Roman" w:hAnsi="Times New Roman" w:cs="Times New Roman"/>
          <w:sz w:val="24"/>
          <w:szCs w:val="24"/>
        </w:rPr>
        <w:t>Кислотный центр Льюиса — это структура, способная выступать в роли акцептора электронной пары.</w:t>
      </w:r>
    </w:p>
    <w:p w14:paraId="5B90899A" w14:textId="0300D34E" w:rsidR="00E2792F" w:rsidRPr="00E2792F" w:rsidRDefault="00E2792F" w:rsidP="00E2792F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792F">
        <w:rPr>
          <w:rFonts w:ascii="Times New Roman" w:hAnsi="Times New Roman" w:cs="Times New Roman"/>
          <w:sz w:val="24"/>
          <w:szCs w:val="24"/>
        </w:rPr>
        <w:t xml:space="preserve">Основный центр Льюиса, напротив, может отдавать электроны — его формируют </w:t>
      </w:r>
      <w:proofErr w:type="spellStart"/>
      <w:r w:rsidRPr="00E2792F">
        <w:rPr>
          <w:rFonts w:ascii="Times New Roman" w:hAnsi="Times New Roman" w:cs="Times New Roman"/>
          <w:sz w:val="24"/>
          <w:szCs w:val="24"/>
        </w:rPr>
        <w:t>двухэлектронные</w:t>
      </w:r>
      <w:proofErr w:type="spellEnd"/>
      <w:r w:rsidRPr="00E279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92F">
        <w:rPr>
          <w:rFonts w:ascii="Times New Roman" w:hAnsi="Times New Roman" w:cs="Times New Roman"/>
          <w:sz w:val="24"/>
          <w:szCs w:val="24"/>
        </w:rPr>
        <w:t>орбитали</w:t>
      </w:r>
      <w:proofErr w:type="spellEnd"/>
      <w:r w:rsidRPr="00E2792F">
        <w:rPr>
          <w:rFonts w:ascii="Times New Roman" w:hAnsi="Times New Roman" w:cs="Times New Roman"/>
          <w:sz w:val="24"/>
          <w:szCs w:val="24"/>
        </w:rPr>
        <w:t xml:space="preserve"> атома кислорода.</w:t>
      </w:r>
    </w:p>
    <w:p w14:paraId="52FBC48B" w14:textId="76321EB7" w:rsidR="00E2792F" w:rsidRPr="00E2792F" w:rsidRDefault="00E2792F" w:rsidP="00E2792F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792F">
        <w:rPr>
          <w:rFonts w:ascii="Times New Roman" w:hAnsi="Times New Roman" w:cs="Times New Roman"/>
          <w:sz w:val="24"/>
          <w:szCs w:val="24"/>
        </w:rPr>
        <w:t xml:space="preserve">Кислоты и основания </w:t>
      </w:r>
      <w:proofErr w:type="spellStart"/>
      <w:r w:rsidRPr="00E2792F">
        <w:rPr>
          <w:rFonts w:ascii="Times New Roman" w:hAnsi="Times New Roman" w:cs="Times New Roman"/>
          <w:sz w:val="24"/>
          <w:szCs w:val="24"/>
        </w:rPr>
        <w:t>Бренстеда</w:t>
      </w:r>
      <w:proofErr w:type="spellEnd"/>
      <w:r w:rsidRPr="00E2792F">
        <w:rPr>
          <w:rFonts w:ascii="Times New Roman" w:hAnsi="Times New Roman" w:cs="Times New Roman"/>
          <w:sz w:val="24"/>
          <w:szCs w:val="24"/>
        </w:rPr>
        <w:t xml:space="preserve"> возникают при адсорбции молекул воды на соответствующих центрах Льюиса.</w:t>
      </w:r>
    </w:p>
    <w:p w14:paraId="389959C7" w14:textId="77777777" w:rsidR="00E2792F" w:rsidRPr="00E2792F" w:rsidRDefault="00E2792F" w:rsidP="00E2792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2792F">
        <w:rPr>
          <w:rFonts w:ascii="Times New Roman" w:hAnsi="Times New Roman" w:cs="Times New Roman"/>
          <w:sz w:val="24"/>
          <w:szCs w:val="24"/>
        </w:rPr>
        <w:t>Под воздействием внешних факторов электронная система поверхности изменяется, что приводит к сдвигу кислотно‑основного равновесия. Это проявляется в изменении констант диссоциации поверхностных центров и перераспределении центров по степени кислотности.</w:t>
      </w:r>
    </w:p>
    <w:p w14:paraId="5D47863F" w14:textId="77777777" w:rsidR="00E2792F" w:rsidRPr="00E2792F" w:rsidRDefault="00E2792F" w:rsidP="00E2792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2792F">
        <w:rPr>
          <w:rFonts w:ascii="Times New Roman" w:hAnsi="Times New Roman" w:cs="Times New Roman"/>
          <w:sz w:val="24"/>
          <w:szCs w:val="24"/>
        </w:rPr>
        <w:t xml:space="preserve">Существует обратная зависимость между значением </w:t>
      </w:r>
      <w:proofErr w:type="spellStart"/>
      <w:r w:rsidRPr="00E2792F">
        <w:rPr>
          <w:rFonts w:ascii="Times New Roman" w:hAnsi="Times New Roman" w:cs="Times New Roman"/>
          <w:sz w:val="24"/>
          <w:szCs w:val="24"/>
        </w:rPr>
        <w:t>рK</w:t>
      </w:r>
      <w:r w:rsidRPr="00E2792F">
        <w:rPr>
          <w:rFonts w:ascii="Times New Roman" w:hAnsi="Times New Roman" w:cs="Times New Roman"/>
          <w:sz w:val="24"/>
          <w:szCs w:val="24"/>
          <w:vertAlign w:val="subscript"/>
        </w:rPr>
        <w:t>a</w:t>
      </w:r>
      <w:proofErr w:type="spellEnd"/>
      <w:r w:rsidRPr="00E2792F">
        <w:rPr>
          <w:rFonts w:ascii="Times New Roman" w:hAnsi="Times New Roman" w:cs="Times New Roman"/>
          <w:sz w:val="24"/>
          <w:szCs w:val="24"/>
        </w:rPr>
        <w:t xml:space="preserve"> и кислотностью поверхности по </w:t>
      </w:r>
      <w:proofErr w:type="spellStart"/>
      <w:r w:rsidRPr="00E2792F">
        <w:rPr>
          <w:rFonts w:ascii="Times New Roman" w:hAnsi="Times New Roman" w:cs="Times New Roman"/>
          <w:sz w:val="24"/>
          <w:szCs w:val="24"/>
        </w:rPr>
        <w:t>Бренстеду</w:t>
      </w:r>
      <w:proofErr w:type="spellEnd"/>
      <w:r w:rsidRPr="00E2792F">
        <w:rPr>
          <w:rFonts w:ascii="Times New Roman" w:hAnsi="Times New Roman" w:cs="Times New Roman"/>
          <w:sz w:val="24"/>
          <w:szCs w:val="24"/>
        </w:rPr>
        <w:t xml:space="preserve">: чем ниже </w:t>
      </w:r>
      <w:proofErr w:type="spellStart"/>
      <w:r w:rsidRPr="00E2792F">
        <w:rPr>
          <w:rFonts w:ascii="Times New Roman" w:hAnsi="Times New Roman" w:cs="Times New Roman"/>
          <w:sz w:val="24"/>
          <w:szCs w:val="24"/>
        </w:rPr>
        <w:t>рK</w:t>
      </w:r>
      <w:r w:rsidRPr="00E2792F">
        <w:rPr>
          <w:rFonts w:ascii="Times New Roman" w:hAnsi="Times New Roman" w:cs="Times New Roman"/>
          <w:sz w:val="24"/>
          <w:szCs w:val="24"/>
          <w:vertAlign w:val="subscript"/>
        </w:rPr>
        <w:t>a</w:t>
      </w:r>
      <w:proofErr w:type="spellEnd"/>
      <w:r w:rsidRPr="00E2792F">
        <w:rPr>
          <w:rFonts w:ascii="Times New Roman" w:hAnsi="Times New Roman" w:cs="Times New Roman"/>
          <w:sz w:val="24"/>
          <w:szCs w:val="24"/>
        </w:rPr>
        <w:t>, тем выше кислотность.</w:t>
      </w:r>
    </w:p>
    <w:p w14:paraId="484DB27B" w14:textId="77777777" w:rsidR="00E2792F" w:rsidRPr="00E2792F" w:rsidRDefault="00E2792F" w:rsidP="00E2792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2792F">
        <w:rPr>
          <w:rFonts w:ascii="Times New Roman" w:hAnsi="Times New Roman" w:cs="Times New Roman"/>
          <w:sz w:val="24"/>
          <w:szCs w:val="24"/>
        </w:rPr>
        <w:t xml:space="preserve">При гидратации центры Льюиса трансформируются в </w:t>
      </w:r>
      <w:proofErr w:type="spellStart"/>
      <w:r w:rsidRPr="00E2792F">
        <w:rPr>
          <w:rFonts w:ascii="Times New Roman" w:hAnsi="Times New Roman" w:cs="Times New Roman"/>
          <w:sz w:val="24"/>
          <w:szCs w:val="24"/>
        </w:rPr>
        <w:t>бренстедовские</w:t>
      </w:r>
      <w:proofErr w:type="spellEnd"/>
      <w:r w:rsidRPr="00E2792F">
        <w:rPr>
          <w:rFonts w:ascii="Times New Roman" w:hAnsi="Times New Roman" w:cs="Times New Roman"/>
          <w:sz w:val="24"/>
          <w:szCs w:val="24"/>
        </w:rPr>
        <w:t xml:space="preserve"> центры. Таким образом, в условиях гидратации поверхность твёрдого оксида представляет собой совокупность «закреплённых» кислот и оснований. Их количество можно зафиксировать методом адсорбции молекул‑зондов (кислот и оснований), а выразить — через значения </w:t>
      </w:r>
      <w:proofErr w:type="spellStart"/>
      <w:r w:rsidRPr="00E2792F">
        <w:rPr>
          <w:rFonts w:ascii="Times New Roman" w:hAnsi="Times New Roman" w:cs="Times New Roman"/>
          <w:sz w:val="24"/>
          <w:szCs w:val="24"/>
        </w:rPr>
        <w:t>рK</w:t>
      </w:r>
      <w:r w:rsidRPr="00E2792F">
        <w:rPr>
          <w:rFonts w:ascii="Times New Roman" w:hAnsi="Times New Roman" w:cs="Times New Roman"/>
          <w:sz w:val="24"/>
          <w:szCs w:val="24"/>
          <w:vertAlign w:val="subscript"/>
        </w:rPr>
        <w:t>a</w:t>
      </w:r>
      <w:proofErr w:type="spellEnd"/>
      <w:r w:rsidRPr="00E2792F">
        <w:rPr>
          <w:rFonts w:ascii="Times New Roman" w:hAnsi="Times New Roman" w:cs="Times New Roman"/>
          <w:sz w:val="24"/>
          <w:szCs w:val="24"/>
        </w:rPr>
        <w:t>, то есть в единицах шкалы pH.</w:t>
      </w:r>
    </w:p>
    <w:p w14:paraId="0A118AEC" w14:textId="77777777" w:rsidR="00E2792F" w:rsidRPr="00E2792F" w:rsidRDefault="00E2792F" w:rsidP="00E2792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2792F">
        <w:rPr>
          <w:rFonts w:ascii="Times New Roman" w:hAnsi="Times New Roman" w:cs="Times New Roman"/>
          <w:sz w:val="24"/>
          <w:szCs w:val="24"/>
        </w:rPr>
        <w:t xml:space="preserve">Наиболее распространённый способ изучения распределения кислотно‑основных центров на поверхности является индикаторный метод. Его принцип основан на селективной адсорбции кислотно‑основных индикаторов, имеющих заданные значения </w:t>
      </w:r>
      <w:proofErr w:type="spellStart"/>
      <w:r w:rsidRPr="00E2792F">
        <w:rPr>
          <w:rFonts w:ascii="Times New Roman" w:hAnsi="Times New Roman" w:cs="Times New Roman"/>
          <w:sz w:val="24"/>
          <w:szCs w:val="24"/>
        </w:rPr>
        <w:lastRenderedPageBreak/>
        <w:t>рK</w:t>
      </w:r>
      <w:r w:rsidRPr="00E2792F">
        <w:rPr>
          <w:rFonts w:ascii="Times New Roman" w:hAnsi="Times New Roman" w:cs="Times New Roman"/>
          <w:sz w:val="24"/>
          <w:szCs w:val="24"/>
          <w:vertAlign w:val="subscript"/>
        </w:rPr>
        <w:t>a</w:t>
      </w:r>
      <w:proofErr w:type="spellEnd"/>
      <w:r w:rsidRPr="00E2792F">
        <w:rPr>
          <w:rFonts w:ascii="Times New Roman" w:hAnsi="Times New Roman" w:cs="Times New Roman"/>
          <w:sz w:val="24"/>
          <w:szCs w:val="24"/>
        </w:rPr>
        <w:t xml:space="preserve">. При адсорбции на поверхности индикатор способен менять цвет — это служит мерой кислотности поверхности. </w:t>
      </w:r>
    </w:p>
    <w:p w14:paraId="14E9F409" w14:textId="7175D0BB" w:rsidR="00E2792F" w:rsidRDefault="00E2792F" w:rsidP="00E2792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792F">
        <w:rPr>
          <w:rFonts w:ascii="Times New Roman" w:hAnsi="Times New Roman" w:cs="Times New Roman"/>
          <w:sz w:val="24"/>
          <w:szCs w:val="24"/>
        </w:rPr>
        <w:t xml:space="preserve">Анализируя изменения цвета индикаторов с разными значениями </w:t>
      </w:r>
      <w:proofErr w:type="spellStart"/>
      <w:r w:rsidRPr="00E2792F">
        <w:rPr>
          <w:rFonts w:ascii="Times New Roman" w:hAnsi="Times New Roman" w:cs="Times New Roman"/>
          <w:sz w:val="24"/>
          <w:szCs w:val="24"/>
        </w:rPr>
        <w:t>рK</w:t>
      </w:r>
      <w:r w:rsidRPr="00E2792F">
        <w:rPr>
          <w:rFonts w:ascii="Times New Roman" w:hAnsi="Times New Roman" w:cs="Times New Roman"/>
          <w:sz w:val="24"/>
          <w:szCs w:val="24"/>
          <w:vertAlign w:val="subscript"/>
        </w:rPr>
        <w:t>a</w:t>
      </w:r>
      <w:proofErr w:type="spellEnd"/>
      <w:r w:rsidRPr="00E2792F">
        <w:rPr>
          <w:rFonts w:ascii="Times New Roman" w:hAnsi="Times New Roman" w:cs="Times New Roman"/>
          <w:sz w:val="24"/>
          <w:szCs w:val="24"/>
        </w:rPr>
        <w:t>, можно определить количество активных центров, соответствующих определённой кислотно-основной силе.</w:t>
      </w:r>
    </w:p>
    <w:p w14:paraId="4BB278A5" w14:textId="77777777" w:rsidR="00E2792F" w:rsidRDefault="00E2792F" w:rsidP="00E2792F">
      <w:pPr>
        <w:spacing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1 – Свойства некоторых индикаторов</w:t>
      </w:r>
    </w:p>
    <w:tbl>
      <w:tblPr>
        <w:tblW w:w="8015" w:type="dxa"/>
        <w:tblLook w:val="04A0" w:firstRow="1" w:lastRow="0" w:firstColumn="1" w:lastColumn="0" w:noHBand="0" w:noVBand="1"/>
      </w:tblPr>
      <w:tblGrid>
        <w:gridCol w:w="3397"/>
        <w:gridCol w:w="925"/>
        <w:gridCol w:w="960"/>
        <w:gridCol w:w="960"/>
        <w:gridCol w:w="1120"/>
        <w:gridCol w:w="1220"/>
      </w:tblGrid>
      <w:tr w:rsidR="00E2792F" w:rsidRPr="00002DAA" w14:paraId="16D899E1" w14:textId="77777777" w:rsidTr="00CB25BD">
        <w:trPr>
          <w:trHeight w:val="468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CB3BE5" w14:textId="77777777" w:rsidR="00E2792F" w:rsidRPr="00002DAA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02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Название индикатора</w:t>
            </w:r>
          </w:p>
        </w:tc>
        <w:tc>
          <w:tcPr>
            <w:tcW w:w="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C56D86" w14:textId="77777777" w:rsidR="00E2792F" w:rsidRPr="00002DAA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02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индекс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078365" w14:textId="77777777" w:rsidR="00E2792F" w:rsidRPr="00002DAA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02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рКа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48B21A" w14:textId="77777777" w:rsidR="00E2792F" w:rsidRPr="00002DAA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 w:eastAsia="ru-RU"/>
              </w:rPr>
              <w:t>max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нм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56563" w14:textId="77777777" w:rsidR="00E2792F" w:rsidRPr="00002DAA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 w:eastAsia="ru-RU"/>
              </w:rPr>
              <w:t>ind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моль/мл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6F6DEA" w14:textId="77777777" w:rsidR="00E2792F" w:rsidRPr="00002DAA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V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 w:eastAsia="ru-RU"/>
              </w:rPr>
              <w:t>ind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мл</w:t>
            </w:r>
          </w:p>
        </w:tc>
      </w:tr>
      <w:tr w:rsidR="00E2792F" w:rsidRPr="00002DAA" w14:paraId="6BE38C99" w14:textId="77777777" w:rsidTr="00CB25BD">
        <w:trPr>
          <w:trHeight w:val="285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94077C" w14:textId="77777777" w:rsidR="00E2792F" w:rsidRPr="00002DAA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002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Индиго-кармин</w:t>
            </w:r>
            <w:proofErr w:type="gramEnd"/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EFE31B" w14:textId="77777777" w:rsidR="00E2792F" w:rsidRPr="00002DAA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02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ИК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E87274" w14:textId="77777777" w:rsidR="00E2792F" w:rsidRPr="00002DAA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02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12,8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7B9858" w14:textId="77777777" w:rsidR="00E2792F" w:rsidRPr="00002DAA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610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903764" w14:textId="77777777" w:rsidR="00E2792F" w:rsidRPr="00002DAA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0,15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A9E5DA" w14:textId="77777777" w:rsidR="00E2792F" w:rsidRPr="00002DAA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</w:t>
            </w:r>
          </w:p>
        </w:tc>
      </w:tr>
      <w:tr w:rsidR="00E2792F" w:rsidRPr="00002DAA" w14:paraId="11D49B94" w14:textId="77777777" w:rsidTr="00CB25BD">
        <w:trPr>
          <w:trHeight w:val="312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95B076" w14:textId="77777777" w:rsidR="00E2792F" w:rsidRPr="00002DAA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Нильский голубой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9F617A" w14:textId="77777777" w:rsidR="00E2792F" w:rsidRPr="00002DAA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02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НГ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6B7185" w14:textId="77777777" w:rsidR="00E2792F" w:rsidRPr="00002DAA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EEB9E3" w14:textId="77777777" w:rsidR="00E2792F" w:rsidRPr="00002DAA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640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5DE048" w14:textId="77777777" w:rsidR="00E2792F" w:rsidRPr="00002DAA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0,29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71E115" w14:textId="77777777" w:rsidR="00E2792F" w:rsidRPr="00002DAA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</w:t>
            </w:r>
          </w:p>
        </w:tc>
      </w:tr>
      <w:tr w:rsidR="00E2792F" w:rsidRPr="00002DAA" w14:paraId="32AE01E1" w14:textId="77777777" w:rsidTr="00CB25BD">
        <w:trPr>
          <w:trHeight w:val="312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61320B" w14:textId="77777777" w:rsidR="00E2792F" w:rsidRPr="00002DAA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Бромтимоловый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синий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C98917" w14:textId="77777777" w:rsidR="00E2792F" w:rsidRPr="00002DAA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02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БТС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9D20EE" w14:textId="77777777" w:rsidR="00E2792F" w:rsidRPr="00002DAA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0521AD" w14:textId="77777777" w:rsidR="00E2792F" w:rsidRPr="00002DAA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430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E9D42D" w14:textId="77777777" w:rsidR="00E2792F" w:rsidRPr="00002DAA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7D6C3C" w14:textId="77777777" w:rsidR="00E2792F" w:rsidRPr="00002DAA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</w:t>
            </w:r>
          </w:p>
        </w:tc>
      </w:tr>
      <w:tr w:rsidR="00E2792F" w:rsidRPr="00002DAA" w14:paraId="2946DFE0" w14:textId="77777777" w:rsidTr="00CB25BD">
        <w:trPr>
          <w:trHeight w:val="312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8AE489" w14:textId="77777777" w:rsidR="00E2792F" w:rsidRPr="00002DAA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Метиловый красный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6E46C4" w14:textId="77777777" w:rsidR="00E2792F" w:rsidRPr="00002DAA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02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МК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9DB5BB" w14:textId="77777777" w:rsidR="00E2792F" w:rsidRPr="00002DAA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518951" w14:textId="77777777" w:rsidR="00E2792F" w:rsidRPr="00002DAA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430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0DE614" w14:textId="77777777" w:rsidR="00E2792F" w:rsidRPr="00002DAA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407EA2" w14:textId="77777777" w:rsidR="00E2792F" w:rsidRPr="00002DAA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</w:t>
            </w:r>
          </w:p>
        </w:tc>
      </w:tr>
      <w:tr w:rsidR="00E2792F" w:rsidRPr="00002DAA" w14:paraId="242B9121" w14:textId="77777777" w:rsidTr="00CB25BD">
        <w:trPr>
          <w:trHeight w:val="312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0751BE" w14:textId="77777777" w:rsidR="00E2792F" w:rsidRPr="00002DAA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Метиловый оранжевый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D7B6CB" w14:textId="77777777" w:rsidR="00E2792F" w:rsidRPr="00002DAA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02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8C829B" w14:textId="77777777" w:rsidR="00E2792F" w:rsidRPr="00002DAA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7B4DB3" w14:textId="77777777" w:rsidR="00E2792F" w:rsidRPr="00002DAA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460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09A41" w14:textId="77777777" w:rsidR="00E2792F" w:rsidRPr="00002DAA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0A7B5D" w14:textId="77777777" w:rsidR="00E2792F" w:rsidRPr="00002DAA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</w:t>
            </w:r>
          </w:p>
        </w:tc>
      </w:tr>
      <w:tr w:rsidR="00E2792F" w:rsidRPr="00002DAA" w14:paraId="0CC05FDA" w14:textId="77777777" w:rsidTr="00CB25BD">
        <w:trPr>
          <w:trHeight w:val="312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6B5982" w14:textId="77777777" w:rsidR="00E2792F" w:rsidRPr="00002DAA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Фуксин (основание)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55A4BF" w14:textId="77777777" w:rsidR="00E2792F" w:rsidRPr="00002DAA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02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ФН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9E0908" w14:textId="77777777" w:rsidR="00E2792F" w:rsidRPr="00002DAA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CD42FD" w14:textId="77777777" w:rsidR="00E2792F" w:rsidRPr="00002DAA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540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8F9789" w14:textId="77777777" w:rsidR="00E2792F" w:rsidRPr="00002DAA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0,16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B54261" w14:textId="77777777" w:rsidR="00E2792F" w:rsidRPr="00002DAA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</w:t>
            </w:r>
          </w:p>
        </w:tc>
      </w:tr>
      <w:tr w:rsidR="00E2792F" w:rsidRPr="00002DAA" w14:paraId="5BDFC13D" w14:textId="77777777" w:rsidTr="00CB25BD">
        <w:trPr>
          <w:trHeight w:val="312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29F527" w14:textId="77777777" w:rsidR="00E2792F" w:rsidRPr="00002DAA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Бриллиантовый зеленый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AEB389" w14:textId="77777777" w:rsidR="00E2792F" w:rsidRPr="00002DAA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</w:t>
            </w:r>
            <w:r w:rsidRPr="00002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2A447F" w14:textId="77777777" w:rsidR="00E2792F" w:rsidRPr="00002DAA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9278AD" w14:textId="77777777" w:rsidR="00E2792F" w:rsidRPr="00002DAA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610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2C7C0F" w14:textId="77777777" w:rsidR="00E2792F" w:rsidRPr="00002DAA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0,18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A03360" w14:textId="77777777" w:rsidR="00E2792F" w:rsidRPr="00002DAA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</w:t>
            </w:r>
          </w:p>
        </w:tc>
      </w:tr>
      <w:tr w:rsidR="00E2792F" w:rsidRPr="00002DAA" w14:paraId="6E2B69F4" w14:textId="77777777" w:rsidTr="00CB25BD">
        <w:trPr>
          <w:trHeight w:val="312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05396C" w14:textId="77777777" w:rsidR="00E2792F" w:rsidRPr="00002DAA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Кристаллический фиолетовый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78AC2B" w14:textId="77777777" w:rsidR="00E2792F" w:rsidRPr="00002DAA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02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КФ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1AF7B" w14:textId="77777777" w:rsidR="00E2792F" w:rsidRPr="00002DAA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65F4EC" w14:textId="77777777" w:rsidR="00E2792F" w:rsidRPr="00002DAA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580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1E982" w14:textId="77777777" w:rsidR="00E2792F" w:rsidRPr="00002DAA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0,15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181006" w14:textId="77777777" w:rsidR="00E2792F" w:rsidRPr="00002DAA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</w:t>
            </w:r>
          </w:p>
        </w:tc>
      </w:tr>
    </w:tbl>
    <w:p w14:paraId="51393267" w14:textId="116F7DBC" w:rsidR="00E2792F" w:rsidRDefault="00E2792F" w:rsidP="00E2792F">
      <w:pPr>
        <w:spacing w:after="0" w:line="360" w:lineRule="auto"/>
        <w:ind w:left="708" w:firstLine="1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>Обработка результатов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F9CB819" w14:textId="77777777" w:rsidR="00E2792F" w:rsidRDefault="00E2792F" w:rsidP="00E2792F">
      <w:pPr>
        <w:spacing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2 – Экспериментальные данные</w:t>
      </w:r>
    </w:p>
    <w:tbl>
      <w:tblPr>
        <w:tblW w:w="8120" w:type="dxa"/>
        <w:tblLook w:val="04A0" w:firstRow="1" w:lastRow="0" w:firstColumn="1" w:lastColumn="0" w:noHBand="0" w:noVBand="1"/>
      </w:tblPr>
      <w:tblGrid>
        <w:gridCol w:w="603"/>
        <w:gridCol w:w="1097"/>
        <w:gridCol w:w="960"/>
        <w:gridCol w:w="960"/>
        <w:gridCol w:w="1300"/>
        <w:gridCol w:w="1160"/>
        <w:gridCol w:w="1080"/>
        <w:gridCol w:w="960"/>
      </w:tblGrid>
      <w:tr w:rsidR="00E2792F" w:rsidRPr="00D43C11" w14:paraId="5996BB3A" w14:textId="77777777" w:rsidTr="00CB25BD">
        <w:trPr>
          <w:trHeight w:val="468"/>
        </w:trPr>
        <w:tc>
          <w:tcPr>
            <w:tcW w:w="1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A4F824D" w14:textId="77777777" w:rsidR="00E2792F" w:rsidRPr="00E2792F" w:rsidRDefault="00E2792F" w:rsidP="00CB25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Индикатор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46C17B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proofErr w:type="spellStart"/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рК</w:t>
            </w: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subscript"/>
                <w:lang w:eastAsia="ru-RU"/>
              </w:rPr>
              <w:t>а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7948AD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m</w:t>
            </w: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subscript"/>
                <w:lang w:eastAsia="ru-RU"/>
              </w:rPr>
              <w:t>1</w:t>
            </w: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, мг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E5E925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m</w:t>
            </w: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subscript"/>
                <w:lang w:eastAsia="ru-RU"/>
              </w:rPr>
              <w:t>2</w:t>
            </w: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, мг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2DF12F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Т</w:t>
            </w: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subscript"/>
                <w:lang w:eastAsia="ru-RU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8A4926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Т</w:t>
            </w: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subscript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253609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Т</w:t>
            </w: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subscript"/>
                <w:lang w:eastAsia="ru-RU"/>
              </w:rPr>
              <w:t>2</w:t>
            </w:r>
          </w:p>
        </w:tc>
      </w:tr>
      <w:tr w:rsidR="00E2792F" w:rsidRPr="00D43C11" w14:paraId="1F69D488" w14:textId="77777777" w:rsidTr="00CB25BD">
        <w:trPr>
          <w:trHeight w:val="456"/>
        </w:trPr>
        <w:tc>
          <w:tcPr>
            <w:tcW w:w="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99969C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1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339FC9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ИК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85B5F0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12,8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A1A2D0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20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EFCB3F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21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5506E2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85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F5BB29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76,6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19CA11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76,3</w:t>
            </w:r>
          </w:p>
        </w:tc>
      </w:tr>
      <w:tr w:rsidR="00E2792F" w:rsidRPr="00D43C11" w14:paraId="3715C206" w14:textId="77777777" w:rsidTr="00CB25BD">
        <w:trPr>
          <w:trHeight w:val="312"/>
        </w:trPr>
        <w:tc>
          <w:tcPr>
            <w:tcW w:w="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0B1D87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2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89FC1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НГ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95958A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10,5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96B497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21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9AB615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482A6F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19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909FE5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74,9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2D72D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80,5</w:t>
            </w:r>
          </w:p>
        </w:tc>
      </w:tr>
      <w:tr w:rsidR="00E2792F" w:rsidRPr="00D43C11" w14:paraId="792B793E" w14:textId="77777777" w:rsidTr="00CB25BD">
        <w:trPr>
          <w:trHeight w:val="312"/>
        </w:trPr>
        <w:tc>
          <w:tcPr>
            <w:tcW w:w="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C13080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3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6E93EB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БТС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2D43AF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7,3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8A7BF2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20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C1D7EB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22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852684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36,5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236F1E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56,6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6AB195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56,4</w:t>
            </w:r>
          </w:p>
        </w:tc>
      </w:tr>
      <w:tr w:rsidR="00E2792F" w:rsidRPr="00D43C11" w14:paraId="7654EDD5" w14:textId="77777777" w:rsidTr="00CB25BD">
        <w:trPr>
          <w:trHeight w:val="312"/>
        </w:trPr>
        <w:tc>
          <w:tcPr>
            <w:tcW w:w="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D730BE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4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75AE2F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МК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A80DA6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208B91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22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9739F5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23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971E48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93,5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71856C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187532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76,2</w:t>
            </w:r>
          </w:p>
        </w:tc>
      </w:tr>
      <w:tr w:rsidR="00E2792F" w:rsidRPr="00D43C11" w14:paraId="1A80C5B3" w14:textId="77777777" w:rsidTr="00CB25BD">
        <w:trPr>
          <w:trHeight w:val="312"/>
        </w:trPr>
        <w:tc>
          <w:tcPr>
            <w:tcW w:w="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34E915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5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DEA944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МО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1058FD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3,5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32C018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21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003F00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7D9427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23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A97C00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27,3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6F20D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29,8</w:t>
            </w:r>
          </w:p>
        </w:tc>
      </w:tr>
      <w:tr w:rsidR="00E2792F" w:rsidRPr="00D43C11" w14:paraId="435936D2" w14:textId="77777777" w:rsidTr="00CB25BD">
        <w:trPr>
          <w:trHeight w:val="312"/>
        </w:trPr>
        <w:tc>
          <w:tcPr>
            <w:tcW w:w="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2D29EF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6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AEA1B9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ФН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EFF44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2,1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138B00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20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C85ACA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22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4FBE6A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47,5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48C9D7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35,6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741513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39,9</w:t>
            </w:r>
          </w:p>
        </w:tc>
      </w:tr>
      <w:tr w:rsidR="00E2792F" w:rsidRPr="00D43C11" w14:paraId="3EB4B8F1" w14:textId="77777777" w:rsidTr="00CB25BD">
        <w:trPr>
          <w:trHeight w:val="312"/>
        </w:trPr>
        <w:tc>
          <w:tcPr>
            <w:tcW w:w="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98E39D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7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0E943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ВЗ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E1600B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1,3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2E6262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21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812204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21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02DA2E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97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78F1AD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47,3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DC40F5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39,7</w:t>
            </w:r>
          </w:p>
        </w:tc>
      </w:tr>
      <w:tr w:rsidR="00E2792F" w:rsidRPr="00D43C11" w14:paraId="2CCFA25C" w14:textId="77777777" w:rsidTr="00CB25BD">
        <w:trPr>
          <w:trHeight w:val="312"/>
        </w:trPr>
        <w:tc>
          <w:tcPr>
            <w:tcW w:w="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27C965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8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660B59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КФ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CE1F22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0,8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8D5856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22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828DD2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877C11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50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AF7CA8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42,1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4E02D6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51,3</w:t>
            </w:r>
          </w:p>
        </w:tc>
      </w:tr>
    </w:tbl>
    <w:p w14:paraId="36464B42" w14:textId="77777777" w:rsidR="00E2792F" w:rsidRDefault="00E2792F" w:rsidP="00E2792F">
      <w:pPr>
        <w:spacing w:after="0"/>
        <w:ind w:firstLine="709"/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Количество центров адсорбции рассчитали по формуле (2):</w:t>
      </w:r>
    </w:p>
    <w:p w14:paraId="41C1F121" w14:textId="1D2C962D" w:rsidR="00E2792F" w:rsidRPr="002D2727" w:rsidRDefault="00E2792F" w:rsidP="00E2792F">
      <w:pPr>
        <w:spacing w:after="0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                                        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q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ind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ind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0</m:t>
                  </m:r>
                </m:sub>
              </m:sSub>
            </m:den>
          </m:f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±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,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                                              (</m:t>
          </m:r>
          <m:r>
            <w:rPr>
              <w:rFonts w:ascii="Cambria Math" w:hAnsi="Cambria Math" w:cs="Times New Roman"/>
              <w:sz w:val="24"/>
              <w:szCs w:val="24"/>
            </w:rPr>
            <m:t>1</m:t>
          </m:r>
          <m:r>
            <w:rPr>
              <w:rFonts w:ascii="Cambria Math" w:hAnsi="Cambria Math" w:cs="Times New Roman"/>
              <w:sz w:val="24"/>
              <w:szCs w:val="24"/>
            </w:rPr>
            <m:t>)</m:t>
          </m:r>
        </m:oMath>
      </m:oMathPara>
    </w:p>
    <w:p w14:paraId="484C43C6" w14:textId="77777777" w:rsidR="00E2792F" w:rsidRDefault="00E2792F" w:rsidP="00E2792F">
      <w:pPr>
        <w:spacing w:after="0"/>
        <w:ind w:firstLine="709"/>
        <w:contextualSpacing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Знак «+» советует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сонаправленному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изменению пропускания, знак «–» –разнонаправленному. </w:t>
      </w:r>
    </w:p>
    <w:p w14:paraId="30D0D307" w14:textId="77777777" w:rsidR="00E2792F" w:rsidRDefault="00E2792F" w:rsidP="00E2792F">
      <w:pPr>
        <w:spacing w:after="0"/>
        <w:ind w:firstLine="709"/>
        <w:contextualSpacing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Для индикатора ИК:</w:t>
      </w:r>
    </w:p>
    <w:p w14:paraId="563C940D" w14:textId="77777777" w:rsidR="00E2792F" w:rsidRPr="002D2727" w:rsidRDefault="00E2792F" w:rsidP="00E2792F">
      <w:pPr>
        <w:spacing w:after="0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q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0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,15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∙0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,5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0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,071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0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,071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-0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,116</m:t>
                      </m:r>
                    </m:e>
                  </m:d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0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,071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-0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,117</m:t>
                      </m:r>
                    </m:e>
                  </m:d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0,00003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ммоль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г</m:t>
              </m:r>
            </m:den>
          </m:f>
        </m:oMath>
      </m:oMathPara>
    </w:p>
    <w:p w14:paraId="103B2968" w14:textId="77777777" w:rsidR="00E2792F" w:rsidRDefault="00E2792F">
      <w:pPr>
        <w:spacing w:after="160" w:line="259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br w:type="page"/>
      </w:r>
    </w:p>
    <w:p w14:paraId="6D088EC3" w14:textId="5289EC4D" w:rsidR="00E2792F" w:rsidRDefault="00E2792F" w:rsidP="00E2792F">
      <w:pPr>
        <w:spacing w:after="0"/>
        <w:ind w:firstLine="709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lastRenderedPageBreak/>
        <w:t>Все результаты расчетов представили в таблице 3.</w:t>
      </w:r>
    </w:p>
    <w:p w14:paraId="7C59B916" w14:textId="77777777" w:rsidR="00E2792F" w:rsidRDefault="00E2792F" w:rsidP="00E2792F">
      <w:pPr>
        <w:spacing w:after="0"/>
        <w:ind w:firstLine="709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191E70B7" w14:textId="77777777" w:rsidR="00E2792F" w:rsidRDefault="00E2792F" w:rsidP="00E2792F">
      <w:pPr>
        <w:spacing w:after="0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Таблица 3 – Результаты расчетов</w:t>
      </w:r>
    </w:p>
    <w:tbl>
      <w:tblPr>
        <w:tblW w:w="8500" w:type="dxa"/>
        <w:tblLook w:val="04A0" w:firstRow="1" w:lastRow="0" w:firstColumn="1" w:lastColumn="0" w:noHBand="0" w:noVBand="1"/>
      </w:tblPr>
      <w:tblGrid>
        <w:gridCol w:w="1337"/>
        <w:gridCol w:w="756"/>
        <w:gridCol w:w="756"/>
        <w:gridCol w:w="756"/>
        <w:gridCol w:w="1056"/>
        <w:gridCol w:w="644"/>
        <w:gridCol w:w="996"/>
        <w:gridCol w:w="2199"/>
      </w:tblGrid>
      <w:tr w:rsidR="00E2792F" w:rsidRPr="00AB592D" w14:paraId="6AD8474C" w14:textId="77777777" w:rsidTr="00CB25BD">
        <w:trPr>
          <w:trHeight w:val="307"/>
        </w:trPr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D6C95D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Индикатор</w:t>
            </w:r>
          </w:p>
        </w:tc>
        <w:tc>
          <w:tcPr>
            <w:tcW w:w="7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F7C70F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D</w:t>
            </w: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subscript"/>
                <w:lang w:eastAsia="ru-RU"/>
              </w:rPr>
              <w:t>0</w:t>
            </w:r>
          </w:p>
        </w:tc>
        <w:tc>
          <w:tcPr>
            <w:tcW w:w="7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9C4EDD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D</w:t>
            </w: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subscript"/>
                <w:lang w:eastAsia="ru-RU"/>
              </w:rPr>
              <w:t>1</w:t>
            </w:r>
          </w:p>
        </w:tc>
        <w:tc>
          <w:tcPr>
            <w:tcW w:w="7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8A218B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D</w:t>
            </w: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subscript"/>
                <w:lang w:eastAsia="ru-RU"/>
              </w:rPr>
              <w:t>2</w:t>
            </w:r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35A03F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C, моль/мл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51670D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V, мл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EB5994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proofErr w:type="spellStart"/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q</w:t>
            </w: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subscript"/>
                <w:lang w:eastAsia="ru-RU"/>
              </w:rPr>
              <w:t>рКа</w:t>
            </w:r>
            <w:proofErr w:type="spellEnd"/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, </w:t>
            </w:r>
            <w:r w:rsidRPr="00E2792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моль/г</w:t>
            </w:r>
          </w:p>
        </w:tc>
        <w:tc>
          <w:tcPr>
            <w:tcW w:w="21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D86645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proofErr w:type="spellStart"/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q</w:t>
            </w: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subscript"/>
                <w:lang w:eastAsia="ru-RU"/>
              </w:rPr>
              <w:t>рКа</w:t>
            </w:r>
            <w:proofErr w:type="spellEnd"/>
            <w:r w:rsidRPr="00E2792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, ммоль/г</w:t>
            </w:r>
          </w:p>
        </w:tc>
      </w:tr>
      <w:tr w:rsidR="00E2792F" w:rsidRPr="00AB592D" w14:paraId="7D9604F0" w14:textId="77777777" w:rsidTr="00CB25BD">
        <w:trPr>
          <w:trHeight w:val="307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340D79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ИК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F58CF0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0,071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2C8C96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0,116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1A0F37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0,117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C677B6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0,150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EB6CF0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0,5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F1BB6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0,00003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96FDDE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0,03</w:t>
            </w:r>
          </w:p>
        </w:tc>
      </w:tr>
      <w:tr w:rsidR="00E2792F" w:rsidRPr="00AB592D" w14:paraId="11D4DA57" w14:textId="77777777" w:rsidTr="00CB25BD">
        <w:trPr>
          <w:trHeight w:val="307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485C7A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НГ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10A6BD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0,721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D9623A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0,126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99FC14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0,094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6836CC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0,285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B1E68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0,5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9A3DA5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0,00059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3BAFD2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0,59</w:t>
            </w:r>
          </w:p>
        </w:tc>
      </w:tr>
      <w:tr w:rsidR="00E2792F" w:rsidRPr="00AB592D" w14:paraId="29A5C955" w14:textId="77777777" w:rsidTr="00CB25BD">
        <w:trPr>
          <w:trHeight w:val="307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C90749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БТС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94088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0,438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9D600D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0,247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7A8080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0,249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0AE08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0,200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412239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0,5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CAE330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0,00021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7A734B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0,21</w:t>
            </w:r>
          </w:p>
        </w:tc>
      </w:tr>
      <w:tr w:rsidR="00E2792F" w:rsidRPr="00AB592D" w14:paraId="349695BB" w14:textId="77777777" w:rsidTr="00CB25BD">
        <w:trPr>
          <w:trHeight w:val="307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29877C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МК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3F966F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0,029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AF9DD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0,149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D06F73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0,118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505249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0,200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71AD9C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0,5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1E1383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0,00538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DF5A44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5,38</w:t>
            </w:r>
          </w:p>
        </w:tc>
      </w:tr>
      <w:tr w:rsidR="00E2792F" w:rsidRPr="00AB592D" w14:paraId="4229EE07" w14:textId="77777777" w:rsidTr="00CB25BD">
        <w:trPr>
          <w:trHeight w:val="307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FAF529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МО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9BF1A6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0,638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923948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0,564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AC600A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0,526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ED3427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0,296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F691CF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0,5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44A3A4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0,00048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46A4B8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0,48</w:t>
            </w:r>
          </w:p>
        </w:tc>
      </w:tr>
      <w:tr w:rsidR="00E2792F" w:rsidRPr="00AB592D" w14:paraId="40989BC5" w14:textId="77777777" w:rsidTr="00CB25BD">
        <w:trPr>
          <w:trHeight w:val="307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D4B72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ФН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644A80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0,323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8AF489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0,449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D3CBC3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0,399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CE72F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0,157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7DD84E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0,3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E00746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0,00041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83C13A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0,41</w:t>
            </w:r>
          </w:p>
        </w:tc>
      </w:tr>
      <w:tr w:rsidR="00E2792F" w:rsidRPr="00AB592D" w14:paraId="3206446E" w14:textId="77777777" w:rsidTr="00CB25BD">
        <w:trPr>
          <w:trHeight w:val="307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9CBC45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ВЗ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EF6587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0,013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6CA4E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0,325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5BD924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0,401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A62CDE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0,182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1424FB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0,6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DB6CFB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0,02990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F08AB7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29,90</w:t>
            </w:r>
          </w:p>
        </w:tc>
      </w:tr>
      <w:tr w:rsidR="00E2792F" w:rsidRPr="00AB592D" w14:paraId="1AFC5724" w14:textId="77777777" w:rsidTr="00CB25BD">
        <w:trPr>
          <w:trHeight w:val="307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7C0169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КФ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4EDDA0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0,301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994413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0,376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D57DF9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0,290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4E70AE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0,150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459807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0,2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E6360F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0,00039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B4BE7B" w14:textId="77777777" w:rsidR="00E2792F" w:rsidRPr="00E2792F" w:rsidRDefault="00E2792F" w:rsidP="00CB2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E2792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0,39</w:t>
            </w:r>
          </w:p>
        </w:tc>
      </w:tr>
    </w:tbl>
    <w:p w14:paraId="2FAC059B" w14:textId="77777777" w:rsidR="00E2792F" w:rsidRDefault="00E2792F" w:rsidP="00E2792F">
      <w:pPr>
        <w:spacing w:after="0"/>
        <w:ind w:firstLine="709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Исходя из расчётных данных построили кривую распределения центров адсорбции (рис. 5.1).</w:t>
      </w:r>
    </w:p>
    <w:p w14:paraId="755FDCAE" w14:textId="77777777" w:rsidR="00E2792F" w:rsidRDefault="00E2792F" w:rsidP="00E2792F">
      <w:pPr>
        <w:spacing w:after="0"/>
        <w:contextualSpacing/>
        <w:jc w:val="center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68A0797C" wp14:editId="6F61853A">
            <wp:extent cx="5626100" cy="2851150"/>
            <wp:effectExtent l="0" t="0" r="12700" b="6350"/>
            <wp:docPr id="63706993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FEEFF319-7EFD-C8AA-502E-97814EA0294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79A1E316" w14:textId="77777777" w:rsidR="00E2792F" w:rsidRDefault="00E2792F" w:rsidP="00E2792F">
      <w:pPr>
        <w:spacing w:after="0"/>
        <w:contextualSpacing/>
        <w:jc w:val="center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Рисунок 1 – Распределение центров адсорбции</w:t>
      </w:r>
    </w:p>
    <w:p w14:paraId="5291C824" w14:textId="77777777" w:rsidR="00E2792F" w:rsidRDefault="00E2792F" w:rsidP="00E2792F">
      <w:pPr>
        <w:spacing w:after="0"/>
        <w:ind w:firstLine="709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3DB7DE60" w14:textId="77777777" w:rsidR="00E2792F" w:rsidRDefault="00E2792F" w:rsidP="00E2792F">
      <w:pPr>
        <w:spacing w:after="0"/>
        <w:ind w:firstLine="709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Рассчитали меру кислотности поверхности по формуле (3):</w:t>
      </w:r>
    </w:p>
    <w:p w14:paraId="51DAE5C9" w14:textId="1F574714" w:rsidR="00E2792F" w:rsidRPr="00C14B50" w:rsidRDefault="00E2792F" w:rsidP="00E2792F">
      <w:pPr>
        <w:spacing w:after="0"/>
        <w:ind w:firstLine="709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                                                                    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q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p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a</m:t>
                          </m:r>
                        </m:sub>
                      </m:sSub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q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pK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a</m:t>
                          </m:r>
                        </m:sub>
                      </m:sSub>
                    </m:sub>
                  </m:sSub>
                </m:e>
              </m:nary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,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                                                                  (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2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)</m:t>
          </m:r>
        </m:oMath>
      </m:oMathPara>
    </w:p>
    <w:p w14:paraId="55AE32D9" w14:textId="77777777" w:rsidR="00E2792F" w:rsidRDefault="00E2792F" w:rsidP="00E2792F">
      <w:pPr>
        <w:spacing w:after="0"/>
        <w:ind w:firstLine="709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Получили кислотность поверхности равную 2,05.</w:t>
      </w:r>
    </w:p>
    <w:p w14:paraId="16E19F14" w14:textId="77777777" w:rsidR="00E2792F" w:rsidRDefault="00E2792F" w:rsidP="00E2792F">
      <w:pPr>
        <w:spacing w:after="0"/>
        <w:ind w:firstLine="709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Наибольшее число активных центров адсорбции соответствуют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рК</w:t>
      </w:r>
      <w:r>
        <w:rPr>
          <w:rFonts w:ascii="Times New Roman" w:hAnsi="Times New Roman" w:cs="Times New Roman"/>
          <w:iCs/>
          <w:sz w:val="24"/>
          <w:szCs w:val="24"/>
          <w:vertAlign w:val="subscript"/>
        </w:rPr>
        <w:t>а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= 1,3.</w:t>
      </w:r>
    </w:p>
    <w:p w14:paraId="4862F1E2" w14:textId="16E65787" w:rsidR="00E2792F" w:rsidRDefault="00E2792F">
      <w:pPr>
        <w:spacing w:after="160" w:line="259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br w:type="page"/>
      </w:r>
    </w:p>
    <w:p w14:paraId="1DB88327" w14:textId="03FE70E1" w:rsidR="00E2792F" w:rsidRDefault="00E2792F" w:rsidP="00E2792F">
      <w:pPr>
        <w:spacing w:after="0"/>
        <w:ind w:firstLine="709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lastRenderedPageBreak/>
        <w:t>Вывод:</w:t>
      </w:r>
      <w:r w:rsidRPr="00E2792F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E2792F">
        <w:rPr>
          <w:rFonts w:ascii="Times New Roman" w:hAnsi="Times New Roman" w:cs="Times New Roman"/>
          <w:iCs/>
          <w:sz w:val="24"/>
          <w:szCs w:val="24"/>
          <w:highlight w:val="yellow"/>
        </w:rPr>
        <w:t xml:space="preserve">наибольшее число кислотных центров находится в области кислот </w:t>
      </w:r>
      <w:proofErr w:type="spellStart"/>
      <w:r w:rsidRPr="00E2792F">
        <w:rPr>
          <w:rFonts w:ascii="Times New Roman" w:hAnsi="Times New Roman" w:cs="Times New Roman"/>
          <w:iCs/>
          <w:sz w:val="24"/>
          <w:szCs w:val="24"/>
          <w:highlight w:val="yellow"/>
        </w:rPr>
        <w:t>Бренстеда</w:t>
      </w:r>
      <w:proofErr w:type="spellEnd"/>
      <w:r w:rsidRPr="00E2792F">
        <w:rPr>
          <w:rFonts w:ascii="Times New Roman" w:hAnsi="Times New Roman" w:cs="Times New Roman"/>
          <w:iCs/>
          <w:sz w:val="24"/>
          <w:szCs w:val="24"/>
          <w:highlight w:val="yellow"/>
        </w:rPr>
        <w:t xml:space="preserve">, наибольшее число кислотно-основных центров (30 ммоль/г) обладает </w:t>
      </w:r>
      <w:proofErr w:type="spellStart"/>
      <w:r w:rsidRPr="00E2792F">
        <w:rPr>
          <w:rFonts w:ascii="Times New Roman" w:hAnsi="Times New Roman" w:cs="Times New Roman"/>
          <w:iCs/>
          <w:sz w:val="24"/>
          <w:szCs w:val="24"/>
          <w:highlight w:val="yellow"/>
        </w:rPr>
        <w:t>рК</w:t>
      </w:r>
      <w:r w:rsidRPr="00E2792F">
        <w:rPr>
          <w:rFonts w:ascii="Times New Roman" w:hAnsi="Times New Roman" w:cs="Times New Roman"/>
          <w:iCs/>
          <w:sz w:val="24"/>
          <w:szCs w:val="24"/>
          <w:highlight w:val="yellow"/>
          <w:vertAlign w:val="subscript"/>
        </w:rPr>
        <w:t>а</w:t>
      </w:r>
      <w:proofErr w:type="spellEnd"/>
      <w:r w:rsidRPr="00E2792F">
        <w:rPr>
          <w:rFonts w:ascii="Times New Roman" w:hAnsi="Times New Roman" w:cs="Times New Roman"/>
          <w:iCs/>
          <w:sz w:val="24"/>
          <w:szCs w:val="24"/>
          <w:highlight w:val="yellow"/>
        </w:rPr>
        <w:t xml:space="preserve"> =1,3, небольшое число кислотных центов (5,38 ммоль/г) обладает </w:t>
      </w:r>
      <w:proofErr w:type="spellStart"/>
      <w:r w:rsidRPr="00E2792F">
        <w:rPr>
          <w:rFonts w:ascii="Times New Roman" w:hAnsi="Times New Roman" w:cs="Times New Roman"/>
          <w:iCs/>
          <w:sz w:val="24"/>
          <w:szCs w:val="24"/>
          <w:highlight w:val="yellow"/>
        </w:rPr>
        <w:t>рК</w:t>
      </w:r>
      <w:r w:rsidRPr="00E2792F">
        <w:rPr>
          <w:rFonts w:ascii="Times New Roman" w:hAnsi="Times New Roman" w:cs="Times New Roman"/>
          <w:iCs/>
          <w:sz w:val="24"/>
          <w:szCs w:val="24"/>
          <w:highlight w:val="yellow"/>
          <w:vertAlign w:val="subscript"/>
        </w:rPr>
        <w:t>а</w:t>
      </w:r>
      <w:proofErr w:type="spellEnd"/>
      <w:r w:rsidRPr="00E2792F">
        <w:rPr>
          <w:rFonts w:ascii="Times New Roman" w:hAnsi="Times New Roman" w:cs="Times New Roman"/>
          <w:iCs/>
          <w:sz w:val="24"/>
          <w:szCs w:val="24"/>
          <w:highlight w:val="yellow"/>
        </w:rPr>
        <w:t xml:space="preserve"> = 5, и есть небольшое количество основных центров (0,59 ммоль/г), для которых </w:t>
      </w:r>
      <w:proofErr w:type="spellStart"/>
      <w:r w:rsidRPr="00E2792F">
        <w:rPr>
          <w:rFonts w:ascii="Times New Roman" w:hAnsi="Times New Roman" w:cs="Times New Roman"/>
          <w:iCs/>
          <w:sz w:val="24"/>
          <w:szCs w:val="24"/>
          <w:highlight w:val="yellow"/>
        </w:rPr>
        <w:t>рК</w:t>
      </w:r>
      <w:r w:rsidRPr="00E2792F">
        <w:rPr>
          <w:rFonts w:ascii="Times New Roman" w:hAnsi="Times New Roman" w:cs="Times New Roman"/>
          <w:iCs/>
          <w:sz w:val="24"/>
          <w:szCs w:val="24"/>
          <w:highlight w:val="yellow"/>
          <w:vertAlign w:val="subscript"/>
        </w:rPr>
        <w:t>а</w:t>
      </w:r>
      <w:proofErr w:type="spellEnd"/>
      <w:r w:rsidRPr="00E2792F">
        <w:rPr>
          <w:rFonts w:ascii="Times New Roman" w:hAnsi="Times New Roman" w:cs="Times New Roman"/>
          <w:iCs/>
          <w:sz w:val="24"/>
          <w:szCs w:val="24"/>
          <w:highlight w:val="yellow"/>
        </w:rPr>
        <w:t xml:space="preserve"> = 10,5. Функция кислотности </w:t>
      </w:r>
      <w:r w:rsidRPr="00E2792F">
        <w:rPr>
          <w:rFonts w:ascii="Times New Roman" w:hAnsi="Times New Roman" w:cs="Times New Roman"/>
          <w:iCs/>
          <w:sz w:val="24"/>
          <w:szCs w:val="24"/>
          <w:highlight w:val="yellow"/>
          <w:lang w:val="en-US"/>
        </w:rPr>
        <w:t>H</w:t>
      </w:r>
      <w:r w:rsidRPr="00E2792F">
        <w:rPr>
          <w:rFonts w:ascii="Times New Roman" w:hAnsi="Times New Roman" w:cs="Times New Roman"/>
          <w:iCs/>
          <w:sz w:val="24"/>
          <w:szCs w:val="24"/>
          <w:highlight w:val="yellow"/>
          <w:vertAlign w:val="subscript"/>
        </w:rPr>
        <w:t>0</w:t>
      </w:r>
      <w:r w:rsidRPr="00E2792F">
        <w:rPr>
          <w:rFonts w:ascii="Times New Roman" w:hAnsi="Times New Roman" w:cs="Times New Roman"/>
          <w:iCs/>
          <w:sz w:val="24"/>
          <w:szCs w:val="24"/>
          <w:highlight w:val="yellow"/>
        </w:rPr>
        <w:t xml:space="preserve"> составила 2,05, что говорит о том, что поверхность обладает кислотными свойствами.</w:t>
      </w:r>
    </w:p>
    <w:p w14:paraId="28009810" w14:textId="77777777" w:rsidR="00E2792F" w:rsidRDefault="00E2792F" w:rsidP="00E2792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F4C29A" w14:textId="77777777" w:rsidR="00E2792F" w:rsidRDefault="00E2792F" w:rsidP="00E2792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6994C10" w14:textId="77777777" w:rsidR="00E2792F" w:rsidRDefault="00E2792F" w:rsidP="00E2792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DB41EB1" w14:textId="77777777" w:rsidR="00E2792F" w:rsidRDefault="00E2792F" w:rsidP="00E2792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EFDE714" w14:textId="77777777" w:rsidR="00E2792F" w:rsidRDefault="00E2792F" w:rsidP="00E2792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B7B16A6" w14:textId="77777777" w:rsidR="00E2792F" w:rsidRDefault="00E2792F" w:rsidP="00E2792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5A8A017" w14:textId="77777777" w:rsidR="00E2792F" w:rsidRDefault="00E2792F" w:rsidP="00E2792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D994BA1" w14:textId="77777777" w:rsidR="00E2792F" w:rsidRDefault="00E2792F" w:rsidP="00E2792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A806B37" w14:textId="77777777" w:rsidR="00E2792F" w:rsidRDefault="00E2792F" w:rsidP="00E2792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6E19EA7" w14:textId="77777777" w:rsidR="00E2792F" w:rsidRDefault="00E2792F" w:rsidP="00E2792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DA96C0C" w14:textId="77777777" w:rsidR="00E2792F" w:rsidRDefault="00E2792F" w:rsidP="00E2792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7F31F16" w14:textId="77777777" w:rsidR="00E2792F" w:rsidRDefault="00E2792F" w:rsidP="00E2792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54562FC" w14:textId="77777777" w:rsidR="00E2792F" w:rsidRDefault="00E2792F" w:rsidP="00E2792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989CF2F" w14:textId="77777777" w:rsidR="00E2792F" w:rsidRDefault="00E2792F" w:rsidP="00E2792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DE424BD" w14:textId="77777777" w:rsidR="00E2792F" w:rsidRDefault="00E2792F" w:rsidP="00E2792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509E5EF" w14:textId="77777777" w:rsidR="00E2792F" w:rsidRPr="00DB783B" w:rsidRDefault="00E2792F" w:rsidP="00E2792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9D66419" w14:textId="77777777" w:rsidR="00E2792F" w:rsidRPr="00DB783B" w:rsidRDefault="00E2792F" w:rsidP="00E2792F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DB783B">
        <w:rPr>
          <w:rFonts w:ascii="Times New Roman" w:hAnsi="Times New Roman" w:cs="Times New Roman"/>
          <w:sz w:val="24"/>
          <w:szCs w:val="24"/>
        </w:rPr>
        <w:t>Подпись студента____________________</w:t>
      </w:r>
    </w:p>
    <w:p w14:paraId="70CAD517" w14:textId="77777777" w:rsidR="00E2792F" w:rsidRPr="00DB783B" w:rsidRDefault="00E2792F" w:rsidP="00E2792F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305DD488" w14:textId="77777777" w:rsidR="00E2792F" w:rsidRPr="00DB783B" w:rsidRDefault="00E2792F" w:rsidP="00E2792F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DB783B">
        <w:rPr>
          <w:rFonts w:ascii="Times New Roman" w:hAnsi="Times New Roman" w:cs="Times New Roman"/>
          <w:sz w:val="24"/>
          <w:szCs w:val="24"/>
        </w:rPr>
        <w:t>Подпись преподавателя_______________</w:t>
      </w:r>
    </w:p>
    <w:p w14:paraId="1AAF44F1" w14:textId="77777777" w:rsidR="00E2792F" w:rsidRPr="00DB783B" w:rsidRDefault="00E2792F" w:rsidP="00E2792F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50F49BBB" w14:textId="77777777" w:rsidR="00E2792F" w:rsidRPr="00DB783B" w:rsidRDefault="00E2792F" w:rsidP="00E2792F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DB783B">
        <w:rPr>
          <w:rFonts w:ascii="Times New Roman" w:hAnsi="Times New Roman" w:cs="Times New Roman"/>
          <w:sz w:val="24"/>
          <w:szCs w:val="24"/>
        </w:rPr>
        <w:t>Дата_____________</w:t>
      </w:r>
    </w:p>
    <w:p w14:paraId="4DA79D53" w14:textId="77777777" w:rsidR="00E2792F" w:rsidRPr="00E2792F" w:rsidRDefault="00E2792F" w:rsidP="00E2792F">
      <w:pPr>
        <w:spacing w:after="0" w:line="360" w:lineRule="auto"/>
        <w:ind w:left="708" w:firstLine="1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sectPr w:rsidR="00E2792F" w:rsidRPr="00E2792F" w:rsidSect="00BE6C83">
      <w:pgSz w:w="11910" w:h="16840"/>
      <w:pgMar w:top="1134" w:right="850" w:bottom="1134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41E35"/>
    <w:multiLevelType w:val="hybridMultilevel"/>
    <w:tmpl w:val="0276AC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72515CA"/>
    <w:multiLevelType w:val="hybridMultilevel"/>
    <w:tmpl w:val="10A284EE"/>
    <w:lvl w:ilvl="0" w:tplc="0407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30653594">
    <w:abstractNumId w:val="0"/>
  </w:num>
  <w:num w:numId="2" w16cid:durableId="1712147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92F"/>
    <w:rsid w:val="00007EBD"/>
    <w:rsid w:val="0025029A"/>
    <w:rsid w:val="003B4E14"/>
    <w:rsid w:val="0082264C"/>
    <w:rsid w:val="008B2027"/>
    <w:rsid w:val="00BE6C83"/>
    <w:rsid w:val="00E2792F"/>
    <w:rsid w:val="00EF086D"/>
    <w:rsid w:val="00FA3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2071E"/>
  <w15:chartTrackingRefBased/>
  <w15:docId w15:val="{89E8DEBE-91A1-4B24-BAE7-4242DF312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792F"/>
    <w:pPr>
      <w:spacing w:after="200" w:line="276" w:lineRule="auto"/>
    </w:pPr>
    <w:rPr>
      <w:kern w:val="0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27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7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79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7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79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7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7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7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7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79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79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79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79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79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79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79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79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79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7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7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7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7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7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79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79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792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79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792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279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E:\&#1056;&#1062;&#1040;-124%20&#1080;&#1090;&#1086;&#1075;.xls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autoTitleDeleted val="1"/>
    <c:plotArea>
      <c:layout>
        <c:manualLayout>
          <c:layoutTarget val="inner"/>
          <c:xMode val="edge"/>
          <c:yMode val="edge"/>
          <c:x val="6.8767908309455589E-2"/>
          <c:y val="0.14796366872051442"/>
          <c:w val="0.83413706545180888"/>
          <c:h val="0.75535114080889143"/>
        </c:manualLayout>
      </c:layout>
      <c:scatterChart>
        <c:scatterStyle val="smoothMarker"/>
        <c:varyColors val="0"/>
        <c:ser>
          <c:idx val="0"/>
          <c:order val="0"/>
          <c:spPr>
            <a:ln>
              <a:solidFill>
                <a:schemeClr val="tx1"/>
              </a:solidFill>
            </a:ln>
          </c:spPr>
          <c:marker>
            <c:spPr>
              <a:solidFill>
                <a:schemeClr val="tx1"/>
              </a:solidFill>
              <a:ln>
                <a:solidFill>
                  <a:schemeClr val="tx1"/>
                </a:solidFill>
              </a:ln>
            </c:spPr>
          </c:marker>
          <c:xVal>
            <c:numRef>
              <c:f>график!$B$5:$B$12</c:f>
              <c:numCache>
                <c:formatCode>General</c:formatCode>
                <c:ptCount val="8"/>
                <c:pt idx="0">
                  <c:v>12.8</c:v>
                </c:pt>
                <c:pt idx="1">
                  <c:v>10.5</c:v>
                </c:pt>
                <c:pt idx="2">
                  <c:v>7.3</c:v>
                </c:pt>
                <c:pt idx="3" formatCode="0.0">
                  <c:v>5</c:v>
                </c:pt>
                <c:pt idx="4">
                  <c:v>3.5</c:v>
                </c:pt>
                <c:pt idx="5">
                  <c:v>2.1</c:v>
                </c:pt>
                <c:pt idx="6">
                  <c:v>1.3</c:v>
                </c:pt>
                <c:pt idx="7">
                  <c:v>0.8</c:v>
                </c:pt>
              </c:numCache>
            </c:numRef>
          </c:xVal>
          <c:yVal>
            <c:numRef>
              <c:f>график!$C$5:$C$12</c:f>
              <c:numCache>
                <c:formatCode>0.00</c:formatCode>
                <c:ptCount val="8"/>
                <c:pt idx="0">
                  <c:v>2.8097178213669104E-2</c:v>
                </c:pt>
                <c:pt idx="1">
                  <c:v>0.58958321402113645</c:v>
                </c:pt>
                <c:pt idx="2">
                  <c:v>0.21381756104342875</c:v>
                </c:pt>
                <c:pt idx="3">
                  <c:v>5.3819586559802843</c:v>
                </c:pt>
                <c:pt idx="4">
                  <c:v>0.48228043306901547</c:v>
                </c:pt>
                <c:pt idx="5">
                  <c:v>0.41087199187762252</c:v>
                </c:pt>
                <c:pt idx="6">
                  <c:v>29.903186451647763</c:v>
                </c:pt>
                <c:pt idx="7">
                  <c:v>0.39387499859339226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C23F-4219-8272-20D9EB36F0A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18236144"/>
        <c:axId val="1"/>
      </c:scatterChart>
      <c:valAx>
        <c:axId val="418236144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 sz="1200">
                    <a:latin typeface="Times New Roman" pitchFamily="18" charset="0"/>
                    <a:cs typeface="Times New Roman" pitchFamily="18" charset="0"/>
                  </a:defRPr>
                </a:pPr>
                <a:r>
                  <a:rPr lang="ru-RU" sz="1200">
                    <a:latin typeface="Times New Roman" pitchFamily="18" charset="0"/>
                    <a:cs typeface="Times New Roman" pitchFamily="18" charset="0"/>
                  </a:rPr>
                  <a:t>рК</a:t>
                </a:r>
                <a:r>
                  <a:rPr lang="en-US" sz="1200" baseline="-25000">
                    <a:latin typeface="Times New Roman" pitchFamily="18" charset="0"/>
                    <a:cs typeface="Times New Roman" pitchFamily="18" charset="0"/>
                  </a:rPr>
                  <a:t>a</a:t>
                </a:r>
              </a:p>
            </c:rich>
          </c:tx>
          <c:layout>
            <c:manualLayout>
              <c:xMode val="edge"/>
              <c:yMode val="edge"/>
              <c:x val="0.92650194703853161"/>
              <c:y val="0.87226120496107762"/>
            </c:manualLayout>
          </c:layout>
          <c:overlay val="0"/>
        </c:title>
        <c:numFmt formatCode="General" sourceLinked="1"/>
        <c:majorTickMark val="out"/>
        <c:minorTickMark val="none"/>
        <c:tickLblPos val="nextTo"/>
        <c:spPr>
          <a:ln>
            <a:solidFill>
              <a:schemeClr val="tx1"/>
            </a:solidFill>
          </a:ln>
        </c:spPr>
        <c:txPr>
          <a:bodyPr rot="0" vert="horz"/>
          <a:lstStyle/>
          <a:p>
            <a:pPr>
              <a:defRPr sz="1200" b="0" i="0" u="none" strike="noStrike" baseline="0">
                <a:solidFill>
                  <a:srgbClr val="000000"/>
                </a:solidFill>
                <a:latin typeface="Times New Roman"/>
                <a:ea typeface="Times New Roman"/>
                <a:cs typeface="Times New Roman"/>
              </a:defRPr>
            </a:pPr>
            <a:endParaRPr lang="ru-RU"/>
          </a:p>
        </c:txPr>
        <c:crossAx val="1"/>
        <c:crosses val="autoZero"/>
        <c:crossBetween val="midCat"/>
      </c:valAx>
      <c:valAx>
        <c:axId val="1"/>
        <c:scaling>
          <c:orientation val="minMax"/>
        </c:scaling>
        <c:delete val="0"/>
        <c:axPos val="l"/>
        <c:title>
          <c:tx>
            <c:rich>
              <a:bodyPr rot="0" vert="horz"/>
              <a:lstStyle/>
              <a:p>
                <a:pPr>
                  <a:defRPr sz="1200">
                    <a:latin typeface="Times New Roman" pitchFamily="18" charset="0"/>
                    <a:cs typeface="Times New Roman" pitchFamily="18" charset="0"/>
                  </a:defRPr>
                </a:pPr>
                <a:r>
                  <a:rPr lang="en-US" sz="1200">
                    <a:latin typeface="Times New Roman" pitchFamily="18" charset="0"/>
                    <a:cs typeface="Times New Roman" pitchFamily="18" charset="0"/>
                  </a:rPr>
                  <a:t>q</a:t>
                </a:r>
                <a:r>
                  <a:rPr lang="en-US" sz="1200" baseline="-25000">
                    <a:latin typeface="Times New Roman" pitchFamily="18" charset="0"/>
                    <a:cs typeface="Times New Roman" pitchFamily="18" charset="0"/>
                  </a:rPr>
                  <a:t>pK</a:t>
                </a:r>
                <a:r>
                  <a:rPr lang="en-US" sz="1200" baseline="-50000">
                    <a:latin typeface="Times New Roman" pitchFamily="18" charset="0"/>
                    <a:cs typeface="Times New Roman" pitchFamily="18" charset="0"/>
                  </a:rPr>
                  <a:t>a</a:t>
                </a:r>
                <a:r>
                  <a:rPr lang="en-US" sz="1200">
                    <a:latin typeface="Times New Roman" pitchFamily="18" charset="0"/>
                    <a:cs typeface="Times New Roman" pitchFamily="18" charset="0"/>
                  </a:rPr>
                  <a:t>, </a:t>
                </a:r>
                <a:r>
                  <a:rPr lang="ru-RU" sz="1200">
                    <a:latin typeface="Times New Roman" pitchFamily="18" charset="0"/>
                    <a:cs typeface="Times New Roman" pitchFamily="18" charset="0"/>
                  </a:rPr>
                  <a:t>ммоль/г</a:t>
                </a:r>
              </a:p>
            </c:rich>
          </c:tx>
          <c:layout>
            <c:manualLayout>
              <c:xMode val="edge"/>
              <c:yMode val="edge"/>
              <c:x val="8.2561841411901769E-4"/>
              <c:y val="4.7896211389498317E-2"/>
            </c:manualLayout>
          </c:layout>
          <c:overlay val="0"/>
        </c:title>
        <c:numFmt formatCode="0" sourceLinked="0"/>
        <c:majorTickMark val="out"/>
        <c:minorTickMark val="none"/>
        <c:tickLblPos val="nextTo"/>
        <c:spPr>
          <a:ln>
            <a:solidFill>
              <a:schemeClr val="tx1"/>
            </a:solidFill>
          </a:ln>
        </c:spPr>
        <c:txPr>
          <a:bodyPr rot="0" vert="horz"/>
          <a:lstStyle/>
          <a:p>
            <a:pPr>
              <a:defRPr sz="1200">
                <a:latin typeface="Times New Roman" pitchFamily="18" charset="0"/>
                <a:cs typeface="Times New Roman" pitchFamily="18" charset="0"/>
              </a:defRPr>
            </a:pPr>
            <a:endParaRPr lang="ru-RU"/>
          </a:p>
        </c:txPr>
        <c:crossAx val="418236144"/>
        <c:crosses val="autoZero"/>
        <c:crossBetween val="midCat"/>
      </c:valAx>
    </c:plotArea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676</Words>
  <Characters>4264</Characters>
  <Application>Microsoft Office Word</Application>
  <DocSecurity>0</DocSecurity>
  <Lines>35</Lines>
  <Paragraphs>9</Paragraphs>
  <ScaleCrop>false</ScaleCrop>
  <Company/>
  <LinksUpToDate>false</LinksUpToDate>
  <CharactersWithSpaces>4931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1</cp:revision>
  <dcterms:created xsi:type="dcterms:W3CDTF">2025-11-05T21:12:00Z</dcterms:created>
  <dcterms:modified xsi:type="dcterms:W3CDTF">2025-11-05T21:20:00Z</dcterms:modified>
</cp:coreProperties>
</file>