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8F3"/>
  <w:body>
    <w:p>
      <w:pPr>
        <w:tabs>
          <w:tab w:val="right" w:pos="10440"/>
        </w:tabs>
        <w:spacing w:after="20"/>
      </w:pPr>
      <w:r>
        <w:drawing>
          <wp:inline distT="0" distB="0" distL="0" distR="0">
            <wp:extent cx="9525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  <w:r>
        <w:rPr>
          <w:rFonts w:ascii="Calibri" w:cs="Calibri" w:eastAsia="Calibri" w:hAnsi="Calibri"/>
          <w:b/>
          <w:bCs/>
          <w:color w:val="0D354D"/>
          <w:spacing w:val="10"/>
          <w:sz w:val="15"/>
          <w:szCs w:val="15"/>
        </w:rPr>
        <w:t xml:space="preserve">ORGANIZACIÓN · DERECHO · DATOS</w:t>
      </w:r>
    </w:p>
    <w:p>
      <w:pPr>
        <w:spacing w:after="100"/>
        <w:jc w:val="right"/>
      </w:pPr>
      <w:r>
        <w:rPr>
          <w:rFonts w:ascii="Calibri" w:cs="Calibri" w:eastAsia="Calibri" w:hAnsi="Calibri"/>
          <w:b/>
          <w:bCs/>
          <w:color w:val="8FA84E"/>
          <w:spacing w:val="14"/>
          <w:sz w:val="13"/>
          <w:szCs w:val="13"/>
        </w:rPr>
        <w:t xml:space="preserve">VISIÓN GENERAL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3300"/>
      </w:tblGrid>
      <w:tr>
        <w:trPr>
          <w:trHeight w:val="11400" w:hRule="atLeast"/>
        </w:trPr>
        <w:tc>
          <w:tcPr>
            <w:tcW w:type="dxa" w:w="7140"/>
            <w:tcMar>
              <w:top w:type="dxa" w:w="0"/>
              <w:left w:type="dxa" w:w="0"/>
              <w:bottom w:type="dxa" w:w="0"/>
              <w:right w:type="dxa" w:w="340"/>
            </w:tcMar>
            <w:vAlign w:val="top"/>
          </w:tcPr>
          <w:p>
            <w:pPr>
              <w:pBdr>
                <w:bottom w:val="single" w:color="0D354D" w:sz="16" w:space="14"/>
              </w:pBd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0D354D"/>
                <w:sz w:val="32"/>
                <w:szCs w:val="32"/>
              </w:rPr>
              <w:t xml:space="preserve">Protección de datos, transformación organizacional y respaldo jurídico para su organización</w:t>
            </w:r>
          </w:p>
          <w:p>
            <w:pPr>
              <w:spacing w:after="340"/>
              <w:jc w:val="both"/>
            </w:pPr>
            <w:r>
              <w:rPr>
                <w:rFonts w:ascii="Calibri" w:cs="Calibri" w:eastAsia="Calibri" w:hAnsi="Calibri"/>
                <w:color w:val="3A3A3A"/>
                <w:sz w:val="21"/>
                <w:szCs w:val="21"/>
              </w:rPr>
              <w:t xml:space="preserve">La protección de datos personales y la seguridad de la información son hoy una exigencia normativa para cualquier organización que trate datos, sin importar su sector o tamaño. A la par, la transformación organizacional y la analítica de negocio se han vuelto un factor de competitividad, y el respaldo jurídico especializado en tecnología acompaña ambos frentes.</w:t>
            </w:r>
          </w:p>
          <w:p>
            <w:pPr>
              <w:spacing w:after="180"/>
            </w:pPr>
            <w:r>
              <w:rPr>
                <w:rFonts w:ascii="Calibri" w:cs="Calibri" w:eastAsia="Calibri" w:hAnsi="Calibri"/>
                <w:b/>
                <w:bCs/>
                <w:color w:val="0D354D"/>
                <w:spacing w:val="12"/>
                <w:sz w:val="18"/>
                <w:szCs w:val="18"/>
              </w:rPr>
              <w:t xml:space="preserve">LÍNEAS DE TRABAJO</w:t>
            </w:r>
          </w:p>
          <w:tbl>
            <w:tblPr>
              <w:tblW w:type="dxa" w:w="71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70"/>
              <w:gridCol w:w="3570"/>
            </w:tblGrid>
            <w:tr>
              <w:tc>
                <w:tcPr>
                  <w:tcW w:type="dxa" w:w="5100"/>
                  <w:tcBorders>
                    <w:top w:val="single" w:color="0D354D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2F5" w:val="clear"/>
                  <w:tcMar>
                    <w:top w:type="dxa" w:w="220"/>
                    <w:left w:type="dxa" w:w="240"/>
                    <w:bottom w:type="dxa" w:w="240"/>
                    <w:right w:type="dxa" w:w="2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354D"/>
                      <w:sz w:val="24"/>
                      <w:szCs w:val="24"/>
                    </w:rPr>
                    <w:t xml:space="preserve">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354D"/>
                      <w:spacing w:val="8"/>
                      <w:sz w:val="17"/>
                      <w:szCs w:val="17"/>
                    </w:rPr>
                    <w:t xml:space="preserve">JURÍDICO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Protección de datos personales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Seguridad de la información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Contratación tecnológica y pública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Propiedad intelectual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Servicios jurídicos integrales</w:t>
                  </w:r>
                </w:p>
              </w:tc>
              <w:tc>
                <w:tcPr>
                  <w:tcW w:type="dxa" w:w="5100"/>
                  <w:tcBorders>
                    <w:top w:val="single" w:color="8FA84E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6EC" w:val="clear"/>
                  <w:tcMar>
                    <w:top w:type="dxa" w:w="220"/>
                    <w:left w:type="dxa" w:w="240"/>
                    <w:bottom w:type="dxa" w:w="240"/>
                    <w:right w:type="dxa" w:w="2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FA84E"/>
                      <w:sz w:val="24"/>
                      <w:szCs w:val="24"/>
                    </w:rPr>
                    <w:t xml:space="preserve">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354D"/>
                      <w:spacing w:val="8"/>
                      <w:sz w:val="17"/>
                      <w:szCs w:val="17"/>
                    </w:rPr>
                    <w:t xml:space="preserve">ORGANIZACIONAL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Transformación digital y hoja de ruta tecnológica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Gobernanza de datos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Analítica de negocio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Gestión de riesgo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Gestión de procesos y capacidad adaptativa</w:t>
                  </w:r>
                </w:p>
              </w:tc>
            </w:tr>
          </w:tbl>
          <w:p>
            <w:pPr>
              <w:spacing w:after="220" w:before="14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7"/>
                <w:szCs w:val="17"/>
              </w:rPr>
              <w:t xml:space="preserve">Estas son algunas de las líneas donde trabaja Bitik; el alcance se ajusta al reto específico de cada organización.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color w:val="0D354D"/>
                <w:spacing w:val="12"/>
                <w:sz w:val="18"/>
                <w:szCs w:val="18"/>
              </w:rPr>
              <w:t xml:space="preserve">CÓMO TRABAJAMOS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3A3A3A"/>
                <w:sz w:val="21"/>
                <w:szCs w:val="21"/>
              </w:rPr>
              <w:t xml:space="preserve">Bitik acompaña a organizaciones de cualquier sector a gestionar, con una sola mirada, los tres frentes que hoy definen su operación: la protección de datos y la seguridad de la información, la transformación organizacional del negocio, y el respaldo jurídico. Un equipo multidisciplinario que resuelve el reto puntual y, además, deja instalada la capacidad para sostenerlo dentro de la propia organización.</w:t>
            </w:r>
          </w:p>
        </w:tc>
        <w:tc>
          <w:tcPr>
            <w:tcW w:type="dxa" w:w="3300"/>
            <w:shd w:fill="0D354D" w:val="clear"/>
            <w:tcMar>
              <w:top w:type="dxa" w:w="320"/>
              <w:left w:type="dxa" w:w="320"/>
              <w:bottom w:type="dxa" w:w="320"/>
              <w:right w:type="dxa" w:w="320"/>
            </w:tcMar>
            <w:vAlign w:val="top"/>
          </w:tcPr>
          <w:p>
            <w:pPr>
              <w:pBdr>
                <w:bottom w:val="single" w:color="6E8FA6" w:sz="10" w:space="10"/>
              </w:pBd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17"/>
                <w:szCs w:val="17"/>
              </w:rPr>
              <w:t xml:space="preserve">EXPERIENCIA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Bitik ha liderado, para entidades del Estado colombiano, la recertificación bajo ISO/IEC 27001:2022 e ISO/IEC 27005:2022 de sistemas de información, y ha diseñado programas de gobierno de datos para cámaras de comercio — la misma experiencia que hoy aplica, caso por caso, a la protección de datos y la transformación organizacional de cada cliente.</w:t>
            </w:r>
          </w:p>
        </w:tc>
      </w:tr>
    </w:tbl>
    <w:p>
      <w:pPr>
        <w:shd w:fill="0D354D" w:val="clear"/>
        <w:spacing w:after="0" w:before="0"/>
        <w:jc w:val="center"/>
      </w:pPr>
      <w:r>
        <w:rPr>
          <w:sz w:val="16"/>
          <w:szCs w:val="16"/>
        </w:rPr>
        <w:t xml:space="preserve"> 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pacing w:val="10"/>
          <w:sz w:val="16"/>
          <w:szCs w:val="16"/>
        </w:rPr>
        <w:t xml:space="preserve">PARA CONVERSAR SOBRE SU CASO — ESCRÍBANOS</w:t>
      </w:r>
    </w:p>
    <w:p>
      <w:pPr>
        <w:shd w:fill="0D354D" w:val="clear"/>
        <w:spacing w:after="0" w:before="0"/>
        <w:jc w:val="center"/>
      </w:pPr>
      <w:r>
        <w:rPr>
          <w:sz w:val="10"/>
          <w:szCs w:val="10"/>
        </w:rPr>
        <w:t xml:space="preserve"> 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contacto@bitik.co   ·   WhatsApp / Cel. 318 990 2130   ·   bitik.co</w:t>
      </w:r>
    </w:p>
    <w:p>
      <w:pPr>
        <w:shd w:fill="0D354D" w:val="clear"/>
        <w:spacing w:after="0" w:before="0"/>
        <w:jc w:val="center"/>
      </w:pPr>
      <w:r>
        <w:rPr>
          <w:sz w:val="8"/>
          <w:szCs w:val="8"/>
        </w:rPr>
        <w:t xml:space="preserve"> 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color w:val="B9C6D1"/>
          <w:sz w:val="16"/>
          <w:szCs w:val="16"/>
        </w:rPr>
        <w:t xml:space="preserve">Calle 85 # 12-66, Chapinero, Bogotá D.C.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color w:val="B9C6D1"/>
          <w:sz w:val="16"/>
          <w:szCs w:val="16"/>
        </w:rPr>
        <w:t xml:space="preserve">Bitik S.A.S. — Desde 2018</w:t>
      </w:r>
    </w:p>
    <w:p>
      <w:pPr>
        <w:shd w:fill="0D354D" w:val="clear"/>
        <w:spacing w:after="0" w:before="0"/>
        <w:jc w:val="center"/>
      </w:pPr>
      <w:r>
        <w:rPr>
          <w:sz w:val="16"/>
          <w:szCs w:val="16"/>
        </w:rPr>
        <w:t xml:space="preserve"> </w:t>
      </w:r>
    </w:p>
    <w:p>
      <w:pPr>
        <w:sectPr>
          <w:headerReference w:type="default" r:id="rId7"/>
          <w:pgSz w:w="12240" w:h="15840" w:orient="portrait"/>
          <w:pgMar w:top="560" w:right="900" w:bottom="560" w:left="900" w:header="300" w:footer="708" w:gutter="0"/>
          <w:pgNumType/>
          <w:docGrid w:linePitch="360"/>
        </w:sectPr>
      </w:pPr>
    </w:p>
    <w:p>
      <w:pPr>
        <w:tabs>
          <w:tab w:val="right" w:pos="10440"/>
        </w:tabs>
        <w:spacing w:after="20"/>
      </w:pPr>
      <w:r>
        <w:drawing>
          <wp:inline distT="0" distB="0" distL="0" distR="0">
            <wp:extent cx="9525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  <w:r>
        <w:rPr>
          <w:rFonts w:ascii="Calibri" w:cs="Calibri" w:eastAsia="Calibri" w:hAnsi="Calibri"/>
          <w:b/>
          <w:bCs/>
          <w:color w:val="0D354D"/>
          <w:spacing w:val="10"/>
          <w:sz w:val="15"/>
          <w:szCs w:val="15"/>
        </w:rPr>
        <w:t xml:space="preserve">ORGANIZACIÓN · DERECHO · DATOS</w:t>
      </w:r>
    </w:p>
    <w:p>
      <w:pPr>
        <w:spacing w:after="100"/>
        <w:jc w:val="right"/>
      </w:pPr>
      <w:r>
        <w:rPr>
          <w:rFonts w:ascii="Calibri" w:cs="Calibri" w:eastAsia="Calibri" w:hAnsi="Calibri"/>
          <w:b/>
          <w:bCs/>
          <w:color w:val="8FA84E"/>
          <w:spacing w:val="14"/>
          <w:sz w:val="13"/>
          <w:szCs w:val="13"/>
        </w:rPr>
        <w:t xml:space="preserve">PARA FIRMAS DE ABOGADOS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40"/>
        <w:gridCol w:w="3300"/>
      </w:tblGrid>
      <w:tr>
        <w:trPr>
          <w:trHeight w:val="11400" w:hRule="atLeast"/>
        </w:trPr>
        <w:tc>
          <w:tcPr>
            <w:tcW w:type="dxa" w:w="7140"/>
            <w:tcMar>
              <w:top w:type="dxa" w:w="0"/>
              <w:left w:type="dxa" w:w="0"/>
              <w:bottom w:type="dxa" w:w="0"/>
              <w:right w:type="dxa" w:w="340"/>
            </w:tcMar>
            <w:vAlign w:val="top"/>
          </w:tcPr>
          <w:p>
            <w:pPr>
              <w:pBdr>
                <w:bottom w:val="single" w:color="0D354D" w:sz="16" w:space="14"/>
              </w:pBd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0D354D"/>
                <w:sz w:val="32"/>
                <w:szCs w:val="32"/>
              </w:rPr>
              <w:t xml:space="preserve">Protección de datos, derecho tecnológico y transformación organizacional</w:t>
            </w:r>
          </w:p>
          <w:p>
            <w:pPr>
              <w:spacing w:after="340"/>
              <w:jc w:val="both"/>
            </w:pPr>
            <w:r>
              <w:rPr>
                <w:rFonts w:ascii="Calibri" w:cs="Calibri" w:eastAsia="Calibri" w:hAnsi="Calibri"/>
                <w:color w:val="3A3A3A"/>
                <w:sz w:val="21"/>
                <w:szCs w:val="21"/>
              </w:rPr>
              <w:t xml:space="preserve">Las firmas de abogados manejan información sensible de sus propios clientes y, con frecuencia, reciben consultas sobre protección de datos personales, derecho tecnológico y transformación organizacional. Sumar estas tres líneas a la oferta de la firma implica, para la mayoría, construir un área nueva.</w:t>
            </w:r>
          </w:p>
          <w:p>
            <w:pPr>
              <w:spacing w:after="180"/>
            </w:pPr>
            <w:r>
              <w:rPr>
                <w:rFonts w:ascii="Calibri" w:cs="Calibri" w:eastAsia="Calibri" w:hAnsi="Calibri"/>
                <w:b/>
                <w:bCs/>
                <w:color w:val="0D354D"/>
                <w:spacing w:val="12"/>
                <w:sz w:val="18"/>
                <w:szCs w:val="18"/>
              </w:rPr>
              <w:t xml:space="preserve">LÍNEAS DE TRABAJO</w:t>
            </w:r>
          </w:p>
          <w:tbl>
            <w:tblPr>
              <w:tblW w:type="dxa" w:w="71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570"/>
              <w:gridCol w:w="3570"/>
            </w:tblGrid>
            <w:tr>
              <w:tc>
                <w:tcPr>
                  <w:tcW w:type="dxa" w:w="5100"/>
                  <w:tcBorders>
                    <w:top w:val="single" w:color="0D354D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2F5" w:val="clear"/>
                  <w:tcMar>
                    <w:top w:type="dxa" w:w="220"/>
                    <w:left w:type="dxa" w:w="240"/>
                    <w:bottom w:type="dxa" w:w="240"/>
                    <w:right w:type="dxa" w:w="2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D354D"/>
                      <w:sz w:val="24"/>
                      <w:szCs w:val="24"/>
                    </w:rPr>
                    <w:t xml:space="preserve">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354D"/>
                      <w:spacing w:val="8"/>
                      <w:sz w:val="17"/>
                      <w:szCs w:val="17"/>
                    </w:rPr>
                    <w:t xml:space="preserve">JURÍDICO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Protección de datos personales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Derecho tecnológico y contratación tecnológica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Regulación digital y derecho de la innovación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Seguridad de la información, desde el ángulo normativo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Propiedad intelectual</w:t>
                  </w:r>
                </w:p>
              </w:tc>
              <w:tc>
                <w:tcPr>
                  <w:tcW w:type="dxa" w:w="5100"/>
                  <w:tcBorders>
                    <w:top w:val="single" w:color="8FA84E" w:sz="2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6EC" w:val="clear"/>
                  <w:tcMar>
                    <w:top w:type="dxa" w:w="220"/>
                    <w:left w:type="dxa" w:w="240"/>
                    <w:bottom w:type="dxa" w:w="240"/>
                    <w:right w:type="dxa" w:w="240"/>
                  </w:tcMar>
                  <w:vAlign w:val="top"/>
                </w:tcPr>
                <w:p>
                  <w:pPr>
                    <w:spacing w:after="1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FA84E"/>
                      <w:sz w:val="24"/>
                      <w:szCs w:val="24"/>
                    </w:rPr>
                    <w:t xml:space="preserve">✓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D354D"/>
                      <w:spacing w:val="8"/>
                      <w:sz w:val="17"/>
                      <w:szCs w:val="17"/>
                    </w:rPr>
                    <w:t xml:space="preserve">ORGANIZACIONAL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Gobernanza de datos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Transformación digital y hoja de ruta tecnológica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Analítica de negocio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13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Gestión de riesgo</w:t>
                  </w:r>
                </w:p>
                <w:p>
                  <w:pPr>
                    <w:pStyle w:val="ListParagraph"/>
                    <w:numPr>
                      <w:ilvl w:val="0"/>
                      <w:numId w:val="1"/>
                    </w:numPr>
                    <w:spacing w:after="0"/>
                  </w:pPr>
                  <w:r>
                    <w:rPr>
                      <w:rFonts w:ascii="Calibri" w:cs="Calibri" w:eastAsia="Calibri" w:hAnsi="Calibri"/>
                      <w:color w:val="3A3A3A"/>
                      <w:sz w:val="20"/>
                      <w:szCs w:val="20"/>
                    </w:rPr>
                    <w:t xml:space="preserve">Gestión de procesos y capacidad adaptativa</w:t>
                  </w:r>
                </w:p>
              </w:tc>
            </w:tr>
          </w:tbl>
          <w:p>
            <w:pPr>
              <w:spacing w:after="220" w:before="14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7"/>
                <w:szCs w:val="17"/>
              </w:rPr>
              <w:t xml:space="preserve">Estas son algunas de las líneas donde trabaja Bitik; el alcance se ajusta a las necesidades de cada firma y sus clientes.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color w:val="0D354D"/>
                <w:spacing w:val="12"/>
                <w:sz w:val="18"/>
                <w:szCs w:val="18"/>
              </w:rPr>
              <w:t xml:space="preserve">CÓMO TRABAJAMOS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color w:val="3A3A3A"/>
                <w:sz w:val="21"/>
                <w:szCs w:val="21"/>
              </w:rPr>
              <w:t xml:space="preserve">Bitik trabaja dentro de los contratos y las relaciones que la firma ya tiene con sus clientes, en protección de datos personales, derecho tecnológico y transformación organizacional. Un equipo multidisciplinario que resuelve el reto puntual y, además, deja capacidad instalada dentro de la firma, para sumar estas tres líneas a su oferta sin depender de un proveedor externo permanente.</w:t>
            </w:r>
          </w:p>
        </w:tc>
        <w:tc>
          <w:tcPr>
            <w:tcW w:type="dxa" w:w="3300"/>
            <w:shd w:fill="0D354D" w:val="clear"/>
            <w:tcMar>
              <w:top w:type="dxa" w:w="320"/>
              <w:left w:type="dxa" w:w="320"/>
              <w:bottom w:type="dxa" w:w="320"/>
              <w:right w:type="dxa" w:w="320"/>
            </w:tcMar>
            <w:vAlign w:val="top"/>
          </w:tcPr>
          <w:p>
            <w:pPr>
              <w:pBdr>
                <w:bottom w:val="single" w:color="6E8FA6" w:sz="10" w:space="10"/>
              </w:pBd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2"/>
                <w:sz w:val="17"/>
                <w:szCs w:val="17"/>
              </w:rPr>
              <w:t xml:space="preserve">EXPERIENCIA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Bitik ha diseñado e implementado programas de gobierno de datos e inventarios de activos de información para cámaras de comercio — la misma experiencia que hoy aplica dentro de los contratos que otras firmas ya tienen con sus clientes.</w:t>
            </w:r>
          </w:p>
        </w:tc>
      </w:tr>
    </w:tbl>
    <w:p>
      <w:pPr>
        <w:shd w:fill="0D354D" w:val="clear"/>
        <w:spacing w:after="0" w:before="0"/>
        <w:jc w:val="center"/>
      </w:pPr>
      <w:r>
        <w:rPr>
          <w:sz w:val="16"/>
          <w:szCs w:val="16"/>
        </w:rPr>
        <w:t xml:space="preserve"> 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pacing w:val="10"/>
          <w:sz w:val="16"/>
          <w:szCs w:val="16"/>
        </w:rPr>
        <w:t xml:space="preserve">PARA CONVERSAR SOBRE SU CASO — ESCRÍBANOS</w:t>
      </w:r>
    </w:p>
    <w:p>
      <w:pPr>
        <w:shd w:fill="0D354D" w:val="clear"/>
        <w:spacing w:after="0" w:before="0"/>
        <w:jc w:val="center"/>
      </w:pPr>
      <w:r>
        <w:rPr>
          <w:sz w:val="10"/>
          <w:szCs w:val="10"/>
        </w:rPr>
        <w:t xml:space="preserve"> 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contacto@bitik.co   ·   WhatsApp / Cel. 318 990 2130   ·   bitik.co</w:t>
      </w:r>
    </w:p>
    <w:p>
      <w:pPr>
        <w:shd w:fill="0D354D" w:val="clear"/>
        <w:spacing w:after="0" w:before="0"/>
        <w:jc w:val="center"/>
      </w:pPr>
      <w:r>
        <w:rPr>
          <w:sz w:val="8"/>
          <w:szCs w:val="8"/>
        </w:rPr>
        <w:t xml:space="preserve"> 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color w:val="B9C6D1"/>
          <w:sz w:val="16"/>
          <w:szCs w:val="16"/>
        </w:rPr>
        <w:t xml:space="preserve">Calle 85 # 12-66, Chapinero, Bogotá D.C.</w:t>
      </w:r>
    </w:p>
    <w:p>
      <w:pPr>
        <w:shd w:fill="0D354D" w:val="clear"/>
        <w:spacing w:after="0" w:before="0"/>
        <w:jc w:val="center"/>
      </w:pPr>
      <w:r>
        <w:rPr>
          <w:rFonts w:ascii="Calibri" w:cs="Calibri" w:eastAsia="Calibri" w:hAnsi="Calibri"/>
          <w:color w:val="B9C6D1"/>
          <w:sz w:val="16"/>
          <w:szCs w:val="16"/>
        </w:rPr>
        <w:t xml:space="preserve">Bitik S.A.S. — Desde 2018</w:t>
      </w:r>
    </w:p>
    <w:p>
      <w:pPr>
        <w:shd w:fill="0D354D" w:val="clear"/>
        <w:spacing w:after="0" w:before="0"/>
        <w:jc w:val="center"/>
      </w:pPr>
      <w:r>
        <w:rPr>
          <w:sz w:val="16"/>
          <w:szCs w:val="16"/>
        </w:rPr>
        <w:t xml:space="preserve"> </w:t>
      </w:r>
    </w:p>
    <w:sectPr>
      <w:headerReference w:type="default" r:id="rId8"/>
      <w:pgSz w:w="12240" w:h="15840" w:orient="portrait"/>
      <w:pgMar w:top="560" w:right="900" w:bottom="560" w:left="900" w:header="3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dashed" w:color="BFBFBF" w:sz="2" w:space="4"/>
      </w:pBdr>
      <w:spacing w:after="40"/>
    </w:pPr>
    <w:r>
      <w:rPr>
        <w:rFonts w:ascii="Calibri" w:cs="Calibri" w:eastAsia="Calibri" w:hAnsi="Calibri"/>
        <w:i/>
        <w:iCs/>
        <w:color w:val="8A8A8A"/>
        <w:sz w:val="14"/>
        <w:szCs w:val="14"/>
      </w:rPr>
      <w:t xml:space="preserve">USO INTERNO — no incluir en el envío final   ·   Pieza: General — todos los servicios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dashed" w:color="BFBFBF" w:sz="2" w:space="4"/>
      </w:pBdr>
      <w:spacing w:after="40"/>
    </w:pPr>
    <w:r>
      <w:rPr>
        <w:rFonts w:ascii="Calibri" w:cs="Calibri" w:eastAsia="Calibri" w:hAnsi="Calibri"/>
        <w:i/>
        <w:iCs/>
        <w:color w:val="8A8A8A"/>
        <w:sz w:val="14"/>
        <w:szCs w:val="14"/>
      </w:rPr>
      <w:t xml:space="preserve">USO INTERNO — no incluir en el envío final   ·   Pieza: Aliados — firmas de abogados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c66cee615ce6461e974933e7f232d4da4fe83a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2026-09-15T13:40:59.780Z</dcterms:created>
  <dcterms:modified xsi:type="dcterms:W3CDTF">2026-09-15T13:40:59.780Z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