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8F3"/>
  <w:body>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Protección de datos personales y gestión de riesgo regulatorio para el sector financiero, asegurador y fintech</w:t>
            </w:r>
          </w:p>
          <w:p>
            <w:pPr>
              <w:spacing w:after="340"/>
              <w:jc w:val="both"/>
            </w:pPr>
            <w:r>
              <w:rPr>
                <w:rFonts w:ascii="Calibri" w:cs="Calibri" w:eastAsia="Calibri" w:hAnsi="Calibri"/>
                <w:color w:val="3A3A3A"/>
                <w:sz w:val="21"/>
                <w:szCs w:val="21"/>
              </w:rPr>
              <w:t xml:space="preserve">Las organizaciones del sector financiero, asegurador y fintech operan bajo la vigilancia de la Superintendencia Financiera y las exigencias de la Ley 1581 de 2012 en materia de datos personales. Tanto las empresas en etapa de expansión como las de trayectoria consolidada sostienen su crecimiento sobre una gestión de información formal y verificable.</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Protección de datos personales</w:t>
                  </w:r>
                </w:p>
                <w:p>
                  <w:pPr>
                    <w:pStyle w:val="ListParagraph"/>
                    <w:numPr>
                      <w:ilvl w:val="0"/>
                      <w:numId w:val="1"/>
                    </w:numPr>
                    <w:spacing w:after="130"/>
                  </w:pPr>
                  <w:r>
                    <w:rPr>
                      <w:rFonts w:ascii="Calibri" w:cs="Calibri" w:eastAsia="Calibri" w:hAnsi="Calibri"/>
                      <w:color w:val="3A3A3A"/>
                      <w:sz w:val="20"/>
                      <w:szCs w:val="20"/>
                    </w:rPr>
                    <w:t xml:space="preserve">Seguridad de la información</w:t>
                  </w:r>
                </w:p>
                <w:p>
                  <w:pPr>
                    <w:pStyle w:val="ListParagraph"/>
                    <w:numPr>
                      <w:ilvl w:val="0"/>
                      <w:numId w:val="1"/>
                    </w:numPr>
                    <w:spacing w:after="0"/>
                  </w:pPr>
                  <w:r>
                    <w:rPr>
                      <w:rFonts w:ascii="Calibri" w:cs="Calibri" w:eastAsia="Calibri" w:hAnsi="Calibri"/>
                      <w:color w:val="3A3A3A"/>
                      <w:sz w:val="20"/>
                      <w:szCs w:val="20"/>
                    </w:rPr>
                    <w:t xml:space="preserve">Diagnóstico y diseño de programas de cumplimiento ajustados a la etapa de la organización</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Gestión de riesgo regulatorio y reputacional frente a la Superintendencia Financiera</w:t>
                  </w:r>
                </w:p>
                <w:p>
                  <w:pPr>
                    <w:pStyle w:val="ListParagraph"/>
                    <w:numPr>
                      <w:ilvl w:val="0"/>
                      <w:numId w:val="1"/>
                    </w:numPr>
                    <w:spacing w:after="130"/>
                  </w:pPr>
                  <w:r>
                    <w:rPr>
                      <w:rFonts w:ascii="Calibri" w:cs="Calibri" w:eastAsia="Calibri" w:hAnsi="Calibri"/>
                      <w:color w:val="3A3A3A"/>
                      <w:sz w:val="20"/>
                      <w:szCs w:val="20"/>
                    </w:rPr>
                    <w:t xml:space="preserve">Gobernanza de datos</w:t>
                  </w:r>
                </w:p>
                <w:p>
                  <w:pPr>
                    <w:pStyle w:val="ListParagraph"/>
                    <w:numPr>
                      <w:ilvl w:val="0"/>
                      <w:numId w:val="1"/>
                    </w:numPr>
                    <w:spacing w:after="0"/>
                  </w:pPr>
                  <w:r>
                    <w:rPr>
                      <w:rFonts w:ascii="Calibri" w:cs="Calibri" w:eastAsia="Calibri" w:hAnsi="Calibri"/>
                      <w:color w:val="3A3A3A"/>
                      <w:sz w:val="20"/>
                      <w:szCs w:val="20"/>
                    </w:rPr>
                    <w:t xml:space="preserve">Analítica de negocio como base de la operación y del crecimiento</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organizaciones del sector financiero, asegurador y fintech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ha liderado, para entidades del Estado colombiano, la recertificación bajo ISO/IEC 27001:2022 de sistemas que protegen información crítica — el mismo estándar que hoy exige el manejo responsable de datos financieros.</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7"/>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Contratación pública, propiedad intelectual y protección de datos para empresas de tecnología</w:t>
            </w:r>
          </w:p>
          <w:p>
            <w:pPr>
              <w:spacing w:after="340"/>
              <w:jc w:val="both"/>
            </w:pPr>
            <w:r>
              <w:rPr>
                <w:rFonts w:ascii="Calibri" w:cs="Calibri" w:eastAsia="Calibri" w:hAnsi="Calibri"/>
                <w:color w:val="3A3A3A"/>
                <w:sz w:val="21"/>
                <w:szCs w:val="21"/>
              </w:rPr>
              <w:t xml:space="preserve">Las empresas de tecnología con soluciones ya desarrolladas encuentran en la contratación con el Estado un proceso ajeno a su experiencia técnica. A la vez, la protección de datos personales y la seguridad de la información toman relevancia a medida que su base de clientes crece.</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Contratación pública y GovTech</w:t>
                  </w:r>
                </w:p>
                <w:p>
                  <w:pPr>
                    <w:pStyle w:val="ListParagraph"/>
                    <w:numPr>
                      <w:ilvl w:val="0"/>
                      <w:numId w:val="1"/>
                    </w:numPr>
                    <w:spacing w:after="130"/>
                  </w:pPr>
                  <w:r>
                    <w:rPr>
                      <w:rFonts w:ascii="Calibri" w:cs="Calibri" w:eastAsia="Calibri" w:hAnsi="Calibri"/>
                      <w:color w:val="3A3A3A"/>
                      <w:sz w:val="20"/>
                      <w:szCs w:val="20"/>
                    </w:rPr>
                    <w:t xml:space="preserve">Propiedad intelectual sobre desarrollos de software</w:t>
                  </w:r>
                </w:p>
                <w:p>
                  <w:pPr>
                    <w:pStyle w:val="ListParagraph"/>
                    <w:numPr>
                      <w:ilvl w:val="0"/>
                      <w:numId w:val="1"/>
                    </w:numPr>
                    <w:spacing w:after="130"/>
                  </w:pPr>
                  <w:r>
                    <w:rPr>
                      <w:rFonts w:ascii="Calibri" w:cs="Calibri" w:eastAsia="Calibri" w:hAnsi="Calibri"/>
                      <w:color w:val="3A3A3A"/>
                      <w:sz w:val="20"/>
                      <w:szCs w:val="20"/>
                    </w:rPr>
                    <w:t xml:space="preserve">Protección de datos personales</w:t>
                  </w:r>
                </w:p>
                <w:p>
                  <w:pPr>
                    <w:pStyle w:val="ListParagraph"/>
                    <w:numPr>
                      <w:ilvl w:val="0"/>
                      <w:numId w:val="1"/>
                    </w:numPr>
                    <w:spacing w:after="0"/>
                  </w:pPr>
                  <w:r>
                    <w:rPr>
                      <w:rFonts w:ascii="Calibri" w:cs="Calibri" w:eastAsia="Calibri" w:hAnsi="Calibri"/>
                      <w:color w:val="3A3A3A"/>
                      <w:sz w:val="20"/>
                      <w:szCs w:val="20"/>
                    </w:rPr>
                    <w:t xml:space="preserve">Seguridad de la información con enfoque normativo</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0"/>
                  </w:pPr>
                  <w:r>
                    <w:rPr>
                      <w:rFonts w:ascii="Calibri" w:cs="Calibri" w:eastAsia="Calibri" w:hAnsi="Calibri"/>
                      <w:color w:val="3A3A3A"/>
                      <w:sz w:val="20"/>
                      <w:szCs w:val="20"/>
                    </w:rPr>
                    <w:t xml:space="preserve">Acompañamiento en el proceso de contratación pública, como puente hacia el ciclo pre y post contractual con el Estado</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empresas de tecnología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diseñó el primer sandbox de blockchain del Estado colombiano y co-escribió la guía oficial de blockchain para el sector público — la misma experiencia que hoy conecta a empresas de tecnología con la contratación estatal.</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8"/>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Protección de datos clínicos y gobernanza de la información para el sector salud</w:t>
            </w:r>
          </w:p>
          <w:p>
            <w:pPr>
              <w:spacing w:after="340"/>
              <w:jc w:val="both"/>
            </w:pPr>
            <w:r>
              <w:rPr>
                <w:rFonts w:ascii="Calibri" w:cs="Calibri" w:eastAsia="Calibri" w:hAnsi="Calibri"/>
                <w:color w:val="3A3A3A"/>
                <w:sz w:val="21"/>
                <w:szCs w:val="21"/>
              </w:rPr>
              <w:t xml:space="preserve">El tratamiento de datos de pacientes está entre los de mayor sensibilidad bajo la normativa colombiana de protección de datos personales. En instituciones de salud de distintos tamaños y trayectorias, esa protección es un componente central tanto de la operación clínica como de la confianza del paciente.</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Protección de datos personales</w:t>
                  </w:r>
                </w:p>
                <w:p>
                  <w:pPr>
                    <w:pStyle w:val="ListParagraph"/>
                    <w:numPr>
                      <w:ilvl w:val="0"/>
                      <w:numId w:val="1"/>
                    </w:numPr>
                    <w:spacing w:after="0"/>
                  </w:pPr>
                  <w:r>
                    <w:rPr>
                      <w:rFonts w:ascii="Calibri" w:cs="Calibri" w:eastAsia="Calibri" w:hAnsi="Calibri"/>
                      <w:color w:val="3A3A3A"/>
                      <w:sz w:val="20"/>
                      <w:szCs w:val="20"/>
                    </w:rPr>
                    <w:t xml:space="preserve">Seguridad de la información, dimensionada al tamaño de la organización</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Gobernanza de datos clínicos</w:t>
                  </w:r>
                </w:p>
                <w:p>
                  <w:pPr>
                    <w:pStyle w:val="ListParagraph"/>
                    <w:numPr>
                      <w:ilvl w:val="0"/>
                      <w:numId w:val="1"/>
                    </w:numPr>
                    <w:spacing w:after="130"/>
                  </w:pPr>
                  <w:r>
                    <w:rPr>
                      <w:rFonts w:ascii="Calibri" w:cs="Calibri" w:eastAsia="Calibri" w:hAnsi="Calibri"/>
                      <w:color w:val="3A3A3A"/>
                      <w:sz w:val="20"/>
                      <w:szCs w:val="20"/>
                    </w:rPr>
                    <w:t xml:space="preserve">Gestión de riesgo reputacional y regulatorio</w:t>
                  </w:r>
                </w:p>
                <w:p>
                  <w:pPr>
                    <w:pStyle w:val="ListParagraph"/>
                    <w:numPr>
                      <w:ilvl w:val="0"/>
                      <w:numId w:val="1"/>
                    </w:numPr>
                    <w:spacing w:after="0"/>
                  </w:pPr>
                  <w:r>
                    <w:rPr>
                      <w:rFonts w:ascii="Calibri" w:cs="Calibri" w:eastAsia="Calibri" w:hAnsi="Calibri"/>
                      <w:color w:val="3A3A3A"/>
                      <w:sz w:val="20"/>
                      <w:szCs w:val="20"/>
                    </w:rPr>
                    <w:t xml:space="preserve">Acompañamiento en adopción tecnológica al ritmo de la operación</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instituciones de salud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ha liderado la recertificación bajo ISO/IEC 27001:2022 de sistemas que protegen información crítica del Estado — el mismo estándar que hoy respalda el manejo responsable de datos clínicos.</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9"/>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Protección de datos de clientes y analítica de negocio para el sector comercio</w:t>
            </w:r>
          </w:p>
          <w:p>
            <w:pPr>
              <w:spacing w:after="340"/>
              <w:jc w:val="both"/>
            </w:pPr>
            <w:r>
              <w:rPr>
                <w:rFonts w:ascii="Calibri" w:cs="Calibri" w:eastAsia="Calibri" w:hAnsi="Calibri"/>
                <w:color w:val="3A3A3A"/>
                <w:sz w:val="21"/>
                <w:szCs w:val="21"/>
              </w:rPr>
              <w:t xml:space="preserve">La Ley 1581 de 2012 aplica a cualquier negocio que recolecte datos de clientes, independientemente de su tamaño o trayectoria. La analítica de negocio, a su vez, se ha vuelto un factor de competitividad frente a operadores de mayor escala.</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0"/>
                  </w:pPr>
                  <w:r>
                    <w:rPr>
                      <w:rFonts w:ascii="Calibri" w:cs="Calibri" w:eastAsia="Calibri" w:hAnsi="Calibri"/>
                      <w:color w:val="3A3A3A"/>
                      <w:sz w:val="20"/>
                      <w:szCs w:val="20"/>
                    </w:rPr>
                    <w:t xml:space="preserve">Protección de datos personales adaptada a la escala de la organización</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Analítica de negocio: segmentación de clientes y comportamiento de compra</w:t>
                  </w:r>
                </w:p>
                <w:p>
                  <w:pPr>
                    <w:pStyle w:val="ListParagraph"/>
                    <w:numPr>
                      <w:ilvl w:val="0"/>
                      <w:numId w:val="1"/>
                    </w:numPr>
                    <w:spacing w:after="0"/>
                  </w:pPr>
                  <w:r>
                    <w:rPr>
                      <w:rFonts w:ascii="Calibri" w:cs="Calibri" w:eastAsia="Calibri" w:hAnsi="Calibri"/>
                      <w:color w:val="3A3A3A"/>
                      <w:sz w:val="20"/>
                      <w:szCs w:val="20"/>
                    </w:rPr>
                    <w:t xml:space="preserve">Gobernanza de datos como base para el crecimiento</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negocios del sector comercio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acompaña la implementación de sistemas de gestión de inteligencia artificial (SGIA/AIMS) en organismos colombianos — la misma mirada que hoy necesita el comercio para competir con datos, no solo con precio.</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10"/>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Transformación digital y contratación tecnológica para el sector industrial</w:t>
            </w:r>
          </w:p>
          <w:p>
            <w:pPr>
              <w:spacing w:after="340"/>
              <w:jc w:val="both"/>
            </w:pPr>
            <w:r>
              <w:rPr>
                <w:rFonts w:ascii="Calibri" w:cs="Calibri" w:eastAsia="Calibri" w:hAnsi="Calibri"/>
                <w:color w:val="3A3A3A"/>
                <w:sz w:val="21"/>
                <w:szCs w:val="21"/>
              </w:rPr>
              <w:t xml:space="preserve">La adopción de tecnología en procesos industriales exige mantener al mismo ritmo el respaldo contractual y la protección de datos del talento humano. La gestión de riesgo operacional y la protección de datos son, cada vez más, ejes centrales de una operación industrial moderna.</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Contratación tecnológica</w:t>
                  </w:r>
                </w:p>
                <w:p>
                  <w:pPr>
                    <w:pStyle w:val="ListParagraph"/>
                    <w:numPr>
                      <w:ilvl w:val="0"/>
                      <w:numId w:val="1"/>
                    </w:numPr>
                    <w:spacing w:after="0"/>
                  </w:pPr>
                  <w:r>
                    <w:rPr>
                      <w:rFonts w:ascii="Calibri" w:cs="Calibri" w:eastAsia="Calibri" w:hAnsi="Calibri"/>
                      <w:color w:val="3A3A3A"/>
                      <w:sz w:val="20"/>
                      <w:szCs w:val="20"/>
                    </w:rPr>
                    <w:t xml:space="preserve">Protección de datos personales del talento humano</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Diagnóstico de madurez digital y hoja de ruta hacia industria 4.0</w:t>
                  </w:r>
                </w:p>
                <w:p>
                  <w:pPr>
                    <w:pStyle w:val="ListParagraph"/>
                    <w:numPr>
                      <w:ilvl w:val="0"/>
                      <w:numId w:val="1"/>
                    </w:numPr>
                    <w:spacing w:after="130"/>
                  </w:pPr>
                  <w:r>
                    <w:rPr>
                      <w:rFonts w:ascii="Calibri" w:cs="Calibri" w:eastAsia="Calibri" w:hAnsi="Calibri"/>
                      <w:color w:val="3A3A3A"/>
                      <w:sz w:val="20"/>
                      <w:szCs w:val="20"/>
                    </w:rPr>
                    <w:t xml:space="preserve">Gestión de riesgo operacional integrada</w:t>
                  </w:r>
                </w:p>
                <w:p>
                  <w:pPr>
                    <w:pStyle w:val="ListParagraph"/>
                    <w:numPr>
                      <w:ilvl w:val="0"/>
                      <w:numId w:val="1"/>
                    </w:numPr>
                    <w:spacing w:after="130"/>
                  </w:pPr>
                  <w:r>
                    <w:rPr>
                      <w:rFonts w:ascii="Calibri" w:cs="Calibri" w:eastAsia="Calibri" w:hAnsi="Calibri"/>
                      <w:color w:val="3A3A3A"/>
                      <w:sz w:val="20"/>
                      <w:szCs w:val="20"/>
                    </w:rPr>
                    <w:t xml:space="preserve">Levantamiento y rediseño de procesos</w:t>
                  </w:r>
                </w:p>
                <w:p>
                  <w:pPr>
                    <w:pStyle w:val="ListParagraph"/>
                    <w:numPr>
                      <w:ilvl w:val="0"/>
                      <w:numId w:val="1"/>
                    </w:numPr>
                    <w:spacing w:after="0"/>
                  </w:pPr>
                  <w:r>
                    <w:rPr>
                      <w:rFonts w:ascii="Calibri" w:cs="Calibri" w:eastAsia="Calibri" w:hAnsi="Calibri"/>
                      <w:color w:val="3A3A3A"/>
                      <w:sz w:val="20"/>
                      <w:szCs w:val="20"/>
                    </w:rPr>
                    <w:t xml:space="preserve">Gestión del cambio organizacional</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empresas del sector industrial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ha asesorado procesos de compra pública y contratación tecnológica, y co-creó la metodología de innovación urbana de los retos de ciudad de inteligencia artificial de Bogotá — experiencia que hoy se traduce en hojas de ruta concretas para la industria.</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11"/>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Protección de datos y gestión de riesgo operacional para el sector transporte y logística</w:t>
            </w:r>
          </w:p>
          <w:p>
            <w:pPr>
              <w:spacing w:after="340"/>
              <w:jc w:val="both"/>
            </w:pPr>
            <w:r>
              <w:rPr>
                <w:rFonts w:ascii="Calibri" w:cs="Calibri" w:eastAsia="Calibri" w:hAnsi="Calibri"/>
                <w:color w:val="3A3A3A"/>
                <w:sz w:val="21"/>
                <w:szCs w:val="21"/>
              </w:rPr>
              <w:t xml:space="preserve">La operación de transporte y logística genera datos de geolocalización y de pasajeros o clientes de forma constante, bajo un marco normativo que exige su protección. La gestión de riesgo operacional —seguridad vial, seguros, cumplimiento— es, a la vez, un frente central de la operación.</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0"/>
                  </w:pPr>
                  <w:r>
                    <w:rPr>
                      <w:rFonts w:ascii="Calibri" w:cs="Calibri" w:eastAsia="Calibri" w:hAnsi="Calibri"/>
                      <w:color w:val="3A3A3A"/>
                      <w:sz w:val="20"/>
                      <w:szCs w:val="20"/>
                    </w:rPr>
                    <w:t xml:space="preserve">Protección de datos personales de geolocalización y de pasajeros o clientes</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Gestión de riesgo operacional: seguridad vial, seguros y cumplimiento</w:t>
                  </w:r>
                </w:p>
                <w:p>
                  <w:pPr>
                    <w:pStyle w:val="ListParagraph"/>
                    <w:numPr>
                      <w:ilvl w:val="0"/>
                      <w:numId w:val="1"/>
                    </w:numPr>
                    <w:spacing w:after="0"/>
                  </w:pPr>
                  <w:r>
                    <w:rPr>
                      <w:rFonts w:ascii="Calibri" w:cs="Calibri" w:eastAsia="Calibri" w:hAnsi="Calibri"/>
                      <w:color w:val="3A3A3A"/>
                      <w:sz w:val="20"/>
                      <w:szCs w:val="20"/>
                    </w:rPr>
                    <w:t xml:space="preserve">Transformación digital y analítica aplicada a la optimización de flotas y rutas</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empresas de transporte y logística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co-creó la metodología de innovación urbana aplicada en tres retos de ciudad de inteligencia artificial del Plan Distrital de Desarrollo de Bogotá — la misma mirada de movilidad inteligente que hoy aplica al transporte y la logística.</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12"/>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Gobernanza de datos y protección de información para agencias de marketing, publicidad y eventos</w:t>
            </w:r>
          </w:p>
          <w:p>
            <w:pPr>
              <w:spacing w:after="340"/>
              <w:jc w:val="both"/>
            </w:pPr>
            <w:r>
              <w:rPr>
                <w:rFonts w:ascii="Calibri" w:cs="Calibri" w:eastAsia="Calibri" w:hAnsi="Calibri"/>
                <w:color w:val="3A3A3A"/>
                <w:sz w:val="21"/>
                <w:szCs w:val="21"/>
              </w:rPr>
              <w:t xml:space="preserve">Las agencias del sector manejan simultáneamente su propia base de datos y la de cada cliente que atienden, una condición jurídica particular que exige claridad contractual sobre responsabilidades. La analítica de campañas, además, depende de una gestión de datos formal.</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Protección de datos personales enfocada en el manejo de bases de terceros</w:t>
                  </w:r>
                </w:p>
                <w:p>
                  <w:pPr>
                    <w:pStyle w:val="ListParagraph"/>
                    <w:numPr>
                      <w:ilvl w:val="0"/>
                      <w:numId w:val="1"/>
                    </w:numPr>
                    <w:spacing w:after="0"/>
                  </w:pPr>
                  <w:r>
                    <w:rPr>
                      <w:rFonts w:ascii="Calibri" w:cs="Calibri" w:eastAsia="Calibri" w:hAnsi="Calibri"/>
                      <w:color w:val="3A3A3A"/>
                      <w:sz w:val="20"/>
                      <w:szCs w:val="20"/>
                    </w:rPr>
                    <w:t xml:space="preserve">Contratos que delimitan responsabilidades entre agencia y cliente</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Gobernanza de datos</w:t>
                  </w:r>
                </w:p>
                <w:p>
                  <w:pPr>
                    <w:pStyle w:val="ListParagraph"/>
                    <w:numPr>
                      <w:ilvl w:val="0"/>
                      <w:numId w:val="1"/>
                    </w:numPr>
                    <w:spacing w:after="0"/>
                  </w:pPr>
                  <w:r>
                    <w:rPr>
                      <w:rFonts w:ascii="Calibri" w:cs="Calibri" w:eastAsia="Calibri" w:hAnsi="Calibri"/>
                      <w:color w:val="3A3A3A"/>
                      <w:sz w:val="20"/>
                      <w:szCs w:val="20"/>
                    </w:rPr>
                    <w:t xml:space="preserve">Analítica de negocio aplicada a campañas y segmentación</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agencias de marketing, publicidad y eventos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acompaña la implementación de sistemas de gestión de inteligencia artificial (SGIA/AIMS) en organismos colombianos — el mismo rigor de gobernanza que hoy exige el uso de datos en campañas y analítica.</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13"/>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Protección de datos de huéspedes y cumplimiento SIAT para el sector turismo y hotelería</w:t>
            </w:r>
          </w:p>
          <w:p>
            <w:pPr>
              <w:spacing w:after="340"/>
              <w:jc w:val="both"/>
            </w:pPr>
            <w:r>
              <w:rPr>
                <w:rFonts w:ascii="Calibri" w:cs="Calibri" w:eastAsia="Calibri" w:hAnsi="Calibri"/>
                <w:color w:val="3A3A3A"/>
                <w:sz w:val="21"/>
                <w:szCs w:val="21"/>
              </w:rPr>
              <w:t xml:space="preserve">El sector turismo y hotelería maneja datos de huéspedes nacionales y extranjeros bajo exigencias de reporte específicas (SIAT), en operaciones con alta rotación de personal. Sostener protocolos de datos consistentes en el tiempo es, en ese contexto, un factor clave de cumplimiento y de experiencia del huésped.</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Protección de datos personales y seguridad de la información aplicadas a datos de huéspedes, incluido el reporte SIAT</w:t>
                  </w:r>
                </w:p>
                <w:p>
                  <w:pPr>
                    <w:pStyle w:val="ListParagraph"/>
                    <w:numPr>
                      <w:ilvl w:val="0"/>
                      <w:numId w:val="1"/>
                    </w:numPr>
                    <w:spacing w:after="0"/>
                  </w:pPr>
                  <w:r>
                    <w:rPr>
                      <w:rFonts w:ascii="Calibri" w:cs="Calibri" w:eastAsia="Calibri" w:hAnsi="Calibri"/>
                      <w:color w:val="3A3A3A"/>
                      <w:sz w:val="20"/>
                      <w:szCs w:val="20"/>
                    </w:rPr>
                    <w:t xml:space="preserve">Servicios jurídicos integrales para contratos con operadores y plataformas de reserva</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0"/>
                  </w:pPr>
                  <w:r>
                    <w:rPr>
                      <w:rFonts w:ascii="Calibri" w:cs="Calibri" w:eastAsia="Calibri" w:hAnsi="Calibri"/>
                      <w:color w:val="3A3A3A"/>
                      <w:sz w:val="20"/>
                      <w:szCs w:val="20"/>
                    </w:rPr>
                    <w:t xml:space="preserve">Gestión de procesos: protocolos operativos sostenibles ante la rotación de personal</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empresas de turismo y hotelería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ha liderado la recertificación bajo ISO/IEC 27001:2022 de sistemas que protegen información crítica del Estado — el mismo estándar que hoy exige el manejo responsable de datos de huéspedes.</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14"/>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Protección reforzada de datos de menores de edad para instituciones educativas</w:t>
            </w:r>
          </w:p>
          <w:p>
            <w:pPr>
              <w:spacing w:after="340"/>
              <w:jc w:val="both"/>
            </w:pPr>
            <w:r>
              <w:rPr>
                <w:rFonts w:ascii="Calibri" w:cs="Calibri" w:eastAsia="Calibri" w:hAnsi="Calibri"/>
                <w:color w:val="3A3A3A"/>
                <w:sz w:val="21"/>
                <w:szCs w:val="21"/>
              </w:rPr>
              <w:t xml:space="preserve">El tratamiento de datos de estudiantes, en su mayoría menores de edad, exige un estándar reforzado bajo la normativa de protección de datos personales, en un contexto de creciente dependencia de proveedores y plataformas educativas (edtech).</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130"/>
                  </w:pPr>
                  <w:r>
                    <w:rPr>
                      <w:rFonts w:ascii="Calibri" w:cs="Calibri" w:eastAsia="Calibri" w:hAnsi="Calibri"/>
                      <w:color w:val="3A3A3A"/>
                      <w:sz w:val="20"/>
                      <w:szCs w:val="20"/>
                    </w:rPr>
                    <w:t xml:space="preserve">Protección de datos personales con el estándar reforzado para datos de menores de edad</w:t>
                  </w:r>
                </w:p>
                <w:p>
                  <w:pPr>
                    <w:pStyle w:val="ListParagraph"/>
                    <w:numPr>
                      <w:ilvl w:val="0"/>
                      <w:numId w:val="1"/>
                    </w:numPr>
                    <w:spacing w:after="0"/>
                  </w:pPr>
                  <w:r>
                    <w:rPr>
                      <w:rFonts w:ascii="Calibri" w:cs="Calibri" w:eastAsia="Calibri" w:hAnsi="Calibri"/>
                      <w:color w:val="3A3A3A"/>
                      <w:sz w:val="20"/>
                      <w:szCs w:val="20"/>
                    </w:rPr>
                    <w:t xml:space="preserve">Servicios jurídicos integrales para contratos con proveedores y plataformas edtech</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0"/>
                  </w:pPr>
                  <w:r>
                    <w:rPr>
                      <w:rFonts w:ascii="Calibri" w:cs="Calibri" w:eastAsia="Calibri" w:hAnsi="Calibri"/>
                      <w:color w:val="3A3A3A"/>
                      <w:sz w:val="20"/>
                      <w:szCs w:val="20"/>
                    </w:rPr>
                    <w:t xml:space="preserve">Gestión de procesos: protocolos internos de manejo de información estudiantil</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instituciones educativas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cuenta con formación certificada en ISO/IEC 27001:2022 e ISO/IEC 27005:2022 — la base técnica del estándar reforzado que exige hoy la protección de datos de menores de edad.</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p>
      <w:pPr>
        <w:sectPr>
          <w:headerReference w:type="default" r:id="rId15"/>
          <w:pgSz w:w="12240" w:h="15840" w:orient="portrait"/>
          <w:pgMar w:top="560" w:right="900" w:bottom="560" w:left="900" w:header="300" w:footer="708" w:gutter="0"/>
          <w:pgNumType/>
          <w:docGrid w:linePitch="360"/>
        </w:sectPr>
      </w:pPr>
    </w:p>
    <w:p>
      <w:pPr>
        <w:tabs>
          <w:tab w:val="right" w:pos="10440"/>
        </w:tabs>
        <w:spacing w:after="20"/>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409575"/>
                    </a:xfrm>
                    <a:prstGeom prst="rect">
                      <a:avLst/>
                    </a:prstGeom>
                  </pic:spPr>
                </pic:pic>
              </a:graphicData>
            </a:graphic>
          </wp:inline>
        </w:drawing>
      </w:r>
      <w:r>
        <w:t xml:space="preserve">	</w:t>
      </w:r>
      <w:r>
        <w:rPr>
          <w:rFonts w:ascii="Calibri" w:cs="Calibri" w:eastAsia="Calibri" w:hAnsi="Calibri"/>
          <w:b/>
          <w:bCs/>
          <w:color w:val="0D354D"/>
          <w:spacing w:val="10"/>
          <w:sz w:val="15"/>
          <w:szCs w:val="15"/>
        </w:rPr>
        <w:t xml:space="preserve">ORGANIZACIÓN · DERECHO · DATOS</w:t>
      </w:r>
    </w:p>
    <w:p>
      <w:pPr>
        <w:spacing w:after="100"/>
        <w:jc w:val="right"/>
      </w:pPr>
      <w:r>
        <w:rPr>
          <w:rFonts w:ascii="Calibri" w:cs="Calibri" w:eastAsia="Calibri" w:hAnsi="Calibri"/>
          <w:b/>
          <w:bCs/>
          <w:color w:val="8FA84E"/>
          <w:spacing w:val="14"/>
          <w:sz w:val="13"/>
          <w:szCs w:val="13"/>
        </w:rPr>
        <w:t xml:space="preserve">PERSPECTIVA SECTORIAL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140"/>
        <w:gridCol w:w="3300"/>
      </w:tblGrid>
      <w:tr>
        <w:trPr>
          <w:trHeight w:val="11400" w:hRule="atLeast"/>
        </w:trPr>
        <w:tc>
          <w:tcPr>
            <w:tcW w:type="dxa" w:w="7140"/>
            <w:tcMar>
              <w:top w:type="dxa" w:w="0"/>
              <w:left w:type="dxa" w:w="0"/>
              <w:bottom w:type="dxa" w:w="0"/>
              <w:right w:type="dxa" w:w="340"/>
            </w:tcMar>
            <w:vAlign w:val="top"/>
          </w:tcPr>
          <w:p>
            <w:pPr>
              <w:pBdr>
                <w:bottom w:val="single" w:color="0D354D" w:sz="16" w:space="14"/>
              </w:pBdr>
              <w:spacing w:after="260"/>
            </w:pPr>
            <w:r>
              <w:rPr>
                <w:rFonts w:ascii="Calibri" w:cs="Calibri" w:eastAsia="Calibri" w:hAnsi="Calibri"/>
                <w:b/>
                <w:bCs/>
                <w:color w:val="0D354D"/>
                <w:sz w:val="32"/>
                <w:szCs w:val="32"/>
              </w:rPr>
              <w:t xml:space="preserve">Gobernanza de datos como aliado de firmas de consultoría y servicios profesionales</w:t>
            </w:r>
          </w:p>
          <w:p>
            <w:pPr>
              <w:spacing w:after="340"/>
              <w:jc w:val="both"/>
            </w:pPr>
            <w:r>
              <w:rPr>
                <w:rFonts w:ascii="Calibri" w:cs="Calibri" w:eastAsia="Calibri" w:hAnsi="Calibri"/>
                <w:color w:val="3A3A3A"/>
                <w:sz w:val="21"/>
                <w:szCs w:val="21"/>
              </w:rPr>
              <w:t xml:space="preserve">Las firmas de servicios profesionales manejan información sensible de sus propios clientes, y con frecuencia el conocimiento crítico de la organización se concentra en pocas personas. Ampliar la oferta con protección de datos personales implica, hoy, construir un área nueva.</w:t>
            </w:r>
          </w:p>
          <w:p>
            <w:pPr>
              <w:spacing w:after="180"/>
            </w:pPr>
            <w:r>
              <w:rPr>
                <w:rFonts w:ascii="Calibri" w:cs="Calibri" w:eastAsia="Calibri" w:hAnsi="Calibri"/>
                <w:b/>
                <w:bCs/>
                <w:color w:val="0D354D"/>
                <w:spacing w:val="12"/>
                <w:sz w:val="18"/>
                <w:szCs w:val="18"/>
              </w:rPr>
              <w:t xml:space="preserve">LÍNEAS DE TRABAJO</w:t>
            </w:r>
          </w:p>
          <w:tbl>
            <w:tblPr>
              <w:tblW w:type="dxa" w:w="7140"/>
              <w:tblBorders>
                <w:top w:val="none" w:color="FFFFFF" w:sz="0"/>
                <w:left w:val="none" w:color="FFFFFF" w:sz="0"/>
                <w:bottom w:val="none" w:color="FFFFFF" w:sz="0"/>
                <w:right w:val="none" w:color="FFFFFF" w:sz="0"/>
                <w:insideH w:val="none" w:color="FFFFFF" w:sz="0"/>
                <w:insideV w:val="none" w:color="FFFFFF" w:sz="0"/>
              </w:tblBorders>
            </w:tblPr>
            <w:tblGrid>
              <w:gridCol w:w="3570"/>
              <w:gridCol w:w="3570"/>
            </w:tblGrid>
            <w:tr>
              <w:tc>
                <w:tcPr>
                  <w:tcW w:type="dxa" w:w="5100"/>
                  <w:tcBorders>
                    <w:top w:val="single" w:color="0D354D" w:sz="24"/>
                    <w:left w:val="none" w:color="FFFFFF" w:sz="0"/>
                    <w:bottom w:val="none" w:color="FFFFFF" w:sz="0"/>
                    <w:right w:val="none" w:color="FFFFFF" w:sz="0"/>
                  </w:tcBorders>
                  <w:shd w:fill="EEF2F5" w:val="clear"/>
                  <w:tcMar>
                    <w:top w:type="dxa" w:w="220"/>
                    <w:left w:type="dxa" w:w="240"/>
                    <w:bottom w:type="dxa" w:w="240"/>
                    <w:right w:type="dxa" w:w="240"/>
                  </w:tcMar>
                  <w:vAlign w:val="top"/>
                </w:tcPr>
                <w:p>
                  <w:pPr>
                    <w:spacing w:after="160"/>
                  </w:pPr>
                  <w:r>
                    <w:rPr>
                      <w:rFonts w:ascii="Calibri" w:cs="Calibri" w:eastAsia="Calibri" w:hAnsi="Calibri"/>
                      <w:b/>
                      <w:bCs/>
                      <w:color w:val="0D354D"/>
                      <w:sz w:val="24"/>
                      <w:szCs w:val="24"/>
                    </w:rPr>
                    <w:t xml:space="preserve">✓  </w:t>
                  </w:r>
                  <w:r>
                    <w:rPr>
                      <w:rFonts w:ascii="Calibri" w:cs="Calibri" w:eastAsia="Calibri" w:hAnsi="Calibri"/>
                      <w:b/>
                      <w:bCs/>
                      <w:color w:val="0D354D"/>
                      <w:spacing w:val="8"/>
                      <w:sz w:val="17"/>
                      <w:szCs w:val="17"/>
                    </w:rPr>
                    <w:t xml:space="preserve">JURÍDICO</w:t>
                  </w:r>
                </w:p>
                <w:p>
                  <w:pPr>
                    <w:pStyle w:val="ListParagraph"/>
                    <w:numPr>
                      <w:ilvl w:val="0"/>
                      <w:numId w:val="1"/>
                    </w:numPr>
                    <w:spacing w:after="0"/>
                  </w:pPr>
                  <w:r>
                    <w:rPr>
                      <w:rFonts w:ascii="Calibri" w:cs="Calibri" w:eastAsia="Calibri" w:hAnsi="Calibri"/>
                      <w:color w:val="3A3A3A"/>
                      <w:sz w:val="20"/>
                      <w:szCs w:val="20"/>
                    </w:rPr>
                    <w:t xml:space="preserve">Protección de datos personales como componente que se integra a la oferta actual de la firma</w:t>
                  </w:r>
                </w:p>
              </w:tc>
              <w:tc>
                <w:tcPr>
                  <w:tcW w:type="dxa" w:w="5100"/>
                  <w:tcBorders>
                    <w:top w:val="single" w:color="8FA84E" w:sz="24"/>
                    <w:left w:val="none" w:color="FFFFFF" w:sz="0"/>
                    <w:bottom w:val="none" w:color="FFFFFF" w:sz="0"/>
                    <w:right w:val="none" w:color="FFFFFF" w:sz="0"/>
                  </w:tcBorders>
                  <w:shd w:fill="F3F6EC" w:val="clear"/>
                  <w:tcMar>
                    <w:top w:type="dxa" w:w="220"/>
                    <w:left w:type="dxa" w:w="240"/>
                    <w:bottom w:type="dxa" w:w="240"/>
                    <w:right w:type="dxa" w:w="240"/>
                  </w:tcMar>
                  <w:vAlign w:val="top"/>
                </w:tcPr>
                <w:p>
                  <w:pPr>
                    <w:spacing w:after="160"/>
                  </w:pPr>
                  <w:r>
                    <w:rPr>
                      <w:rFonts w:ascii="Calibri" w:cs="Calibri" w:eastAsia="Calibri" w:hAnsi="Calibri"/>
                      <w:b/>
                      <w:bCs/>
                      <w:color w:val="8FA84E"/>
                      <w:sz w:val="24"/>
                      <w:szCs w:val="24"/>
                    </w:rPr>
                    <w:t xml:space="preserve">✓  </w:t>
                  </w:r>
                  <w:r>
                    <w:rPr>
                      <w:rFonts w:ascii="Calibri" w:cs="Calibri" w:eastAsia="Calibri" w:hAnsi="Calibri"/>
                      <w:b/>
                      <w:bCs/>
                      <w:color w:val="0D354D"/>
                      <w:spacing w:val="8"/>
                      <w:sz w:val="17"/>
                      <w:szCs w:val="17"/>
                    </w:rPr>
                    <w:t xml:space="preserve">ORGANIZACIONAL</w:t>
                  </w:r>
                </w:p>
                <w:p>
                  <w:pPr>
                    <w:pStyle w:val="ListParagraph"/>
                    <w:numPr>
                      <w:ilvl w:val="0"/>
                      <w:numId w:val="1"/>
                    </w:numPr>
                    <w:spacing w:after="130"/>
                  </w:pPr>
                  <w:r>
                    <w:rPr>
                      <w:rFonts w:ascii="Calibri" w:cs="Calibri" w:eastAsia="Calibri" w:hAnsi="Calibri"/>
                      <w:color w:val="3A3A3A"/>
                      <w:sz w:val="20"/>
                      <w:szCs w:val="20"/>
                    </w:rPr>
                    <w:t xml:space="preserve">Gobernanza de datos y gestión de procesos, incluida la transferencia de conocimiento dentro de la firma</w:t>
                  </w:r>
                </w:p>
                <w:p>
                  <w:pPr>
                    <w:pStyle w:val="ListParagraph"/>
                    <w:numPr>
                      <w:ilvl w:val="0"/>
                      <w:numId w:val="1"/>
                    </w:numPr>
                    <w:spacing w:after="0"/>
                  </w:pPr>
                  <w:r>
                    <w:rPr>
                      <w:rFonts w:ascii="Calibri" w:cs="Calibri" w:eastAsia="Calibri" w:hAnsi="Calibri"/>
                      <w:color w:val="3A3A3A"/>
                      <w:sz w:val="20"/>
                      <w:szCs w:val="20"/>
                    </w:rPr>
                    <w:t xml:space="preserve">Modelo de alianza: trabajo dentro de los contratos existentes entre la firma y sus clientes</w:t>
                  </w:r>
                </w:p>
              </w:tc>
            </w:tr>
          </w:tbl>
          <w:p>
            <w:pPr>
              <w:spacing w:after="220" w:before="140"/>
            </w:pPr>
            <w:r>
              <w:rPr>
                <w:rFonts w:ascii="Calibri" w:cs="Calibri" w:eastAsia="Calibri" w:hAnsi="Calibri"/>
                <w:i/>
                <w:iCs/>
                <w:color w:val="8A8A8A"/>
                <w:sz w:val="17"/>
                <w:szCs w:val="17"/>
              </w:rPr>
              <w:t xml:space="preserve">Estas son algunas de las líneas donde Bitik trabaja con mayor frecuencia en el sector; el alcance se ajusta al reto específico de cada organización.</w:t>
            </w:r>
          </w:p>
          <w:p>
            <w:pPr>
              <w:spacing w:after="160" w:before="120"/>
            </w:pPr>
            <w:r>
              <w:rPr>
                <w:rFonts w:ascii="Calibri" w:cs="Calibri" w:eastAsia="Calibri" w:hAnsi="Calibri"/>
                <w:b/>
                <w:bCs/>
                <w:color w:val="0D354D"/>
                <w:spacing w:val="12"/>
                <w:sz w:val="18"/>
                <w:szCs w:val="18"/>
              </w:rPr>
              <w:t xml:space="preserve">CÓMO TRABAJAMOS</w:t>
            </w:r>
          </w:p>
          <w:p>
            <w:pPr>
              <w:jc w:val="both"/>
            </w:pPr>
            <w:r>
              <w:rPr>
                <w:rFonts w:ascii="Calibri" w:cs="Calibri" w:eastAsia="Calibri" w:hAnsi="Calibri"/>
                <w:color w:val="3A3A3A"/>
                <w:sz w:val="21"/>
                <w:szCs w:val="21"/>
              </w:rPr>
              <w:t xml:space="preserve">Bitik acompaña a firmas de servicios profesionales y consultoría a gestionar, con una sola mirada, los tres frentes que hoy definen su operación: la protección de datos y la seguridad de la información, la transformación organizacional del negocio, y el respaldo jurídico. Un equipo multidisciplinario que resuelve el reto puntual y, además, deja instalada la capacidad para sostenerlo dentro de la propia organización.</w:t>
            </w:r>
          </w:p>
        </w:tc>
        <w:tc>
          <w:tcPr>
            <w:tcW w:type="dxa" w:w="3300"/>
            <w:shd w:fill="0D354D" w:val="clear"/>
            <w:tcMar>
              <w:top w:type="dxa" w:w="320"/>
              <w:left w:type="dxa" w:w="320"/>
              <w:bottom w:type="dxa" w:w="320"/>
              <w:right w:type="dxa" w:w="320"/>
            </w:tcMar>
            <w:vAlign w:val="top"/>
          </w:tcPr>
          <w:p>
            <w:pPr>
              <w:pBdr>
                <w:bottom w:val="single" w:color="6E8FA6" w:sz="10" w:space="10"/>
              </w:pBdr>
              <w:spacing w:after="220"/>
            </w:pPr>
            <w:r>
              <w:rPr>
                <w:rFonts w:ascii="Calibri" w:cs="Calibri" w:eastAsia="Calibri" w:hAnsi="Calibri"/>
                <w:b/>
                <w:bCs/>
                <w:color w:val="FFFFFF"/>
                <w:spacing w:val="12"/>
                <w:sz w:val="17"/>
                <w:szCs w:val="17"/>
              </w:rPr>
              <w:t xml:space="preserve">EXPERIENCIA</w:t>
            </w:r>
          </w:p>
          <w:p>
            <w:pPr>
              <w:spacing w:after="0"/>
              <w:jc w:val="both"/>
            </w:pPr>
            <w:r>
              <w:rPr>
                <w:rFonts w:ascii="Calibri" w:cs="Calibri" w:eastAsia="Calibri" w:hAnsi="Calibri"/>
                <w:i/>
                <w:iCs/>
                <w:color w:val="FFFFFF"/>
                <w:sz w:val="20"/>
                <w:szCs w:val="20"/>
              </w:rPr>
              <w:t xml:space="preserve">Bitik ha diseñado e implementado programas de gobierno de datos e inventarios de activos de información para cámaras de comercio — la misma experiencia que hoy pone al servicio de otras firmas, como aliado.</w:t>
            </w:r>
          </w:p>
        </w:tc>
      </w:tr>
    </w:tbl>
    <w:p>
      <w:pPr>
        <w:shd w:fill="0D354D" w:val="clear"/>
        <w:spacing w:after="0" w:before="0"/>
        <w:jc w:val="center"/>
      </w:pPr>
      <w:r>
        <w:rPr>
          <w:sz w:val="16"/>
          <w:szCs w:val="16"/>
        </w:rPr>
        <w:t xml:space="preserve"> </w:t>
      </w:r>
    </w:p>
    <w:p>
      <w:pPr>
        <w:shd w:fill="0D354D" w:val="clear"/>
        <w:spacing w:after="0" w:before="0"/>
        <w:jc w:val="center"/>
      </w:pPr>
      <w:r>
        <w:rPr>
          <w:rFonts w:ascii="Calibri" w:cs="Calibri" w:eastAsia="Calibri" w:hAnsi="Calibri"/>
          <w:b/>
          <w:bCs/>
          <w:color w:val="FFFFFF"/>
          <w:spacing w:val="10"/>
          <w:sz w:val="16"/>
          <w:szCs w:val="16"/>
        </w:rPr>
        <w:t xml:space="preserve">PARA CONVERSAR SOBRE SU CASO — ESCRÍBANOS</w:t>
      </w:r>
    </w:p>
    <w:p>
      <w:pPr>
        <w:shd w:fill="0D354D" w:val="clear"/>
        <w:spacing w:after="0" w:before="0"/>
        <w:jc w:val="center"/>
      </w:pPr>
      <w:r>
        <w:rPr>
          <w:sz w:val="10"/>
          <w:szCs w:val="10"/>
        </w:rPr>
        <w:t xml:space="preserve"> </w:t>
      </w:r>
    </w:p>
    <w:p>
      <w:pPr>
        <w:shd w:fill="0D354D" w:val="clear"/>
        <w:spacing w:after="0" w:before="0"/>
        <w:jc w:val="center"/>
      </w:pPr>
      <w:r>
        <w:rPr>
          <w:rFonts w:ascii="Calibri" w:cs="Calibri" w:eastAsia="Calibri" w:hAnsi="Calibri"/>
          <w:b/>
          <w:bCs/>
          <w:color w:val="FFFFFF"/>
          <w:sz w:val="19"/>
          <w:szCs w:val="19"/>
        </w:rPr>
        <w:t xml:space="preserve">contacto@bitik.co   ·   WhatsApp / Cel. 318 990 2130   ·   bitik.co</w:t>
      </w:r>
    </w:p>
    <w:p>
      <w:pPr>
        <w:shd w:fill="0D354D" w:val="clear"/>
        <w:spacing w:after="0" w:before="0"/>
        <w:jc w:val="center"/>
      </w:pPr>
      <w:r>
        <w:rPr>
          <w:sz w:val="8"/>
          <w:szCs w:val="8"/>
        </w:rPr>
        <w:t xml:space="preserve"> </w:t>
      </w:r>
    </w:p>
    <w:p>
      <w:pPr>
        <w:shd w:fill="0D354D" w:val="clear"/>
        <w:spacing w:after="0" w:before="0"/>
        <w:jc w:val="center"/>
      </w:pPr>
      <w:r>
        <w:rPr>
          <w:rFonts w:ascii="Calibri" w:cs="Calibri" w:eastAsia="Calibri" w:hAnsi="Calibri"/>
          <w:color w:val="B9C6D1"/>
          <w:sz w:val="16"/>
          <w:szCs w:val="16"/>
        </w:rPr>
        <w:t xml:space="preserve">Calle 85 # 12-66, Chapinero, Bogotá D.C.</w:t>
      </w:r>
    </w:p>
    <w:p>
      <w:pPr>
        <w:shd w:fill="0D354D" w:val="clear"/>
        <w:spacing w:after="0" w:before="0"/>
        <w:jc w:val="center"/>
      </w:pPr>
      <w:r>
        <w:rPr>
          <w:rFonts w:ascii="Calibri" w:cs="Calibri" w:eastAsia="Calibri" w:hAnsi="Calibri"/>
          <w:color w:val="B9C6D1"/>
          <w:sz w:val="16"/>
          <w:szCs w:val="16"/>
        </w:rPr>
        <w:t xml:space="preserve">Bitik S.A.S. — Desde 2018</w:t>
      </w:r>
    </w:p>
    <w:p>
      <w:pPr>
        <w:shd w:fill="0D354D" w:val="clear"/>
        <w:spacing w:after="0" w:before="0"/>
        <w:jc w:val="center"/>
      </w:pPr>
      <w:r>
        <w:rPr>
          <w:sz w:val="16"/>
          <w:szCs w:val="16"/>
        </w:rPr>
        <w:t xml:space="preserve"> </w:t>
      </w:r>
    </w:p>
    <w:sectPr>
      <w:headerReference w:type="default" r:id="rId16"/>
      <w:pgSz w:w="12240" w:h="15840" w:orient="portrait"/>
      <w:pgMar w:top="560" w:right="900" w:bottom="560" w:left="900" w:header="3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Financiero, Seguros y Fintech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Tecnología y Software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Salud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Comercio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Industria y Manufactura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Transporte y Logística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Marketing, Publicidad y Eventos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Turismo, Hotelería y Viajes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Educación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ashed" w:color="BFBFBF" w:sz="2" w:space="4"/>
      </w:pBdr>
      <w:spacing w:after="40"/>
    </w:pPr>
    <w:r>
      <w:rPr>
        <w:rFonts w:ascii="Calibri" w:cs="Calibri" w:eastAsia="Calibri" w:hAnsi="Calibri"/>
        <w:i/>
        <w:iCs/>
        <w:color w:val="8A8A8A"/>
        <w:sz w:val="14"/>
        <w:szCs w:val="14"/>
      </w:rPr>
      <w:t xml:space="preserve">USO INTERNO — no incluir en el envío final   ·   Sector: Servicios Profesionales, Consultoría y Jurídico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c66cee615ce6461e974933e7f232d4da4fe83aa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2026-09-15T16:48:49.298Z</dcterms:created>
  <dcterms:modified xsi:type="dcterms:W3CDTF">2026-09-15T16:48:49.306Z</dcterms:modified>
</cp:coreProperties>
</file>

<file path=docProps/custom.xml><?xml version="1.0" encoding="utf-8"?>
<Properties xmlns="http://schemas.openxmlformats.org/officeDocument/2006/custom-properties" xmlns:vt="http://schemas.openxmlformats.org/officeDocument/2006/docPropsVTypes"/>
</file>