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B3A5C"/>
          <w:sz w:val="40"/>
          <w:szCs w:val="40"/>
        </w:rPr>
        <w:t xml:space="preserve">SCHEMA DI METROLOGIA ANTICA</w:t>
      </w:r>
    </w:p>
    <w:p>
      <w:pPr>
        <w:spacing w:after="80" w:before="0"/>
        <w:jc w:val="center"/>
      </w:pPr>
      <w:r>
        <w:rPr>
          <w:rFonts w:ascii="Arial" w:cs="Arial" w:eastAsia="Arial" w:hAnsi="Arial"/>
          <w:color w:val="2E6DA4"/>
          <w:sz w:val="22"/>
          <w:szCs w:val="22"/>
        </w:rPr>
        <w:t xml:space="preserve">Moduli, sottomultipli, multipli, attestazioni e casi di studio per sistema</w:t>
      </w:r>
    </w:p>
    <w:p>
      <w:pPr>
        <w:spacing w:after="300" w:before="0"/>
        <w:jc w:val="center"/>
      </w:pPr>
      <w:r>
        <w:rPr>
          <w:rFonts w:ascii="Arial" w:cs="Arial" w:eastAsia="Arial" w:hAnsi="Arial"/>
          <w:color w:val="888888"/>
          <w:sz w:val="16"/>
          <w:szCs w:val="16"/>
        </w:rPr>
        <w:t xml:space="preserve">Fonti: rilievoarcheologico.it • Treccani • Cicala–Vecchio 2014/2019 • Vitruvio, De Architectura • Tabula mensoria di Leptis Magna • AJA • Nexus Network Journal • MDPI Archaeology</w:t>
      </w:r>
    </w:p>
    <w:p>
      <w:pPr>
        <w:pStyle w:val="Heading1"/>
        <w:spacing w:after="120" w:before="320"/>
      </w:pPr>
      <w:r>
        <w:rPr>
          <w:rFonts w:ascii="Arial" w:cs="Arial" w:eastAsia="Arial" w:hAnsi="Arial"/>
          <w:b/>
          <w:bCs/>
          <w:color w:val="2E6DA4"/>
          <w:sz w:val="26"/>
          <w:szCs w:val="26"/>
        </w:rPr>
        <w:t xml:space="preserve">1. </w:t>
      </w:r>
      <w:r>
        <w:rPr>
          <w:rFonts w:ascii="Arial" w:cs="Arial" w:eastAsia="Arial" w:hAnsi="Arial"/>
          <w:b/>
          <w:bCs/>
          <w:color w:val="1B3A5C"/>
          <w:sz w:val="26"/>
          <w:szCs w:val="26"/>
        </w:rPr>
        <w:t xml:space="preserve">Sistema Vicino-Orientale / Sumero</w:t>
      </w:r>
    </w:p>
    <w:p>
      <w:pPr>
        <w:spacing w:after="100" w:before="0"/>
        <w:jc w:val="left"/>
      </w:pPr>
      <w:r>
        <w:rPr>
          <w:rFonts w:ascii="Arial" w:cs="Arial" w:eastAsia="Arial" w:hAnsi="Arial"/>
          <w:color w:val="2E6DA4"/>
          <w:sz w:val="17"/>
          <w:szCs w:val="17"/>
        </w:rPr>
        <w:t xml:space="preserve">Unita fondamentale: cubito (kus). Suddivisione in 24esimi. La standardizzazione avvenne con la formazione dell'Impero Accadico (Sargon), poi ripresa nel periodo Ur III (Inno di Nanse).</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800"/>
        <w:gridCol w:w="8738"/>
      </w:tblGrid>
      <w:tr>
        <w:tc>
          <w:tcPr>
            <w:tcW w:type="dxa" w:w="25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Unità</w:t>
            </w:r>
          </w:p>
        </w:tc>
        <w:tc>
          <w:tcPr>
            <w:tcW w:type="dxa" w:w="22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Rapporto al cubito</w:t>
            </w:r>
          </w:p>
        </w:tc>
        <w:tc>
          <w:tcPr>
            <w:tcW w:type="dxa" w:w="18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Valore (cm)</w:t>
            </w:r>
          </w:p>
        </w:tc>
        <w:tc>
          <w:tcPr>
            <w:tcW w:type="dxa" w:w="8738"/>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Fonti</w:t>
            </w:r>
          </w:p>
        </w:tc>
      </w:tr>
      <w:tr>
        <w:tc>
          <w:tcPr>
            <w:tcW w:type="dxa" w:w="25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Dito</w:t>
            </w:r>
          </w:p>
        </w:tc>
        <w:tc>
          <w:tcPr>
            <w:tcW w:type="dxa" w:w="2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1/24</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~2,06</w:t>
            </w:r>
          </w:p>
        </w:tc>
        <w:tc>
          <w:tcPr>
            <w:tcW w:type="dxa" w:w="87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Tradizione cuneiforme; campione di Nippur (c. 2650 a.C.)</w:t>
            </w:r>
          </w:p>
        </w:tc>
      </w:tr>
      <w:tr>
        <w:tc>
          <w:tcPr>
            <w:tcW w:type="dxa" w:w="25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Palmo</w:t>
            </w:r>
          </w:p>
        </w:tc>
        <w:tc>
          <w:tcPr>
            <w:tcW w:type="dxa" w:w="22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1/6 (= 4 dita)</w:t>
            </w:r>
          </w:p>
        </w:tc>
        <w:tc>
          <w:tcPr>
            <w:tcW w:type="dxa" w:w="18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~8,25</w:t>
            </w:r>
          </w:p>
        </w:tc>
        <w:tc>
          <w:tcPr>
            <w:tcW w:type="dxa" w:w="87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Id.</w:t>
            </w:r>
          </w:p>
        </w:tc>
      </w:tr>
      <w:tr>
        <w:tc>
          <w:tcPr>
            <w:tcW w:type="dxa" w:w="25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Cubito sumero (kus)</w:t>
            </w:r>
          </w:p>
        </w:tc>
        <w:tc>
          <w:tcPr>
            <w:tcW w:type="dxa" w:w="2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49,5</w:t>
            </w:r>
          </w:p>
        </w:tc>
        <w:tc>
          <w:tcPr>
            <w:tcW w:type="dxa" w:w="87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Campione di Nippur; Unger 1916</w:t>
            </w:r>
          </w:p>
        </w:tc>
      </w:tr>
      <w:tr>
        <w:tc>
          <w:tcPr>
            <w:tcW w:type="dxa" w:w="25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Braccio</w:t>
            </w:r>
          </w:p>
        </w:tc>
        <w:tc>
          <w:tcPr>
            <w:tcW w:type="dxa" w:w="22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2</w:t>
            </w:r>
          </w:p>
        </w:tc>
        <w:tc>
          <w:tcPr>
            <w:tcW w:type="dxa" w:w="18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~99</w:t>
            </w:r>
          </w:p>
        </w:tc>
        <w:tc>
          <w:tcPr>
            <w:tcW w:type="dxa" w:w="87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Tradizione cuneiforme</w:t>
            </w:r>
          </w:p>
        </w:tc>
      </w:tr>
      <w:tr>
        <w:tc>
          <w:tcPr>
            <w:tcW w:type="dxa" w:w="25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Tesa (tensa)</w:t>
            </w:r>
          </w:p>
        </w:tc>
        <w:tc>
          <w:tcPr>
            <w:tcW w:type="dxa" w:w="2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4</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~198</w:t>
            </w:r>
          </w:p>
        </w:tc>
        <w:tc>
          <w:tcPr>
            <w:tcW w:type="dxa" w:w="87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Id.</w:t>
            </w:r>
          </w:p>
        </w:tc>
      </w:tr>
    </w:tbl>
    <w:p>
      <w:pPr>
        <w:spacing w:after="140" w:before="0"/>
      </w:pPr>
    </w:p>
    <w:p>
      <w:pPr>
        <w:pStyle w:val="Heading2"/>
        <w:spacing w:after="80" w:before="160"/>
      </w:pPr>
      <w:r>
        <w:rPr>
          <w:rFonts w:ascii="Arial" w:cs="Arial" w:eastAsia="Arial" w:hAnsi="Arial"/>
          <w:b/>
          <w:bCs/>
          <w:color w:val="2C5F8A"/>
          <w:sz w:val="20"/>
          <w:szCs w:val="20"/>
        </w:rPr>
        <w:t xml:space="preserve">▦  Casi di studio e attestazioni</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200"/>
        <w:gridCol w:w="6038"/>
      </w:tblGrid>
      <w:tr>
        <w:tc>
          <w:tcPr>
            <w:tcW w:type="dxa" w:w="32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Sito / Campione</w:t>
            </w:r>
          </w:p>
        </w:tc>
        <w:tc>
          <w:tcPr>
            <w:tcW w:type="dxa" w:w="18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Periodo</w:t>
            </w:r>
          </w:p>
        </w:tc>
        <w:tc>
          <w:tcPr>
            <w:tcW w:type="dxa" w:w="42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Dati metrologici</w:t>
            </w:r>
          </w:p>
        </w:tc>
        <w:tc>
          <w:tcPr>
            <w:tcW w:type="dxa" w:w="6038"/>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Fonte</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Barra di rame di Nippur (Iraq)</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 2650 a.C.</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Standard ufficiale del cubito sumero; lunghezza totale 1103,5 mm; divisioni in cubiti. Unico campione fisico diretto della metrologia sumerica.</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Unger 1916 (scavo OE); Melville 2006; Wikipedia, Ancient Mesopotamian units</w:t>
            </w:r>
          </w:p>
        </w:tc>
      </w:tr>
      <w:tr>
        <w:tc>
          <w:tcPr>
            <w:tcW w:type="dxa" w:w="3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Statua B di Gudea, Lagash (Girsu, Iraq)</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 2144–2124 a.C.</w:t>
            </w:r>
          </w:p>
        </w:tc>
        <w:tc>
          <w:tcPr>
            <w:tcW w:type="dxa" w:w="4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Statuetta in diorite raffigurante il governatore di Lagash con una tavoletta recante il piano del Tempio di Ningirsu; il regolo inciso nella tavoletta (graduato in cubiti) ha permesso la ricostruzione del sistema metrologico neosumirico.</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Edzard 1997, RIME 3/1, Toronto UP; Johansen 1978, Mesopotamia 6; Statues of Gudea, Wikipedia</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Piante architettoniche su tavolette cuneiformi (Mesopotamia)</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III–I mill. a.C.</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Piani di templi, case e campi con misure in cubiti annotate con precisione. Documentano la continuita del sistema cubito-palmo-dito dal periodo accadico all'eta persiana.</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Millard 1987; Corpus dei piani mesopotamici su tavolette cuneiformi; Wikipedia, Ancient Mesopotamian units</w:t>
            </w:r>
          </w:p>
        </w:tc>
      </w:tr>
      <w:tr>
        <w:tc>
          <w:tcPr>
            <w:tcW w:type="dxa" w:w="3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Pesi ponderali da Ur e Nippur (Iraq)</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III–II mill. a.C.</w:t>
            </w:r>
          </w:p>
        </w:tc>
        <w:tc>
          <w:tcPr>
            <w:tcW w:type="dxa" w:w="4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~250 pesi (agate, dioritq, piombo) analizzati tramite analisi quantografica; standard principale = 8,4 g (shekel mesopotamico). Depositi del Predio E a Nippur e tombe ED e Larsa/OB a Ur.</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Hafford 2012, in Mesopotamian Mensuration, Academia; Peyronel 2000, Iraq 62</w:t>
            </w:r>
          </w:p>
        </w:tc>
      </w:tr>
    </w:tbl>
    <w:p>
      <w:pPr>
        <w:spacing w:after="200" w:before="0"/>
      </w:pPr>
    </w:p>
    <w:p>
      <w:pPr>
        <w:pStyle w:val="Heading1"/>
        <w:spacing w:after="120" w:before="320"/>
      </w:pPr>
      <w:r>
        <w:rPr>
          <w:rFonts w:ascii="Arial" w:cs="Arial" w:eastAsia="Arial" w:hAnsi="Arial"/>
          <w:b/>
          <w:bCs/>
          <w:color w:val="2E6DA4"/>
          <w:sz w:val="26"/>
          <w:szCs w:val="26"/>
        </w:rPr>
        <w:t xml:space="preserve">2. </w:t>
      </w:r>
      <w:r>
        <w:rPr>
          <w:rFonts w:ascii="Arial" w:cs="Arial" w:eastAsia="Arial" w:hAnsi="Arial"/>
          <w:b/>
          <w:bCs/>
          <w:color w:val="1B3A5C"/>
          <w:sz w:val="26"/>
          <w:szCs w:val="26"/>
        </w:rPr>
        <w:t xml:space="preserve">Sistema Egizio</w:t>
      </w:r>
    </w:p>
    <w:p>
      <w:pPr>
        <w:spacing w:after="100" w:before="0"/>
        <w:jc w:val="left"/>
      </w:pPr>
      <w:r>
        <w:rPr>
          <w:rFonts w:ascii="Arial" w:cs="Arial" w:eastAsia="Arial" w:hAnsi="Arial"/>
          <w:color w:val="2E6DA4"/>
          <w:sz w:val="17"/>
          <w:szCs w:val="17"/>
        </w:rPr>
        <w:t xml:space="preserve">Due cubiti in uso: cubito corto (misura quotidiana) e cubito reale architettonico. Il cubito reale (28 dita) e suddiviso in 7 palmi da 4 dita. Documentato da campioni fisici, papiri matematici e architettura monumentale.</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1800"/>
        <w:gridCol w:w="8338"/>
      </w:tblGrid>
      <w:tr>
        <w:tc>
          <w:tcPr>
            <w:tcW w:type="dxa" w:w="27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Unità</w:t>
            </w:r>
          </w:p>
        </w:tc>
        <w:tc>
          <w:tcPr>
            <w:tcW w:type="dxa" w:w="24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Rapporto al cubito</w:t>
            </w:r>
          </w:p>
        </w:tc>
        <w:tc>
          <w:tcPr>
            <w:tcW w:type="dxa" w:w="18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Valore (cm)</w:t>
            </w:r>
          </w:p>
        </w:tc>
        <w:tc>
          <w:tcPr>
            <w:tcW w:type="dxa" w:w="8338"/>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Fonti</w:t>
            </w:r>
          </w:p>
        </w:tc>
      </w:tr>
      <w:tr>
        <w:tc>
          <w:tcPr>
            <w:tcW w:type="dxa" w:w="27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Dito (digit)</w:t>
            </w:r>
          </w:p>
        </w:tc>
        <w:tc>
          <w:tcPr>
            <w:tcW w:type="dxa" w:w="24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1/28 (reale) / 1/24 (corto)</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~1,875</w:t>
            </w:r>
          </w:p>
        </w:tc>
        <w:tc>
          <w:tcPr>
            <w:tcW w:type="dxa" w:w="83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Campioni in pietra e legno; Lepsius; Cubit rod di Kha (Museo Egizio, Torino, inv. S.8391)</w:t>
            </w:r>
          </w:p>
        </w:tc>
      </w:tr>
      <w:tr>
        <w:tc>
          <w:tcPr>
            <w:tcW w:type="dxa" w:w="27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Palmo</w:t>
            </w:r>
          </w:p>
        </w:tc>
        <w:tc>
          <w:tcPr>
            <w:tcW w:type="dxa" w:w="24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1/7 (= 4 dita)</w:t>
            </w:r>
          </w:p>
        </w:tc>
        <w:tc>
          <w:tcPr>
            <w:tcW w:type="dxa" w:w="18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~7,5</w:t>
            </w:r>
          </w:p>
        </w:tc>
        <w:tc>
          <w:tcPr>
            <w:tcW w:type="dxa" w:w="83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Id.</w:t>
            </w:r>
          </w:p>
        </w:tc>
      </w:tr>
      <w:tr>
        <w:tc>
          <w:tcPr>
            <w:tcW w:type="dxa" w:w="27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Cubito corto</w:t>
            </w:r>
          </w:p>
        </w:tc>
        <w:tc>
          <w:tcPr>
            <w:tcW w:type="dxa" w:w="24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~44,7</w:t>
            </w:r>
          </w:p>
        </w:tc>
        <w:tc>
          <w:tcPr>
            <w:tcW w:type="dxa" w:w="83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Campioni vari</w:t>
            </w:r>
          </w:p>
        </w:tc>
      </w:tr>
      <w:tr>
        <w:tc>
          <w:tcPr>
            <w:tcW w:type="dxa" w:w="27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Cubito reale (meh nesut)</w:t>
            </w:r>
          </w:p>
        </w:tc>
        <w:tc>
          <w:tcPr>
            <w:tcW w:type="dxa" w:w="24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 + 1 palmo</w:t>
            </w:r>
          </w:p>
        </w:tc>
        <w:tc>
          <w:tcPr>
            <w:tcW w:type="dxa" w:w="18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52–52,5</w:t>
            </w:r>
          </w:p>
        </w:tc>
        <w:tc>
          <w:tcPr>
            <w:tcW w:type="dxa" w:w="83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Campione di marmo 2600 a.C.; Macellum di Leptis Magna</w:t>
            </w:r>
          </w:p>
        </w:tc>
      </w:tr>
      <w:tr>
        <w:tc>
          <w:tcPr>
            <w:tcW w:type="dxa" w:w="27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Khet</w:t>
            </w:r>
          </w:p>
        </w:tc>
        <w:tc>
          <w:tcPr>
            <w:tcW w:type="dxa" w:w="24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100 cubiti</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~5250</w:t>
            </w:r>
          </w:p>
        </w:tc>
        <w:tc>
          <w:tcPr>
            <w:tcW w:type="dxa" w:w="83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Papiro Rhind; papiro matematico di Mosca</w:t>
            </w:r>
          </w:p>
        </w:tc>
      </w:tr>
    </w:tbl>
    <w:p>
      <w:pPr>
        <w:spacing w:after="140" w:before="0"/>
      </w:pPr>
    </w:p>
    <w:p>
      <w:pPr>
        <w:pStyle w:val="Heading2"/>
        <w:spacing w:after="80" w:before="160"/>
      </w:pPr>
      <w:r>
        <w:rPr>
          <w:rFonts w:ascii="Arial" w:cs="Arial" w:eastAsia="Arial" w:hAnsi="Arial"/>
          <w:b/>
          <w:bCs/>
          <w:color w:val="2C5F8A"/>
          <w:sz w:val="20"/>
          <w:szCs w:val="20"/>
        </w:rPr>
        <w:t xml:space="preserve">▦  Casi di studio e attestazioni</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200"/>
        <w:gridCol w:w="6038"/>
      </w:tblGrid>
      <w:tr>
        <w:tc>
          <w:tcPr>
            <w:tcW w:type="dxa" w:w="32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Sito / Campione</w:t>
            </w:r>
          </w:p>
        </w:tc>
        <w:tc>
          <w:tcPr>
            <w:tcW w:type="dxa" w:w="18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Periodo</w:t>
            </w:r>
          </w:p>
        </w:tc>
        <w:tc>
          <w:tcPr>
            <w:tcW w:type="dxa" w:w="42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Dati metrologici</w:t>
            </w:r>
          </w:p>
        </w:tc>
        <w:tc>
          <w:tcPr>
            <w:tcW w:type="dxa" w:w="6038"/>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Fonte</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Regolo di Kha (TT8, Deir el-Medina, Tebe Ovest)</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XVIII Dinastia, c. 1425–1353 a.C.</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Regolo cubito pieghevole in legno (inv. S.8391) e regolo dorato (omaggio di Amenhotep II), entrambi dal corredo funebre dell'architetto reale Kha; lunghezza ~52,5 cm; graduato in 7 palmi da 4 dita. Scavi Schiaparelli 1906.</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Museo Egizio di Torino; Nagel 2017, in Proceedings XI ICE, Oxford; Egypt Museum online</w:t>
            </w:r>
          </w:p>
        </w:tc>
      </w:tr>
      <w:tr>
        <w:tc>
          <w:tcPr>
            <w:tcW w:type="dxa" w:w="3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Camera del Re, Grande Piramide di Giza</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 2560 a.C.</w:t>
            </w:r>
          </w:p>
        </w:tc>
        <w:tc>
          <w:tcPr>
            <w:tcW w:type="dxa" w:w="4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Lato corto = 10 cubiti reali (5,236 m); lato lungo = 20 cubiti (10,472 m); diagonale = sqrt(5) x lato corto (11,708 m). Rilievo Petrie confermato da Glen Dash 2015.</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Rossi &amp; Fiorillo 2018, Nexus NJ 20/2; academia.edu The Cubit Rods of the Museo Egizio Torino</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Forte Romano Tardivo di Umm al-Dabadib (Oasi di Kharga, Egitto)</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Inizio IV sec. d.C.</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Rilievo fotogrammetrico 3D eseguito nel 2014 (Missione Archeologica Italiana). Analisi dimensionale del modello 3D: il forte fu progettato e costruito usando il cubito egizio riformato, non il piede romano. Rappresenta la piu tarda attestazione del cubito egizio in architettura.</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Rossi &amp; Fiorillo 2018, Nexus Network Journal 20/2: 373–391 (Springer); Rossi 2019, ISAW Papers 16</w:t>
            </w:r>
          </w:p>
        </w:tc>
      </w:tr>
      <w:tr>
        <w:tc>
          <w:tcPr>
            <w:tcW w:type="dxa" w:w="3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Papiro di Rhind (Papiro Matematico di Ahmes)</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 1550 a.C.</w:t>
            </w:r>
          </w:p>
        </w:tc>
        <w:tc>
          <w:tcPr>
            <w:tcW w:type="dxa" w:w="4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84 problemi matematici con calcolo di aree, volumi e capacita in cubiti, khat e heqat. Fonte testuale fondamentale per la metrologia egizia del Nuovo Regno.</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Papiro Rhind, British Museum EA 10057-58; Wikipedia, Ancient Egyptian units of measurement</w:t>
            </w:r>
          </w:p>
        </w:tc>
      </w:tr>
    </w:tbl>
    <w:p>
      <w:pPr>
        <w:spacing w:after="200" w:before="0"/>
      </w:pPr>
    </w:p>
    <w:p>
      <w:pPr>
        <w:pageBreakBefore/>
      </w:pPr>
    </w:p>
    <w:p>
      <w:pPr>
        <w:pStyle w:val="Heading1"/>
        <w:spacing w:after="120" w:before="320"/>
      </w:pPr>
      <w:r>
        <w:rPr>
          <w:rFonts w:ascii="Arial" w:cs="Arial" w:eastAsia="Arial" w:hAnsi="Arial"/>
          <w:b/>
          <w:bCs/>
          <w:color w:val="2E6DA4"/>
          <w:sz w:val="26"/>
          <w:szCs w:val="26"/>
        </w:rPr>
        <w:t xml:space="preserve">3. </w:t>
      </w:r>
      <w:r>
        <w:rPr>
          <w:rFonts w:ascii="Arial" w:cs="Arial" w:eastAsia="Arial" w:hAnsi="Arial"/>
          <w:b/>
          <w:bCs/>
          <w:color w:val="1B3A5C"/>
          <w:sz w:val="26"/>
          <w:szCs w:val="26"/>
        </w:rPr>
        <w:t xml:space="preserve">Sistema Punico / Fenicio</w:t>
      </w:r>
    </w:p>
    <w:p>
      <w:pPr>
        <w:spacing w:after="100" w:before="0"/>
        <w:jc w:val="left"/>
      </w:pPr>
      <w:r>
        <w:rPr>
          <w:rFonts w:ascii="Arial" w:cs="Arial" w:eastAsia="Arial" w:hAnsi="Arial"/>
          <w:color w:val="2E6DA4"/>
          <w:sz w:val="17"/>
          <w:szCs w:val="17"/>
        </w:rPr>
        <w:t xml:space="preserve">Le suddivisioni interne del cubito punico (6 palmi da 4 dita = 24 dita) sono direttamente attestate sulla tabula mensoria del Macellum di Leptis Magna (III sec. d.C.). Pluralita di varianti documentata in tutto l'Occidente punico.</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000"/>
        <w:gridCol w:w="8738"/>
      </w:tblGrid>
      <w:tr>
        <w:tc>
          <w:tcPr>
            <w:tcW w:type="dxa" w:w="26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Unità</w:t>
            </w:r>
          </w:p>
        </w:tc>
        <w:tc>
          <w:tcPr>
            <w:tcW w:type="dxa" w:w="19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Rapporto al cubito</w:t>
            </w:r>
          </w:p>
        </w:tc>
        <w:tc>
          <w:tcPr>
            <w:tcW w:type="dxa" w:w="20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Valore (cm)</w:t>
            </w:r>
          </w:p>
        </w:tc>
        <w:tc>
          <w:tcPr>
            <w:tcW w:type="dxa" w:w="8738"/>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Fonti</w:t>
            </w:r>
          </w:p>
        </w:tc>
      </w:tr>
      <w:tr>
        <w:tc>
          <w:tcPr>
            <w:tcW w:type="dxa" w:w="2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Dito</w:t>
            </w:r>
          </w:p>
        </w:tc>
        <w:tc>
          <w:tcPr>
            <w:tcW w:type="dxa" w:w="19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1/24 (= 1/6 palmo)</w:t>
            </w:r>
          </w:p>
        </w:tc>
        <w:tc>
          <w:tcPr>
            <w:tcW w:type="dxa" w:w="20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~2,15</w:t>
            </w:r>
          </w:p>
        </w:tc>
        <w:tc>
          <w:tcPr>
            <w:tcW w:type="dxa" w:w="87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Tabula mensoria, Leptis Magna (III sec. d.C.)</w:t>
            </w:r>
          </w:p>
        </w:tc>
      </w:tr>
      <w:tr>
        <w:tc>
          <w:tcPr>
            <w:tcW w:type="dxa" w:w="2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Palmo</w:t>
            </w:r>
          </w:p>
        </w:tc>
        <w:tc>
          <w:tcPr>
            <w:tcW w:type="dxa" w:w="19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1/6 (= 4 dita)</w:t>
            </w:r>
          </w:p>
        </w:tc>
        <w:tc>
          <w:tcPr>
            <w:tcW w:type="dxa" w:w="20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~8,58</w:t>
            </w:r>
          </w:p>
        </w:tc>
        <w:tc>
          <w:tcPr>
            <w:tcW w:type="dxa" w:w="87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Id.</w:t>
            </w:r>
          </w:p>
        </w:tc>
      </w:tr>
      <w:tr>
        <w:tc>
          <w:tcPr>
            <w:tcW w:type="dxa" w:w="2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Cubito punico — var. A</w:t>
            </w:r>
          </w:p>
        </w:tc>
        <w:tc>
          <w:tcPr>
            <w:tcW w:type="dxa" w:w="19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w:t>
            </w:r>
          </w:p>
        </w:tc>
        <w:tc>
          <w:tcPr>
            <w:tcW w:type="dxa" w:w="20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51,4–51,7</w:t>
            </w:r>
          </w:p>
        </w:tc>
        <w:tc>
          <w:tcPr>
            <w:tcW w:type="dxa" w:w="87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Tabula mensoria, Leptis Magna</w:t>
            </w:r>
          </w:p>
        </w:tc>
      </w:tr>
      <w:tr>
        <w:tc>
          <w:tcPr>
            <w:tcW w:type="dxa" w:w="2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Cubito punico — var. B</w:t>
            </w:r>
          </w:p>
        </w:tc>
        <w:tc>
          <w:tcPr>
            <w:tcW w:type="dxa" w:w="19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w:t>
            </w:r>
          </w:p>
        </w:tc>
        <w:tc>
          <w:tcPr>
            <w:tcW w:type="dxa" w:w="20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~46</w:t>
            </w:r>
          </w:p>
        </w:tc>
        <w:tc>
          <w:tcPr>
            <w:tcW w:type="dxa" w:w="87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Edilizia cartaginese, Sardegna, Sicilia, Iberia — Treccani, Il Mondo dell'Archeologia</w:t>
            </w:r>
          </w:p>
        </w:tc>
      </w:tr>
      <w:tr>
        <w:tc>
          <w:tcPr>
            <w:tcW w:type="dxa" w:w="2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Cubito punico — var. C</w:t>
            </w:r>
          </w:p>
        </w:tc>
        <w:tc>
          <w:tcPr>
            <w:tcW w:type="dxa" w:w="19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w:t>
            </w:r>
          </w:p>
        </w:tc>
        <w:tc>
          <w:tcPr>
            <w:tcW w:type="dxa" w:w="20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~55</w:t>
            </w:r>
          </w:p>
        </w:tc>
        <w:tc>
          <w:tcPr>
            <w:tcW w:type="dxa" w:w="87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Monumenti romani di Mauretania, tradizione fenicia d'Occidente — Id.</w:t>
            </w:r>
          </w:p>
        </w:tc>
      </w:tr>
      <w:tr>
        <w:tc>
          <w:tcPr>
            <w:tcW w:type="dxa" w:w="2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Braccio (Punic arm)</w:t>
            </w:r>
          </w:p>
        </w:tc>
        <w:tc>
          <w:tcPr>
            <w:tcW w:type="dxa" w:w="19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2</w:t>
            </w:r>
          </w:p>
        </w:tc>
        <w:tc>
          <w:tcPr>
            <w:tcW w:type="dxa" w:w="20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~103</w:t>
            </w:r>
          </w:p>
        </w:tc>
        <w:tc>
          <w:tcPr>
            <w:tcW w:type="dxa" w:w="87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Tabula mensoria, Leptis Magna</w:t>
            </w:r>
          </w:p>
        </w:tc>
      </w:tr>
    </w:tbl>
    <w:p>
      <w:pPr>
        <w:spacing w:after="100" w:before="0"/>
      </w:pP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5238"/>
      </w:tblGrid>
      <w:tr>
        <w:tc>
          <w:tcPr>
            <w:tcW w:type="dxa" w:w="15238"/>
            <w:tcBorders>
              <w:top w:val="single" w:color="C8A000" w:sz="6"/>
              <w:left w:val="single" w:color="C8A000" w:sz="24"/>
              <w:bottom w:val="single" w:color="C8A000" w:sz="6"/>
              <w:right w:val="single" w:color="C8A000" w:sz="6"/>
            </w:tcBorders>
            <w:shd w:fill="FFF2CC" w:val="clear"/>
            <w:tcMar>
              <w:top w:type="dxa" w:w="80"/>
              <w:left w:type="dxa" w:w="200"/>
              <w:bottom w:type="dxa" w:w="80"/>
              <w:right w:type="dxa" w:w="140"/>
            </w:tcMar>
          </w:tcPr>
          <w:p>
            <w:pPr>
              <w:spacing w:after="0" w:before="0"/>
              <w:jc w:val="left"/>
            </w:pPr>
            <w:r>
              <w:rPr>
                <w:rFonts w:ascii="Arial" w:cs="Arial" w:eastAsia="Arial" w:hAnsi="Arial"/>
                <w:sz w:val="17"/>
                <w:szCs w:val="17"/>
              </w:rPr>
              <w:t xml:space="preserve">Varianti B e C sono in rapporto 6:5 tra loro e appartengono alla tradizione fenicia d'Occidente. La variante A (51,5 cm) e quella direttamente attestata sulla tabula mensoria. Il sistema mesopotamico classico e alla base delle metrologie fenicia, punica e delle culture semitiche affini (cf. Cubit, Wikipedia).</w:t>
            </w:r>
          </w:p>
        </w:tc>
      </w:tr>
    </w:tbl>
    <w:p>
      <w:pPr>
        <w:spacing w:after="140" w:before="0"/>
      </w:pPr>
    </w:p>
    <w:p>
      <w:pPr>
        <w:pStyle w:val="Heading2"/>
        <w:spacing w:after="80" w:before="160"/>
      </w:pPr>
      <w:r>
        <w:rPr>
          <w:rFonts w:ascii="Arial" w:cs="Arial" w:eastAsia="Arial" w:hAnsi="Arial"/>
          <w:b/>
          <w:bCs/>
          <w:color w:val="2C5F8A"/>
          <w:sz w:val="20"/>
          <w:szCs w:val="20"/>
        </w:rPr>
        <w:t xml:space="preserve">▦  Casi di studio e attestazioni</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200"/>
        <w:gridCol w:w="6038"/>
      </w:tblGrid>
      <w:tr>
        <w:tc>
          <w:tcPr>
            <w:tcW w:type="dxa" w:w="32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Sito / Campione</w:t>
            </w:r>
          </w:p>
        </w:tc>
        <w:tc>
          <w:tcPr>
            <w:tcW w:type="dxa" w:w="18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Periodo</w:t>
            </w:r>
          </w:p>
        </w:tc>
        <w:tc>
          <w:tcPr>
            <w:tcW w:type="dxa" w:w="42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Dati metrologici</w:t>
            </w:r>
          </w:p>
        </w:tc>
        <w:tc>
          <w:tcPr>
            <w:tcW w:type="dxa" w:w="6038"/>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Fonte</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Tabula mensoria del Macellum di Leptis Magna (Libia)</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III sec. d.C.</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Lastra di calcare con tre rettangoli incisi rappresentanti: cubito punico 514–517 mm, piede romano 296–300 mm, cubito egizio 523 mm; ciascuna unita e suddivisa in palmi e dita. Unica attestazione fisica diretta del cubito punico con le sue suddivisioni.</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Studocu, Topografia Antica, Politecnico di Bari; Kolymbas et al. 2022, MDPI 2/3</w:t>
            </w:r>
          </w:p>
        </w:tc>
      </w:tr>
      <w:tr>
        <w:tc>
          <w:tcPr>
            <w:tcW w:type="dxa" w:w="3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Kerkouane (Cap Bon, Tunisia)</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 310–256 a.C.</w:t>
            </w:r>
          </w:p>
        </w:tc>
        <w:tc>
          <w:tcPr>
            <w:tcW w:type="dxa" w:w="4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Unica citta punica rimasta intatta, non riedificata in eta romana; architettura domestica con moduli riconducibili al cubito punico (~46 cm, var. B). Documentata da Fantar 1984–1985.</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Fantar M.H. 1984–1985, Kerkouane I–II, Tunis; Punic Domestic Architecture and Urban Planning, CAMWS 2020</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Pesi ponderali fenici ellenistici (Levante e Occidente)</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IV–I sec. a.C.</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Piu di 350 pesi in bronzo e piombo da contesti fenici e punici analizzati statisticamente; standard principali: mina di Sidone, mina di Hamath, mina di Qarqar; correlazione con shekel siriaco (~9,4 g) e shekel mesopotamico (~8,3 g).</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Finkielsztejn 2015, The Weight Standards of the Hellenistic Levant Pt. 2, Academia; Pappa 2019, JAHA 6(1)</w:t>
            </w:r>
          </w:p>
        </w:tc>
      </w:tr>
      <w:tr>
        <w:tc>
          <w:tcPr>
            <w:tcW w:type="dxa" w:w="3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Naufragio di Uluburun (costa turca)</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 1300 a.C.</w:t>
            </w:r>
          </w:p>
        </w:tc>
        <w:tc>
          <w:tcPr>
            <w:tcW w:type="dxa" w:w="4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Naufragio con pesi ponderali di standard multipli (9,3 g; 7,4 g; 8,3 g) testimonianza della coesistenza e interoperabilita dei sistemi metrologici fenici, siriani e mesopotamici nel commercio tardoantico.</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Pulak 1997; AJA 112/2 book review 2008</w:t>
            </w:r>
          </w:p>
        </w:tc>
      </w:tr>
    </w:tbl>
    <w:p>
      <w:pPr>
        <w:spacing w:after="200" w:before="0"/>
      </w:pPr>
    </w:p>
    <w:p>
      <w:pPr>
        <w:pStyle w:val="Heading1"/>
        <w:spacing w:after="120" w:before="320"/>
      </w:pPr>
      <w:r>
        <w:rPr>
          <w:rFonts w:ascii="Arial" w:cs="Arial" w:eastAsia="Arial" w:hAnsi="Arial"/>
          <w:b/>
          <w:bCs/>
          <w:color w:val="2E6DA4"/>
          <w:sz w:val="26"/>
          <w:szCs w:val="26"/>
        </w:rPr>
        <w:t xml:space="preserve">4. </w:t>
      </w:r>
      <w:r>
        <w:rPr>
          <w:rFonts w:ascii="Arial" w:cs="Arial" w:eastAsia="Arial" w:hAnsi="Arial"/>
          <w:b/>
          <w:bCs/>
          <w:color w:val="1B3A5C"/>
          <w:sz w:val="26"/>
          <w:szCs w:val="26"/>
        </w:rPr>
        <w:t xml:space="preserve">Sistema Greco</w:t>
      </w:r>
    </w:p>
    <w:p>
      <w:pPr>
        <w:spacing w:after="100" w:before="0"/>
        <w:jc w:val="left"/>
      </w:pPr>
      <w:r>
        <w:rPr>
          <w:rFonts w:ascii="Arial" w:cs="Arial" w:eastAsia="Arial" w:hAnsi="Arial"/>
          <w:color w:val="2E6DA4"/>
          <w:sz w:val="17"/>
          <w:szCs w:val="17"/>
        </w:rPr>
        <w:t xml:space="preserve">Unita fondamentale: piede (pous). Suddivisione base in 16 daktylos. Tre varianti regionali principali con valori diversi. Il cubito equivale a 1,5 piedi; la tesa (orgyia) a 6 piedi. Il rilievo di Salamina e il solo campione fisico diretto.</w:t>
      </w:r>
    </w:p>
    <w:p>
      <w:pPr>
        <w:pStyle w:val="Heading2"/>
        <w:spacing w:after="90" w:before="200"/>
      </w:pPr>
      <w:r>
        <w:rPr>
          <w:rFonts w:ascii="Arial" w:cs="Arial" w:eastAsia="Arial" w:hAnsi="Arial"/>
          <w:b/>
          <w:bCs/>
          <w:color w:val="4A90C4"/>
          <w:sz w:val="21"/>
          <w:szCs w:val="21"/>
        </w:rPr>
        <w:t xml:space="preserve">4a. Moduli del piede greco (sottomultipli e multipli)</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2200"/>
        <w:gridCol w:w="6838"/>
      </w:tblGrid>
      <w:tr>
        <w:tc>
          <w:tcPr>
            <w:tcW w:type="dxa" w:w="24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Unità</w:t>
            </w:r>
          </w:p>
        </w:tc>
        <w:tc>
          <w:tcPr>
            <w:tcW w:type="dxa" w:w="20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Rapporto al piede</w:t>
            </w:r>
          </w:p>
        </w:tc>
        <w:tc>
          <w:tcPr>
            <w:tcW w:type="dxa" w:w="18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Valore (cm)</w:t>
            </w:r>
          </w:p>
        </w:tc>
        <w:tc>
          <w:tcPr>
            <w:tcW w:type="dxa" w:w="22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Rapporto al cubito</w:t>
            </w:r>
          </w:p>
        </w:tc>
        <w:tc>
          <w:tcPr>
            <w:tcW w:type="dxa" w:w="6838"/>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Fonti</w:t>
            </w:r>
          </w:p>
        </w:tc>
      </w:tr>
      <w:tr>
        <w:tc>
          <w:tcPr>
            <w:tcW w:type="dxa" w:w="24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Dito (daktylos)</w:t>
            </w:r>
          </w:p>
        </w:tc>
        <w:tc>
          <w:tcPr>
            <w:tcW w:type="dxa" w:w="20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1/16</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~1,93</w:t>
            </w:r>
          </w:p>
        </w:tc>
        <w:tc>
          <w:tcPr>
            <w:tcW w:type="dxa" w:w="2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1/24 cubito</w:t>
            </w:r>
          </w:p>
        </w:tc>
        <w:tc>
          <w:tcPr>
            <w:tcW w:type="dxa" w:w="68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Vitruvio, De Arch. III,1; rilievo di Salamina</w:t>
            </w:r>
          </w:p>
        </w:tc>
      </w:tr>
      <w:tr>
        <w:tc>
          <w:tcPr>
            <w:tcW w:type="dxa" w:w="24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Palmo minore</w:t>
            </w:r>
          </w:p>
        </w:tc>
        <w:tc>
          <w:tcPr>
            <w:tcW w:type="dxa" w:w="20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1/4 (= 4 dita)</w:t>
            </w:r>
          </w:p>
        </w:tc>
        <w:tc>
          <w:tcPr>
            <w:tcW w:type="dxa" w:w="18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~7,35</w:t>
            </w:r>
          </w:p>
        </w:tc>
        <w:tc>
          <w:tcPr>
            <w:tcW w:type="dxa" w:w="22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w:t>
            </w:r>
          </w:p>
        </w:tc>
        <w:tc>
          <w:tcPr>
            <w:tcW w:type="dxa" w:w="68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Id.</w:t>
            </w:r>
          </w:p>
        </w:tc>
      </w:tr>
      <w:tr>
        <w:tc>
          <w:tcPr>
            <w:tcW w:type="dxa" w:w="24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Semipiede</w:t>
            </w:r>
          </w:p>
        </w:tc>
        <w:tc>
          <w:tcPr>
            <w:tcW w:type="dxa" w:w="20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1/2</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~14,7</w:t>
            </w:r>
          </w:p>
        </w:tc>
        <w:tc>
          <w:tcPr>
            <w:tcW w:type="dxa" w:w="2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w:t>
            </w:r>
          </w:p>
        </w:tc>
        <w:tc>
          <w:tcPr>
            <w:tcW w:type="dxa" w:w="68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Id.</w:t>
            </w:r>
          </w:p>
        </w:tc>
      </w:tr>
      <w:tr>
        <w:tc>
          <w:tcPr>
            <w:tcW w:type="dxa" w:w="24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Palmo maggiore</w:t>
            </w:r>
          </w:p>
        </w:tc>
        <w:tc>
          <w:tcPr>
            <w:tcW w:type="dxa" w:w="20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3/4 (= 12/16)</w:t>
            </w:r>
          </w:p>
        </w:tc>
        <w:tc>
          <w:tcPr>
            <w:tcW w:type="dxa" w:w="18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~22,05</w:t>
            </w:r>
          </w:p>
        </w:tc>
        <w:tc>
          <w:tcPr>
            <w:tcW w:type="dxa" w:w="22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1/2 cubito</w:t>
            </w:r>
          </w:p>
        </w:tc>
        <w:tc>
          <w:tcPr>
            <w:tcW w:type="dxa" w:w="68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Id.</w:t>
            </w:r>
          </w:p>
        </w:tc>
      </w:tr>
      <w:tr>
        <w:tc>
          <w:tcPr>
            <w:tcW w:type="dxa" w:w="24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Piede (pous)</w:t>
            </w:r>
          </w:p>
        </w:tc>
        <w:tc>
          <w:tcPr>
            <w:tcW w:type="dxa" w:w="20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vedi varianti</w:t>
            </w:r>
          </w:p>
        </w:tc>
        <w:tc>
          <w:tcPr>
            <w:tcW w:type="dxa" w:w="2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w:t>
            </w:r>
          </w:p>
        </w:tc>
        <w:tc>
          <w:tcPr>
            <w:tcW w:type="dxa" w:w="68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Id.</w:t>
            </w:r>
          </w:p>
        </w:tc>
      </w:tr>
      <w:tr>
        <w:tc>
          <w:tcPr>
            <w:tcW w:type="dxa" w:w="24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Cubito (pechys)</w:t>
            </w:r>
          </w:p>
        </w:tc>
        <w:tc>
          <w:tcPr>
            <w:tcW w:type="dxa" w:w="20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1,5</w:t>
            </w:r>
          </w:p>
        </w:tc>
        <w:tc>
          <w:tcPr>
            <w:tcW w:type="dxa" w:w="18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~46,2</w:t>
            </w:r>
          </w:p>
        </w:tc>
        <w:tc>
          <w:tcPr>
            <w:tcW w:type="dxa" w:w="22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w:t>
            </w:r>
          </w:p>
        </w:tc>
        <w:tc>
          <w:tcPr>
            <w:tcW w:type="dxa" w:w="68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Vitruvio; rilievo di Salamina</w:t>
            </w:r>
          </w:p>
        </w:tc>
      </w:tr>
      <w:tr>
        <w:tc>
          <w:tcPr>
            <w:tcW w:type="dxa" w:w="24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Braccio (orgyia)</w:t>
            </w:r>
          </w:p>
        </w:tc>
        <w:tc>
          <w:tcPr>
            <w:tcW w:type="dxa" w:w="20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6 (= 4 cubiti)</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~177,6</w:t>
            </w:r>
          </w:p>
        </w:tc>
        <w:tc>
          <w:tcPr>
            <w:tcW w:type="dxa" w:w="2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4</w:t>
            </w:r>
          </w:p>
        </w:tc>
        <w:tc>
          <w:tcPr>
            <w:tcW w:type="dxa" w:w="68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Erodoto; Vitruvio</w:t>
            </w:r>
          </w:p>
        </w:tc>
      </w:tr>
      <w:tr>
        <w:tc>
          <w:tcPr>
            <w:tcW w:type="dxa" w:w="24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Plethron</w:t>
            </w:r>
          </w:p>
        </w:tc>
        <w:tc>
          <w:tcPr>
            <w:tcW w:type="dxa" w:w="20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100</w:t>
            </w:r>
          </w:p>
        </w:tc>
        <w:tc>
          <w:tcPr>
            <w:tcW w:type="dxa" w:w="18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~29,4 m</w:t>
            </w:r>
          </w:p>
        </w:tc>
        <w:tc>
          <w:tcPr>
            <w:tcW w:type="dxa" w:w="22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w:t>
            </w:r>
          </w:p>
        </w:tc>
        <w:tc>
          <w:tcPr>
            <w:tcW w:type="dxa" w:w="68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Fonti letterarie greche</w:t>
            </w:r>
          </w:p>
        </w:tc>
      </w:tr>
      <w:tr>
        <w:tc>
          <w:tcPr>
            <w:tcW w:type="dxa" w:w="24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Stadio (stadion)</w:t>
            </w:r>
          </w:p>
        </w:tc>
        <w:tc>
          <w:tcPr>
            <w:tcW w:type="dxa" w:w="20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600</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~176 m</w:t>
            </w:r>
          </w:p>
        </w:tc>
        <w:tc>
          <w:tcPr>
            <w:tcW w:type="dxa" w:w="2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w:t>
            </w:r>
          </w:p>
        </w:tc>
        <w:tc>
          <w:tcPr>
            <w:tcW w:type="dxa" w:w="68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Id.</w:t>
            </w:r>
          </w:p>
        </w:tc>
      </w:tr>
    </w:tbl>
    <w:p>
      <w:pPr>
        <w:spacing w:after="140" w:before="0"/>
      </w:pPr>
    </w:p>
    <w:p>
      <w:pPr>
        <w:pStyle w:val="Heading2"/>
        <w:spacing w:after="90" w:before="200"/>
      </w:pPr>
      <w:r>
        <w:rPr>
          <w:rFonts w:ascii="Arial" w:cs="Arial" w:eastAsia="Arial" w:hAnsi="Arial"/>
          <w:b/>
          <w:bCs/>
          <w:color w:val="4A90C4"/>
          <w:sz w:val="21"/>
          <w:szCs w:val="21"/>
        </w:rPr>
        <w:t xml:space="preserve">4b. Varianti regionali del piede greco</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3700"/>
        <w:gridCol w:w="6838"/>
      </w:tblGrid>
      <w:tr>
        <w:tc>
          <w:tcPr>
            <w:tcW w:type="dxa" w:w="2800"/>
            <w:tcBorders>
              <w:top w:val="single" w:color="A0BFDB" w:sz="4"/>
              <w:left w:val="single" w:color="A0BFDB" w:sz="4"/>
              <w:bottom w:val="single" w:color="A0BFDB" w:sz="4"/>
              <w:right w:val="single" w:color="A0BFDB" w:sz="4"/>
            </w:tcBorders>
            <w:shd w:fill="BDD7EE"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Tipo</w:t>
            </w:r>
          </w:p>
        </w:tc>
        <w:tc>
          <w:tcPr>
            <w:tcW w:type="dxa" w:w="1900"/>
            <w:tcBorders>
              <w:top w:val="single" w:color="A0BFDB" w:sz="4"/>
              <w:left w:val="single" w:color="A0BFDB" w:sz="4"/>
              <w:bottom w:val="single" w:color="A0BFDB" w:sz="4"/>
              <w:right w:val="single" w:color="A0BFDB" w:sz="4"/>
            </w:tcBorders>
            <w:shd w:fill="BDD7EE"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Valore (m)</w:t>
            </w:r>
          </w:p>
        </w:tc>
        <w:tc>
          <w:tcPr>
            <w:tcW w:type="dxa" w:w="3700"/>
            <w:tcBorders>
              <w:top w:val="single" w:color="A0BFDB" w:sz="4"/>
              <w:left w:val="single" w:color="A0BFDB" w:sz="4"/>
              <w:bottom w:val="single" w:color="A0BFDB" w:sz="4"/>
              <w:right w:val="single" w:color="A0BFDB" w:sz="4"/>
            </w:tcBorders>
            <w:shd w:fill="BDD7EE"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Diffusione</w:t>
            </w:r>
          </w:p>
        </w:tc>
        <w:tc>
          <w:tcPr>
            <w:tcW w:type="dxa" w:w="6838"/>
            <w:tcBorders>
              <w:top w:val="single" w:color="A0BFDB" w:sz="4"/>
              <w:left w:val="single" w:color="A0BFDB" w:sz="4"/>
              <w:bottom w:val="single" w:color="A0BFDB" w:sz="4"/>
              <w:right w:val="single" w:color="A0BFDB" w:sz="4"/>
            </w:tcBorders>
            <w:shd w:fill="BDD7EE"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Fonti</w:t>
            </w:r>
          </w:p>
        </w:tc>
      </w:tr>
      <w:tr>
        <w:tc>
          <w:tcPr>
            <w:tcW w:type="dxa" w:w="2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Piede dorico</w:t>
            </w:r>
          </w:p>
        </w:tc>
        <w:tc>
          <w:tcPr>
            <w:tcW w:type="dxa" w:w="19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0,326</w:t>
            </w:r>
          </w:p>
        </w:tc>
        <w:tc>
          <w:tcPr>
            <w:tcW w:type="dxa" w:w="37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Attica, Peloponneso, Sicilia</w:t>
            </w:r>
          </w:p>
        </w:tc>
        <w:tc>
          <w:tcPr>
            <w:tcW w:type="dxa" w:w="68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Rilievi moderni degli edifici; Kolymbas et al. 2022, MDPI</w:t>
            </w:r>
          </w:p>
        </w:tc>
      </w:tr>
      <w:tr>
        <w:tc>
          <w:tcPr>
            <w:tcW w:type="dxa" w:w="28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Piede attico-cicladico</w:t>
            </w:r>
          </w:p>
        </w:tc>
        <w:tc>
          <w:tcPr>
            <w:tcW w:type="dxa" w:w="19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0,294</w:t>
            </w:r>
          </w:p>
        </w:tc>
        <w:tc>
          <w:tcPr>
            <w:tcW w:type="dxa" w:w="37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Base del piede romano; Atene (Propilei: 0,302–0,308)</w:t>
            </w:r>
          </w:p>
        </w:tc>
        <w:tc>
          <w:tcPr>
            <w:tcW w:type="dxa" w:w="68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Parthenon Wikipedia; Coulton 1974, BSA 69</w:t>
            </w:r>
          </w:p>
        </w:tc>
      </w:tr>
      <w:tr>
        <w:tc>
          <w:tcPr>
            <w:tcW w:type="dxa" w:w="2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Piede ionico / samio</w:t>
            </w:r>
          </w:p>
        </w:tc>
        <w:tc>
          <w:tcPr>
            <w:tcW w:type="dxa" w:w="19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0,348</w:t>
            </w:r>
          </w:p>
        </w:tc>
        <w:tc>
          <w:tcPr>
            <w:tcW w:type="dxa" w:w="37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Ionia, Samo — x1,5 = cubito reale egizio</w:t>
            </w:r>
          </w:p>
        </w:tc>
        <w:tc>
          <w:tcPr>
            <w:tcW w:type="dxa" w:w="68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Rilievi edifici ionici</w:t>
            </w:r>
          </w:p>
        </w:tc>
      </w:tr>
      <w:tr>
        <w:tc>
          <w:tcPr>
            <w:tcW w:type="dxa" w:w="28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Piede dei Propilei</w:t>
            </w:r>
          </w:p>
        </w:tc>
        <w:tc>
          <w:tcPr>
            <w:tcW w:type="dxa" w:w="19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0,302–0,308</w:t>
            </w:r>
          </w:p>
        </w:tc>
        <w:tc>
          <w:tcPr>
            <w:tcW w:type="dxa" w:w="37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Acropoli di Atene</w:t>
            </w:r>
          </w:p>
        </w:tc>
        <w:tc>
          <w:tcPr>
            <w:tcW w:type="dxa" w:w="68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Rilievi dell'Acropoli</w:t>
            </w:r>
          </w:p>
        </w:tc>
      </w:tr>
    </w:tbl>
    <w:p>
      <w:pPr>
        <w:spacing w:after="140" w:before="0"/>
      </w:pPr>
    </w:p>
    <w:p>
      <w:pPr>
        <w:pStyle w:val="Heading2"/>
        <w:spacing w:after="80" w:before="160"/>
      </w:pPr>
      <w:r>
        <w:rPr>
          <w:rFonts w:ascii="Arial" w:cs="Arial" w:eastAsia="Arial" w:hAnsi="Arial"/>
          <w:b/>
          <w:bCs/>
          <w:color w:val="2C5F8A"/>
          <w:sz w:val="20"/>
          <w:szCs w:val="20"/>
        </w:rPr>
        <w:t xml:space="preserve">▦  Casi di studio e attestazioni del sistema greco</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200"/>
        <w:gridCol w:w="6038"/>
      </w:tblGrid>
      <w:tr>
        <w:tc>
          <w:tcPr>
            <w:tcW w:type="dxa" w:w="32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Sito / Campione</w:t>
            </w:r>
          </w:p>
        </w:tc>
        <w:tc>
          <w:tcPr>
            <w:tcW w:type="dxa" w:w="18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Periodo</w:t>
            </w:r>
          </w:p>
        </w:tc>
        <w:tc>
          <w:tcPr>
            <w:tcW w:type="dxa" w:w="42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Dati metrologici</w:t>
            </w:r>
          </w:p>
        </w:tc>
        <w:tc>
          <w:tcPr>
            <w:tcW w:type="dxa" w:w="6038"/>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Fonte</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Rilievo metrologico di Salamina (Cipro)</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Eta classica–ellenistica</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Lastra in calcare scoperta negli anni 1980 nella chiesa di S. Dimitrios a Perivolia; incisi: parte di una tesa, un cubito (487 mm), una mano, un regolo (322 o 327,5 mm) e un piede (301 mm). Unico reperto che confronta direttamente piede dorico e piede ellenistico con rappresentazioni antropomorfe.</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Dekoulakou-Sideris 1990, American Journal of Archaeology 94: 445–451; Kolymbas et al. 2022, MDPI 2/3</w:t>
            </w:r>
          </w:p>
        </w:tc>
      </w:tr>
      <w:tr>
        <w:tc>
          <w:tcPr>
            <w:tcW w:type="dxa" w:w="3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Teatro di Makyneia (Grecia occidentale)</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IV–III sec. a.C.</w:t>
            </w:r>
          </w:p>
        </w:tc>
        <w:tc>
          <w:tcPr>
            <w:tcW w:type="dxa" w:w="4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Teatro atipico di piccole dimensioni; analisi metrologica ha dimostrato che la struttura fu progettata usando il piede dorico (327 mm) e la sua suddivisione in 24 (o 12) dita. Prima attestazione edilizia certa del piede dorico.</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Kolymbas D. et al. 2022, Doric Foot and Metrological Implications of the Ancient Theatre of Makyneia, MDPI Archaeology 2/3</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Partenone di Atene</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447–432 a.C.</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Non esiste consenso sulle unita usate; tre ipotesi: piede attico 294,3 mm, piede comune 306,5 mm, piede dorico 327 mm. Nessuna fornisce valori interi consistenti per tutte le dimensioni principali (stilobate, altezza colonne).</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Parthenon, Wikipedia (sezione Metrology); Coulton J.J. 1975, BSA 70; Springer, Ancient Architecture and Mathematics 2014</w:t>
            </w:r>
          </w:p>
        </w:tc>
      </w:tr>
      <w:tr>
        <w:tc>
          <w:tcPr>
            <w:tcW w:type="dxa" w:w="3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Tempio di Atena Polias, Priene (Turchia)</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IV sec. a.C.</w:t>
            </w:r>
          </w:p>
        </w:tc>
        <w:tc>
          <w:tcPr>
            <w:tcW w:type="dxa" w:w="4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Esempio del metodo modulare greco basato sul diametro della colonna come unita modulare. Citato da Vitruvio (De Arch. III e VII pref.) come fonte per il sistema proporzionale ellenistico.</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Vitruvio, De Architectura III e VII pref.; Springer, Ancient Architecture and Mathematics 2014</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Rilievo metrologico di Atene (Oxford, Ashmolean)</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Eta ellenistica</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Peso in piombo rinvenuto nella regione del Mar Nero occidentale recante equivalenze tra unita di misura greche. Documenta la diffusione di una koine metrologica greca.</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Meyer &amp; Moreno 2004, Oxford Journal of Archaeology 23/2: 209–216</w:t>
            </w:r>
          </w:p>
        </w:tc>
      </w:tr>
    </w:tbl>
    <w:p>
      <w:pPr>
        <w:spacing w:after="160" w:before="0"/>
      </w:pPr>
    </w:p>
    <w:p>
      <w:pPr>
        <w:pStyle w:val="Heading2"/>
        <w:spacing w:after="90" w:before="200"/>
      </w:pPr>
      <w:r>
        <w:rPr>
          <w:rFonts w:ascii="Arial" w:cs="Arial" w:eastAsia="Arial" w:hAnsi="Arial"/>
          <w:b/>
          <w:bCs/>
          <w:color w:val="4A90C4"/>
          <w:sz w:val="21"/>
          <w:szCs w:val="21"/>
        </w:rPr>
        <w:t xml:space="preserve">4c. Caso di studio: laterizi di Velia-Elea (colonia focese, III sec. a.C.)</w:t>
      </w:r>
    </w:p>
    <w:p>
      <w:pPr>
        <w:spacing w:after="100" w:before="0"/>
        <w:jc w:val="left"/>
      </w:pPr>
      <w:r>
        <w:rPr>
          <w:rFonts w:ascii="Arial" w:cs="Arial" w:eastAsia="Arial" w:hAnsi="Arial"/>
          <w:color w:val="2E6DA4"/>
          <w:sz w:val="17"/>
          <w:szCs w:val="17"/>
        </w:rPr>
        <w:t xml:space="preserve">Velia fu fondata c. 540 a.C. da coloni Focesi (Ionia). I mattoni cotti sono i piu antichi attestati nel Mediterraneo per murature fuori terra con malta. Bollati con lettere greche (delta-eta = demosia = produzione pubblica). Sistema metrologico in relazione al piede ionico/samio e al cubito egizio.</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600"/>
        <w:gridCol w:w="6938"/>
      </w:tblGrid>
      <w:tr>
        <w:tc>
          <w:tcPr>
            <w:tcW w:type="dxa" w:w="2200"/>
            <w:tcBorders>
              <w:top w:val="single" w:color="A0BFDB" w:sz="4"/>
              <w:left w:val="single" w:color="A0BFDB" w:sz="4"/>
              <w:bottom w:val="single" w:color="A0BFDB" w:sz="4"/>
              <w:right w:val="single" w:color="A0BFDB" w:sz="4"/>
            </w:tcBorders>
            <w:shd w:fill="5A9E52"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Formato</w:t>
            </w:r>
          </w:p>
        </w:tc>
        <w:tc>
          <w:tcPr>
            <w:tcW w:type="dxa" w:w="2500"/>
            <w:tcBorders>
              <w:top w:val="single" w:color="A0BFDB" w:sz="4"/>
              <w:left w:val="single" w:color="A0BFDB" w:sz="4"/>
              <w:bottom w:val="single" w:color="A0BFDB" w:sz="4"/>
              <w:right w:val="single" w:color="A0BFDB" w:sz="4"/>
            </w:tcBorders>
            <w:shd w:fill="5A9E52"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Misure (cm)</w:t>
            </w:r>
          </w:p>
        </w:tc>
        <w:tc>
          <w:tcPr>
            <w:tcW w:type="dxa" w:w="3600"/>
            <w:tcBorders>
              <w:top w:val="single" w:color="A0BFDB" w:sz="4"/>
              <w:left w:val="single" w:color="A0BFDB" w:sz="4"/>
              <w:bottom w:val="single" w:color="A0BFDB" w:sz="4"/>
              <w:right w:val="single" w:color="A0BFDB" w:sz="4"/>
            </w:tcBorders>
            <w:shd w:fill="5A9E52"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Rapporto metrologico</w:t>
            </w:r>
          </w:p>
        </w:tc>
        <w:tc>
          <w:tcPr>
            <w:tcW w:type="dxa" w:w="6938"/>
            <w:tcBorders>
              <w:top w:val="single" w:color="A0BFDB" w:sz="4"/>
              <w:left w:val="single" w:color="A0BFDB" w:sz="4"/>
              <w:bottom w:val="single" w:color="A0BFDB" w:sz="4"/>
              <w:right w:val="single" w:color="A0BFDB" w:sz="4"/>
            </w:tcBorders>
            <w:shd w:fill="5A9E52"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Riferimenti bibliografici</w:t>
            </w:r>
          </w:p>
        </w:tc>
      </w:tr>
      <w:tr>
        <w:tc>
          <w:tcPr>
            <w:tcW w:type="dxa" w:w="2200"/>
            <w:tcBorders>
              <w:top w:val="single" w:color="A0BFDB" w:sz="4"/>
              <w:left w:val="single" w:color="A0BFDB" w:sz="4"/>
              <w:bottom w:val="single" w:color="A0BFDB" w:sz="4"/>
              <w:right w:val="single" w:color="A0BFDB" w:sz="4"/>
            </w:tcBorders>
            <w:shd w:fill="EBF5E8"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Quadrato</w:t>
            </w:r>
          </w:p>
        </w:tc>
        <w:tc>
          <w:tcPr>
            <w:tcW w:type="dxa" w:w="2500"/>
            <w:tcBorders>
              <w:top w:val="single" w:color="A0BFDB" w:sz="4"/>
              <w:left w:val="single" w:color="A0BFDB" w:sz="4"/>
              <w:bottom w:val="single" w:color="A0BFDB" w:sz="4"/>
              <w:right w:val="single" w:color="A0BFDB" w:sz="4"/>
            </w:tcBorders>
            <w:shd w:fill="EBF5E8"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38 x 38 x 9,5</w:t>
            </w:r>
          </w:p>
        </w:tc>
        <w:tc>
          <w:tcPr>
            <w:tcW w:type="dxa" w:w="3600"/>
            <w:tcBorders>
              <w:top w:val="single" w:color="A0BFDB" w:sz="4"/>
              <w:left w:val="single" w:color="A0BFDB" w:sz="4"/>
              <w:bottom w:val="single" w:color="A0BFDB" w:sz="4"/>
              <w:right w:val="single" w:color="A0BFDB" w:sz="4"/>
            </w:tcBorders>
            <w:shd w:fill="EBF5E8"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38 cm ≈ 4 palmi di un piede ionico o 1 piede dorico + 1 palmo</w:t>
            </w:r>
          </w:p>
        </w:tc>
        <w:tc>
          <w:tcPr>
            <w:tcW w:type="dxa" w:w="6938"/>
            <w:tcBorders>
              <w:top w:val="single" w:color="A0BFDB" w:sz="4"/>
              <w:left w:val="single" w:color="A0BFDB" w:sz="4"/>
              <w:bottom w:val="single" w:color="A0BFDB" w:sz="4"/>
              <w:right w:val="single" w:color="A0BFDB" w:sz="4"/>
            </w:tcBorders>
            <w:shd w:fill="EBF5E8"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Cicala–Vecchio 2014, pp. 283–308; Vecchio–Cicala in Bonetto–Bukowiecki–Volpe 2019, pp. 157–168</w:t>
            </w:r>
          </w:p>
        </w:tc>
      </w:tr>
      <w:tr>
        <w:tc>
          <w:tcPr>
            <w:tcW w:type="dxa" w:w="2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Rettangolare grande</w:t>
            </w:r>
          </w:p>
        </w:tc>
        <w:tc>
          <w:tcPr>
            <w:tcW w:type="dxa" w:w="25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56 x 30 x 9,5</w:t>
            </w:r>
          </w:p>
        </w:tc>
        <w:tc>
          <w:tcPr>
            <w:tcW w:type="dxa" w:w="3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56 cm ≈ 1 cubito reale egizio (52–53 cm) o 1,5 x piede ionico (34,8 cm). 30 cm ≈ 1 piede attico</w:t>
            </w:r>
          </w:p>
        </w:tc>
        <w:tc>
          <w:tcPr>
            <w:tcW w:type="dxa" w:w="69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Id.</w:t>
            </w:r>
          </w:p>
        </w:tc>
      </w:tr>
      <w:tr>
        <w:tc>
          <w:tcPr>
            <w:tcW w:type="dxa" w:w="2200"/>
            <w:tcBorders>
              <w:top w:val="single" w:color="A0BFDB" w:sz="4"/>
              <w:left w:val="single" w:color="A0BFDB" w:sz="4"/>
              <w:bottom w:val="single" w:color="A0BFDB" w:sz="4"/>
              <w:right w:val="single" w:color="A0BFDB" w:sz="4"/>
            </w:tcBorders>
            <w:shd w:fill="EBF5E8"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Rettangolare piccolo</w:t>
            </w:r>
          </w:p>
        </w:tc>
        <w:tc>
          <w:tcPr>
            <w:tcW w:type="dxa" w:w="2500"/>
            <w:tcBorders>
              <w:top w:val="single" w:color="A0BFDB" w:sz="4"/>
              <w:left w:val="single" w:color="A0BFDB" w:sz="4"/>
              <w:bottom w:val="single" w:color="A0BFDB" w:sz="4"/>
              <w:right w:val="single" w:color="A0BFDB" w:sz="4"/>
            </w:tcBorders>
            <w:shd w:fill="EBF5E8"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38 x 23 x 9,5</w:t>
            </w:r>
          </w:p>
        </w:tc>
        <w:tc>
          <w:tcPr>
            <w:tcW w:type="dxa" w:w="3600"/>
            <w:tcBorders>
              <w:top w:val="single" w:color="A0BFDB" w:sz="4"/>
              <w:left w:val="single" w:color="A0BFDB" w:sz="4"/>
              <w:bottom w:val="single" w:color="A0BFDB" w:sz="4"/>
              <w:right w:val="single" w:color="A0BFDB" w:sz="4"/>
            </w:tcBorders>
            <w:shd w:fill="EBF5E8"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23 cm ≈ 2/3 piede ionico (~bes romano)</w:t>
            </w:r>
          </w:p>
        </w:tc>
        <w:tc>
          <w:tcPr>
            <w:tcW w:type="dxa" w:w="6938"/>
            <w:tcBorders>
              <w:top w:val="single" w:color="A0BFDB" w:sz="4"/>
              <w:left w:val="single" w:color="A0BFDB" w:sz="4"/>
              <w:bottom w:val="single" w:color="A0BFDB" w:sz="4"/>
              <w:right w:val="single" w:color="A0BFDB" w:sz="4"/>
            </w:tcBorders>
            <w:shd w:fill="EBF5E8"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Id.</w:t>
            </w:r>
          </w:p>
        </w:tc>
      </w:tr>
      <w:tr>
        <w:tc>
          <w:tcPr>
            <w:tcW w:type="dxa" w:w="2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Spessore (tutti)</w:t>
            </w:r>
          </w:p>
        </w:tc>
        <w:tc>
          <w:tcPr>
            <w:tcW w:type="dxa" w:w="25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8–9,5 cm</w:t>
            </w:r>
          </w:p>
        </w:tc>
        <w:tc>
          <w:tcPr>
            <w:tcW w:type="dxa" w:w="3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 1 palmo greco (~9 cm = 1/4 piede)</w:t>
            </w:r>
          </w:p>
        </w:tc>
        <w:tc>
          <w:tcPr>
            <w:tcW w:type="dxa" w:w="69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Cicala–Vecchio 2014</w:t>
            </w:r>
          </w:p>
        </w:tc>
      </w:tr>
    </w:tbl>
    <w:p>
      <w:pPr>
        <w:spacing w:after="100" w:before="0"/>
      </w:pP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5238"/>
      </w:tblGrid>
      <w:tr>
        <w:tc>
          <w:tcPr>
            <w:tcW w:type="dxa" w:w="15238"/>
            <w:tcBorders>
              <w:top w:val="single" w:color="5A9E52" w:sz="6"/>
              <w:left w:val="single" w:color="5A9E52" w:sz="24"/>
              <w:bottom w:val="single" w:color="5A9E52" w:sz="6"/>
              <w:right w:val="single" w:color="5A9E52" w:sz="6"/>
            </w:tcBorders>
            <w:shd w:fill="EBF5E8" w:val="clear"/>
            <w:tcMar>
              <w:top w:type="dxa" w:w="80"/>
              <w:left w:type="dxa" w:w="200"/>
              <w:bottom w:type="dxa" w:w="80"/>
              <w:right w:type="dxa" w:w="140"/>
            </w:tcMar>
          </w:tcPr>
          <w:p>
            <w:pPr>
              <w:spacing w:after="0" w:before="0"/>
              <w:jc w:val="left"/>
            </w:pPr>
            <w:r>
              <w:rPr>
                <w:rFonts w:ascii="Arial" w:cs="Arial" w:eastAsia="Arial" w:hAnsi="Arial"/>
                <w:sz w:val="17"/>
                <w:szCs w:val="17"/>
              </w:rPr>
              <w:t xml:space="preserve">Il sistema metrologico di Velia e ancora oggetto di ricerca attiva. Rif.: L. Cicala – L. Vecchio, I mattoni di Velia, in Storia dell'ingegneria, Napoli 2014, pp. 283–308; Vecchio – Cicala, in Alle origini del laterizio romano, Roma 2019, pp. 157–168.</w:t>
            </w:r>
          </w:p>
        </w:tc>
      </w:tr>
    </w:tbl>
    <w:p>
      <w:pPr>
        <w:spacing w:after="200" w:before="0"/>
      </w:pPr>
    </w:p>
    <w:p>
      <w:pPr>
        <w:pageBreakBefore/>
      </w:pPr>
    </w:p>
    <w:p>
      <w:pPr>
        <w:pStyle w:val="Heading1"/>
        <w:spacing w:after="120" w:before="320"/>
      </w:pPr>
      <w:r>
        <w:rPr>
          <w:rFonts w:ascii="Arial" w:cs="Arial" w:eastAsia="Arial" w:hAnsi="Arial"/>
          <w:b/>
          <w:bCs/>
          <w:color w:val="2E6DA4"/>
          <w:sz w:val="26"/>
          <w:szCs w:val="26"/>
        </w:rPr>
        <w:t xml:space="preserve">5. </w:t>
      </w:r>
      <w:r>
        <w:rPr>
          <w:rFonts w:ascii="Arial" w:cs="Arial" w:eastAsia="Arial" w:hAnsi="Arial"/>
          <w:b/>
          <w:bCs/>
          <w:color w:val="1B3A5C"/>
          <w:sz w:val="26"/>
          <w:szCs w:val="26"/>
        </w:rPr>
        <w:t xml:space="preserve">Sistema Minoico / Miceneo (Eta del Bronzo Egeo)</w:t>
      </w:r>
    </w:p>
    <w:p>
      <w:pPr>
        <w:spacing w:after="100" w:before="0"/>
        <w:jc w:val="left"/>
      </w:pPr>
      <w:r>
        <w:rPr>
          <w:rFonts w:ascii="Arial" w:cs="Arial" w:eastAsia="Arial" w:hAnsi="Arial"/>
          <w:color w:val="2E6DA4"/>
          <w:sz w:val="17"/>
          <w:szCs w:val="17"/>
        </w:rPr>
        <w:t xml:space="preserve">Unita fondamentale: piede minoico (c. 30,36 cm secondo Graham 1960; c. 30,0 cm secondo analisi successive). Sistema derivato dall'influenza egizio-levantina; documentato indirettamente da architettura palatina, pesi ponderali e tavolette in Lineare B. Nessun campione fisico diretto e stato rinvenuto.</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000"/>
        <w:gridCol w:w="8738"/>
      </w:tblGrid>
      <w:tr>
        <w:tc>
          <w:tcPr>
            <w:tcW w:type="dxa" w:w="2600"/>
            <w:tcBorders>
              <w:top w:val="single" w:color="A0BFDB" w:sz="4"/>
              <w:left w:val="single" w:color="A0BFDB" w:sz="4"/>
              <w:bottom w:val="single" w:color="A0BFDB" w:sz="4"/>
              <w:right w:val="single" w:color="A0BFDB" w:sz="4"/>
            </w:tcBorders>
            <w:shd w:fill="D4C5E2"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Unita</w:t>
            </w:r>
          </w:p>
        </w:tc>
        <w:tc>
          <w:tcPr>
            <w:tcW w:type="dxa" w:w="1900"/>
            <w:tcBorders>
              <w:top w:val="single" w:color="A0BFDB" w:sz="4"/>
              <w:left w:val="single" w:color="A0BFDB" w:sz="4"/>
              <w:bottom w:val="single" w:color="A0BFDB" w:sz="4"/>
              <w:right w:val="single" w:color="A0BFDB" w:sz="4"/>
            </w:tcBorders>
            <w:shd w:fill="D4C5E2"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Rapporto al piede</w:t>
            </w:r>
          </w:p>
        </w:tc>
        <w:tc>
          <w:tcPr>
            <w:tcW w:type="dxa" w:w="2000"/>
            <w:tcBorders>
              <w:top w:val="single" w:color="A0BFDB" w:sz="4"/>
              <w:left w:val="single" w:color="A0BFDB" w:sz="4"/>
              <w:bottom w:val="single" w:color="A0BFDB" w:sz="4"/>
              <w:right w:val="single" w:color="A0BFDB" w:sz="4"/>
            </w:tcBorders>
            <w:shd w:fill="D4C5E2"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Valore (cm)</w:t>
            </w:r>
          </w:p>
        </w:tc>
        <w:tc>
          <w:tcPr>
            <w:tcW w:type="dxa" w:w="8738"/>
            <w:tcBorders>
              <w:top w:val="single" w:color="A0BFDB" w:sz="4"/>
              <w:left w:val="single" w:color="A0BFDB" w:sz="4"/>
              <w:bottom w:val="single" w:color="A0BFDB" w:sz="4"/>
              <w:right w:val="single" w:color="A0BFDB" w:sz="4"/>
            </w:tcBorders>
            <w:shd w:fill="D4C5E2"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Fonti</w:t>
            </w:r>
          </w:p>
        </w:tc>
      </w:tr>
      <w:tr>
        <w:tc>
          <w:tcPr>
            <w:tcW w:type="dxa" w:w="2600"/>
            <w:tcBorders>
              <w:top w:val="single" w:color="A0BFDB" w:sz="4"/>
              <w:left w:val="single" w:color="A0BFDB" w:sz="4"/>
              <w:bottom w:val="single" w:color="A0BFDB" w:sz="4"/>
              <w:right w:val="single" w:color="A0BFDB" w:sz="4"/>
            </w:tcBorders>
            <w:shd w:fill="F5F0F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Dito (daktylos)</w:t>
            </w:r>
          </w:p>
        </w:tc>
        <w:tc>
          <w:tcPr>
            <w:tcW w:type="dxa" w:w="1900"/>
            <w:tcBorders>
              <w:top w:val="single" w:color="A0BFDB" w:sz="4"/>
              <w:left w:val="single" w:color="A0BFDB" w:sz="4"/>
              <w:bottom w:val="single" w:color="A0BFDB" w:sz="4"/>
              <w:right w:val="single" w:color="A0BFDB" w:sz="4"/>
            </w:tcBorders>
            <w:shd w:fill="F5F0F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1/16</w:t>
            </w:r>
          </w:p>
        </w:tc>
        <w:tc>
          <w:tcPr>
            <w:tcW w:type="dxa" w:w="2000"/>
            <w:tcBorders>
              <w:top w:val="single" w:color="A0BFDB" w:sz="4"/>
              <w:left w:val="single" w:color="A0BFDB" w:sz="4"/>
              <w:bottom w:val="single" w:color="A0BFDB" w:sz="4"/>
              <w:right w:val="single" w:color="A0BFDB" w:sz="4"/>
            </w:tcBorders>
            <w:shd w:fill="F5F0F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~1,90</w:t>
            </w:r>
          </w:p>
        </w:tc>
        <w:tc>
          <w:tcPr>
            <w:tcW w:type="dxa" w:w="8738"/>
            <w:tcBorders>
              <w:top w:val="single" w:color="A0BFDB" w:sz="4"/>
              <w:left w:val="single" w:color="A0BFDB" w:sz="4"/>
              <w:bottom w:val="single" w:color="A0BFDB" w:sz="4"/>
              <w:right w:val="single" w:color="A0BFDB" w:sz="4"/>
            </w:tcBorders>
            <w:shd w:fill="F5F0F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Derivato dal sistema greco-egeo; attestato indirettamente da Linear B</w:t>
            </w:r>
          </w:p>
        </w:tc>
      </w:tr>
      <w:tr>
        <w:tc>
          <w:tcPr>
            <w:tcW w:type="dxa" w:w="2600"/>
            <w:tcBorders>
              <w:top w:val="single" w:color="A0BFDB" w:sz="4"/>
              <w:left w:val="single" w:color="A0BFDB" w:sz="4"/>
              <w:bottom w:val="single" w:color="A0BFDB" w:sz="4"/>
              <w:right w:val="single" w:color="A0BFDB" w:sz="4"/>
            </w:tcBorders>
            <w:shd w:fill="FAF7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Palmo minore</w:t>
            </w:r>
          </w:p>
        </w:tc>
        <w:tc>
          <w:tcPr>
            <w:tcW w:type="dxa" w:w="1900"/>
            <w:tcBorders>
              <w:top w:val="single" w:color="A0BFDB" w:sz="4"/>
              <w:left w:val="single" w:color="A0BFDB" w:sz="4"/>
              <w:bottom w:val="single" w:color="A0BFDB" w:sz="4"/>
              <w:right w:val="single" w:color="A0BFDB" w:sz="4"/>
            </w:tcBorders>
            <w:shd w:fill="FAF7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1/4 (= 4 dita)</w:t>
            </w:r>
          </w:p>
        </w:tc>
        <w:tc>
          <w:tcPr>
            <w:tcW w:type="dxa" w:w="2000"/>
            <w:tcBorders>
              <w:top w:val="single" w:color="A0BFDB" w:sz="4"/>
              <w:left w:val="single" w:color="A0BFDB" w:sz="4"/>
              <w:bottom w:val="single" w:color="A0BFDB" w:sz="4"/>
              <w:right w:val="single" w:color="A0BFDB" w:sz="4"/>
            </w:tcBorders>
            <w:shd w:fill="FAF7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~7,59</w:t>
            </w:r>
          </w:p>
        </w:tc>
        <w:tc>
          <w:tcPr>
            <w:tcW w:type="dxa" w:w="8738"/>
            <w:tcBorders>
              <w:top w:val="single" w:color="A0BFDB" w:sz="4"/>
              <w:left w:val="single" w:color="A0BFDB" w:sz="4"/>
              <w:bottom w:val="single" w:color="A0BFDB" w:sz="4"/>
              <w:right w:val="single" w:color="A0BFDB" w:sz="4"/>
            </w:tcBorders>
            <w:shd w:fill="FAF7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Id.</w:t>
            </w:r>
          </w:p>
        </w:tc>
      </w:tr>
      <w:tr>
        <w:tc>
          <w:tcPr>
            <w:tcW w:type="dxa" w:w="2600"/>
            <w:tcBorders>
              <w:top w:val="single" w:color="A0BFDB" w:sz="4"/>
              <w:left w:val="single" w:color="A0BFDB" w:sz="4"/>
              <w:bottom w:val="single" w:color="A0BFDB" w:sz="4"/>
              <w:right w:val="single" w:color="A0BFDB" w:sz="4"/>
            </w:tcBorders>
            <w:shd w:fill="F5F0F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Piede minoico (pous)</w:t>
            </w:r>
          </w:p>
        </w:tc>
        <w:tc>
          <w:tcPr>
            <w:tcW w:type="dxa" w:w="1900"/>
            <w:tcBorders>
              <w:top w:val="single" w:color="A0BFDB" w:sz="4"/>
              <w:left w:val="single" w:color="A0BFDB" w:sz="4"/>
              <w:bottom w:val="single" w:color="A0BFDB" w:sz="4"/>
              <w:right w:val="single" w:color="A0BFDB" w:sz="4"/>
            </w:tcBorders>
            <w:shd w:fill="F5F0F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w:t>
            </w:r>
          </w:p>
        </w:tc>
        <w:tc>
          <w:tcPr>
            <w:tcW w:type="dxa" w:w="2000"/>
            <w:tcBorders>
              <w:top w:val="single" w:color="A0BFDB" w:sz="4"/>
              <w:left w:val="single" w:color="A0BFDB" w:sz="4"/>
              <w:bottom w:val="single" w:color="A0BFDB" w:sz="4"/>
              <w:right w:val="single" w:color="A0BFDB" w:sz="4"/>
            </w:tcBorders>
            <w:shd w:fill="F5F0F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30,36</w:t>
            </w:r>
          </w:p>
        </w:tc>
        <w:tc>
          <w:tcPr>
            <w:tcW w:type="dxa" w:w="8738"/>
            <w:tcBorders>
              <w:top w:val="single" w:color="A0BFDB" w:sz="4"/>
              <w:left w:val="single" w:color="A0BFDB" w:sz="4"/>
              <w:bottom w:val="single" w:color="A0BFDB" w:sz="4"/>
              <w:right w:val="single" w:color="A0BFDB" w:sz="4"/>
            </w:tcBorders>
            <w:shd w:fill="F5F0F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Graham 1960, AJA 64: 335–341; deduzione dai piani di Festo/Cnosso</w:t>
            </w:r>
          </w:p>
        </w:tc>
      </w:tr>
      <w:tr>
        <w:tc>
          <w:tcPr>
            <w:tcW w:type="dxa" w:w="2600"/>
            <w:tcBorders>
              <w:top w:val="single" w:color="A0BFDB" w:sz="4"/>
              <w:left w:val="single" w:color="A0BFDB" w:sz="4"/>
              <w:bottom w:val="single" w:color="A0BFDB" w:sz="4"/>
              <w:right w:val="single" w:color="A0BFDB" w:sz="4"/>
            </w:tcBorders>
            <w:shd w:fill="FAF7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Piede minoico (var.)</w:t>
            </w:r>
          </w:p>
        </w:tc>
        <w:tc>
          <w:tcPr>
            <w:tcW w:type="dxa" w:w="1900"/>
            <w:tcBorders>
              <w:top w:val="single" w:color="A0BFDB" w:sz="4"/>
              <w:left w:val="single" w:color="A0BFDB" w:sz="4"/>
              <w:bottom w:val="single" w:color="A0BFDB" w:sz="4"/>
              <w:right w:val="single" w:color="A0BFDB" w:sz="4"/>
            </w:tcBorders>
            <w:shd w:fill="FAF7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w:t>
            </w:r>
          </w:p>
        </w:tc>
        <w:tc>
          <w:tcPr>
            <w:tcW w:type="dxa" w:w="2000"/>
            <w:tcBorders>
              <w:top w:val="single" w:color="A0BFDB" w:sz="4"/>
              <w:left w:val="single" w:color="A0BFDB" w:sz="4"/>
              <w:bottom w:val="single" w:color="A0BFDB" w:sz="4"/>
              <w:right w:val="single" w:color="A0BFDB" w:sz="4"/>
            </w:tcBorders>
            <w:shd w:fill="FAF7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~30,0</w:t>
            </w:r>
          </w:p>
        </w:tc>
        <w:tc>
          <w:tcPr>
            <w:tcW w:type="dxa" w:w="8738"/>
            <w:tcBorders>
              <w:top w:val="single" w:color="A0BFDB" w:sz="4"/>
              <w:left w:val="single" w:color="A0BFDB" w:sz="4"/>
              <w:bottom w:val="single" w:color="A0BFDB" w:sz="4"/>
              <w:right w:val="single" w:color="A0BFDB" w:sz="4"/>
            </w:tcBorders>
            <w:shd w:fill="FAF7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Kolymbas et al. 2023, ResearchGate (variazione da mounds VII sec. ad eta ellenistica)</w:t>
            </w:r>
          </w:p>
        </w:tc>
      </w:tr>
      <w:tr>
        <w:tc>
          <w:tcPr>
            <w:tcW w:type="dxa" w:w="2600"/>
            <w:tcBorders>
              <w:top w:val="single" w:color="A0BFDB" w:sz="4"/>
              <w:left w:val="single" w:color="A0BFDB" w:sz="4"/>
              <w:bottom w:val="single" w:color="A0BFDB" w:sz="4"/>
              <w:right w:val="single" w:color="A0BFDB" w:sz="4"/>
            </w:tcBorders>
            <w:shd w:fill="F5F0F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Cubito (pechys)</w:t>
            </w:r>
          </w:p>
        </w:tc>
        <w:tc>
          <w:tcPr>
            <w:tcW w:type="dxa" w:w="1900"/>
            <w:tcBorders>
              <w:top w:val="single" w:color="A0BFDB" w:sz="4"/>
              <w:left w:val="single" w:color="A0BFDB" w:sz="4"/>
              <w:bottom w:val="single" w:color="A0BFDB" w:sz="4"/>
              <w:right w:val="single" w:color="A0BFDB" w:sz="4"/>
            </w:tcBorders>
            <w:shd w:fill="F5F0F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1,5</w:t>
            </w:r>
          </w:p>
        </w:tc>
        <w:tc>
          <w:tcPr>
            <w:tcW w:type="dxa" w:w="2000"/>
            <w:tcBorders>
              <w:top w:val="single" w:color="A0BFDB" w:sz="4"/>
              <w:left w:val="single" w:color="A0BFDB" w:sz="4"/>
              <w:bottom w:val="single" w:color="A0BFDB" w:sz="4"/>
              <w:right w:val="single" w:color="A0BFDB" w:sz="4"/>
            </w:tcBorders>
            <w:shd w:fill="F5F0F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~45,5</w:t>
            </w:r>
          </w:p>
        </w:tc>
        <w:tc>
          <w:tcPr>
            <w:tcW w:type="dxa" w:w="8738"/>
            <w:tcBorders>
              <w:top w:val="single" w:color="A0BFDB" w:sz="4"/>
              <w:left w:val="single" w:color="A0BFDB" w:sz="4"/>
              <w:bottom w:val="single" w:color="A0BFDB" w:sz="4"/>
              <w:right w:val="single" w:color="A0BFDB" w:sz="4"/>
            </w:tcBorders>
            <w:shd w:fill="F5F0F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Como 2020, Nexus NJ 22: 471–486</w:t>
            </w:r>
          </w:p>
        </w:tc>
      </w:tr>
      <w:tr>
        <w:tc>
          <w:tcPr>
            <w:tcW w:type="dxa" w:w="2600"/>
            <w:tcBorders>
              <w:top w:val="single" w:color="A0BFDB" w:sz="4"/>
              <w:left w:val="single" w:color="A0BFDB" w:sz="4"/>
              <w:bottom w:val="single" w:color="A0BFDB" w:sz="4"/>
              <w:right w:val="single" w:color="A0BFDB" w:sz="4"/>
            </w:tcBorders>
            <w:shd w:fill="FAF7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Doppio cubito</w:t>
            </w:r>
          </w:p>
        </w:tc>
        <w:tc>
          <w:tcPr>
            <w:tcW w:type="dxa" w:w="1900"/>
            <w:tcBorders>
              <w:top w:val="single" w:color="A0BFDB" w:sz="4"/>
              <w:left w:val="single" w:color="A0BFDB" w:sz="4"/>
              <w:bottom w:val="single" w:color="A0BFDB" w:sz="4"/>
              <w:right w:val="single" w:color="A0BFDB" w:sz="4"/>
            </w:tcBorders>
            <w:shd w:fill="FAF7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3</w:t>
            </w:r>
          </w:p>
        </w:tc>
        <w:tc>
          <w:tcPr>
            <w:tcW w:type="dxa" w:w="2000"/>
            <w:tcBorders>
              <w:top w:val="single" w:color="A0BFDB" w:sz="4"/>
              <w:left w:val="single" w:color="A0BFDB" w:sz="4"/>
              <w:bottom w:val="single" w:color="A0BFDB" w:sz="4"/>
              <w:right w:val="single" w:color="A0BFDB" w:sz="4"/>
            </w:tcBorders>
            <w:shd w:fill="FAF7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~91</w:t>
            </w:r>
          </w:p>
        </w:tc>
        <w:tc>
          <w:tcPr>
            <w:tcW w:type="dxa" w:w="8738"/>
            <w:tcBorders>
              <w:top w:val="single" w:color="A0BFDB" w:sz="4"/>
              <w:left w:val="single" w:color="A0BFDB" w:sz="4"/>
              <w:bottom w:val="single" w:color="A0BFDB" w:sz="4"/>
              <w:right w:val="single" w:color="A0BFDB" w:sz="4"/>
            </w:tcBorders>
            <w:shd w:fill="FAF7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Modulo base nei palazzi minoici; Graham 1960</w:t>
            </w:r>
          </w:p>
        </w:tc>
      </w:tr>
      <w:tr>
        <w:tc>
          <w:tcPr>
            <w:tcW w:type="dxa" w:w="2600"/>
            <w:tcBorders>
              <w:top w:val="single" w:color="A0BFDB" w:sz="4"/>
              <w:left w:val="single" w:color="A0BFDB" w:sz="4"/>
              <w:bottom w:val="single" w:color="A0BFDB" w:sz="4"/>
              <w:right w:val="single" w:color="A0BFDB" w:sz="4"/>
            </w:tcBorders>
            <w:shd w:fill="F5F0F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Orgya / Tesa</w:t>
            </w:r>
          </w:p>
        </w:tc>
        <w:tc>
          <w:tcPr>
            <w:tcW w:type="dxa" w:w="1900"/>
            <w:tcBorders>
              <w:top w:val="single" w:color="A0BFDB" w:sz="4"/>
              <w:left w:val="single" w:color="A0BFDB" w:sz="4"/>
              <w:bottom w:val="single" w:color="A0BFDB" w:sz="4"/>
              <w:right w:val="single" w:color="A0BFDB" w:sz="4"/>
            </w:tcBorders>
            <w:shd w:fill="F5F0F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6</w:t>
            </w:r>
          </w:p>
        </w:tc>
        <w:tc>
          <w:tcPr>
            <w:tcW w:type="dxa" w:w="2000"/>
            <w:tcBorders>
              <w:top w:val="single" w:color="A0BFDB" w:sz="4"/>
              <w:left w:val="single" w:color="A0BFDB" w:sz="4"/>
              <w:bottom w:val="single" w:color="A0BFDB" w:sz="4"/>
              <w:right w:val="single" w:color="A0BFDB" w:sz="4"/>
            </w:tcBorders>
            <w:shd w:fill="F5F0F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~182</w:t>
            </w:r>
          </w:p>
        </w:tc>
        <w:tc>
          <w:tcPr>
            <w:tcW w:type="dxa" w:w="8738"/>
            <w:tcBorders>
              <w:top w:val="single" w:color="A0BFDB" w:sz="4"/>
              <w:left w:val="single" w:color="A0BFDB" w:sz="4"/>
              <w:bottom w:val="single" w:color="A0BFDB" w:sz="4"/>
              <w:right w:val="single" w:color="A0BFDB" w:sz="4"/>
            </w:tcBorders>
            <w:shd w:fill="F5F0F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Como 2020, Nexus NJ 22</w:t>
            </w:r>
          </w:p>
        </w:tc>
      </w:tr>
    </w:tbl>
    <w:p>
      <w:pPr>
        <w:spacing w:after="100" w:before="0"/>
      </w:pP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5238"/>
      </w:tblGrid>
      <w:tr>
        <w:tc>
          <w:tcPr>
            <w:tcW w:type="dxa" w:w="15238"/>
            <w:tcBorders>
              <w:top w:val="single" w:color="C8A000" w:sz="6"/>
              <w:left w:val="single" w:color="C8A000" w:sz="24"/>
              <w:bottom w:val="single" w:color="C8A000" w:sz="6"/>
              <w:right w:val="single" w:color="C8A000" w:sz="6"/>
            </w:tcBorders>
            <w:shd w:fill="FFF2CC" w:val="clear"/>
            <w:tcMar>
              <w:top w:type="dxa" w:w="80"/>
              <w:left w:type="dxa" w:w="200"/>
              <w:bottom w:type="dxa" w:w="80"/>
              <w:right w:type="dxa" w:w="140"/>
            </w:tcMar>
          </w:tcPr>
          <w:p>
            <w:pPr>
              <w:spacing w:after="0" w:before="0"/>
              <w:jc w:val="left"/>
            </w:pPr>
            <w:r>
              <w:rPr>
                <w:rFonts w:ascii="Arial" w:cs="Arial" w:eastAsia="Arial" w:hAnsi="Arial"/>
                <w:sz w:val="17"/>
                <w:szCs w:val="17"/>
              </w:rPr>
              <w:t xml:space="preserve">Il sistema metrologico minoico/miceneo non ha restituito campioni fisici diretti (campioni di misura incisi o in bronzo). I valori sono dedotti per via statistica dall'analisi dei piani architettonici e dei pesi ponderali. Il dibattito tra Graham (30,36 cm) e Preziosi (griglia decimale da 34,0 cm) non e ancora risolto. Le unita ponderali minoiche (mina ~62–65,5 g) sono invece ben attestate da centinaia di pesi in piombo e pietra.</w:t>
            </w:r>
          </w:p>
        </w:tc>
      </w:tr>
    </w:tbl>
    <w:p>
      <w:pPr>
        <w:spacing w:after="140" w:before="0"/>
      </w:pPr>
    </w:p>
    <w:p>
      <w:pPr>
        <w:pStyle w:val="Heading2"/>
        <w:spacing w:after="80" w:before="160"/>
      </w:pPr>
      <w:r>
        <w:rPr>
          <w:rFonts w:ascii="Arial" w:cs="Arial" w:eastAsia="Arial" w:hAnsi="Arial"/>
          <w:b/>
          <w:bCs/>
          <w:color w:val="2C5F8A"/>
          <w:sz w:val="20"/>
          <w:szCs w:val="20"/>
        </w:rPr>
        <w:t xml:space="preserve">▦  Casi di studio e attestazioni del sistema minoico/miceneo</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200"/>
        <w:gridCol w:w="6038"/>
      </w:tblGrid>
      <w:tr>
        <w:tc>
          <w:tcPr>
            <w:tcW w:type="dxa" w:w="32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Sito / Campione</w:t>
            </w:r>
          </w:p>
        </w:tc>
        <w:tc>
          <w:tcPr>
            <w:tcW w:type="dxa" w:w="18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Periodo</w:t>
            </w:r>
          </w:p>
        </w:tc>
        <w:tc>
          <w:tcPr>
            <w:tcW w:type="dxa" w:w="42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Dati metrologici</w:t>
            </w:r>
          </w:p>
        </w:tc>
        <w:tc>
          <w:tcPr>
            <w:tcW w:type="dxa" w:w="6038"/>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Fonte</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Palazzo di Festo (Creta)</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II Palazzo, c. 1700–1450 a.C.</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Graham (1960) deduce il piede minoico di 30,36 cm analizzando i piani delle sale del Palazzo di Festo; il modulo ricorrente e il doppio cubito (c. 91 cm). Applicazione confermata su segmenti lineari totali di 60,54 m a Cnosso.</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Graham J.W. 1960, AJA 64: 335–341; Graham 1967, Pepragmena Kretologikou Synedriou, pp. 157–165</w:t>
            </w:r>
          </w:p>
        </w:tc>
      </w:tr>
      <w:tr>
        <w:tc>
          <w:tcPr>
            <w:tcW w:type="dxa" w:w="3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Palazzo di Cnosso (Creta)</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II Palazzo, c. 1700–1375 a.C.</w:t>
            </w:r>
          </w:p>
        </w:tc>
        <w:tc>
          <w:tcPr>
            <w:tcW w:type="dxa" w:w="4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Preziosi (1983) propone in alternativa una griglia modulare decimale con modulo base di 34,0 cm, con cui descrive la posizione dei blocchi e la struttura interna dei magazzini. Il dibattito Graham vs Preziosi e ancora aperto.</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Preziosi D. 1983, Minoan Architectural Design, Berlin/New York; Shaw J.W. 2009, in Bronze Age Architectural Traditions in the East Mediterranean, pp. 61–89</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Tholos del Tesoro di Atreo, Micene</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 1350–1250 a.C.</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Como (2020) individua una griglia geometrica sottostante con coesistenza di piu unita di misura; il piede attestato e 30,36 cm (uguale al minoico). La tholos ha diametro interno ~14,55 m = ~47,9 piedi minoici; altezza ~13,20 m.</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Como M.T. 2020, Nexus Network Journal 22: 471–486 (Springer); Como 2009, Proc. 3rd Intl Congress on Construction History, Cottbus</w:t>
            </w:r>
          </w:p>
        </w:tc>
      </w:tr>
      <w:tr>
        <w:tc>
          <w:tcPr>
            <w:tcW w:type="dxa" w:w="3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Pesi ponderali da Akrotiri, Thera</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Eta del Bronzo Tardo, prima del 1613 a.C.</w:t>
            </w:r>
          </w:p>
        </w:tc>
        <w:tc>
          <w:tcPr>
            <w:tcW w:type="dxa" w:w="4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Michailidou (1990, 2006): 1–2 pesi di piombo rinvenuti in quasi ogni edificio di Akrotiri; fino a 26 dischi nel West House. Standard principale minoico: 62–65,5 g (Evans 1906: 65,5 g; Petruso 1978; revisione Pakkanen 2011: 60,5 g). I pesi di piombo derivano dalle miniere del Lavrion (Attica) secondo analisi isotopica.</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Michailidou A. 1990, Thera and the Aegean World 3.1: 407–19; Petruso K.M. 1992, Keos VIII, Mainz; Pakkanen J. 2011, in Brysbaert (ed.), Tracing Prehistoric Social Networks, Routledge, pp. 143–166</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Pesi ponderali da Ayia Irini, Keos</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Eta del Bronzo Tardo</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Corpus di 166 pesi bronzei e in piombo analizzati da Petruso (1992) con metodi quantografici. Due unita principali: ~60,5 g (mina egea) e ~8,5 g (shekel egeo). La mina egea corrisponde a 5 volte l'unita aurea egizia (12–12,4 g), evidenziando connessioni metrологiche con il sistema egizio.</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Petruso K.M. 1992, Keos VIII: Ayia Irini. The Balance Weights, Mainz am Rhein; AJA 112/2 book review 2008</w:t>
            </w:r>
          </w:p>
        </w:tc>
      </w:tr>
      <w:tr>
        <w:tc>
          <w:tcPr>
            <w:tcW w:type="dxa" w:w="3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Tavolette in Lineare B, Cnosso/Pilo</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XIV–XIII sec. a.C.</w:t>
            </w:r>
          </w:p>
        </w:tc>
        <w:tc>
          <w:tcPr>
            <w:tcW w:type="dxa" w:w="4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Le tavolette micenee registrano misure di tessili (in unita "M"), metalli e cereali in un sistema metrologico derivato da quello minoico e poi trasmesso al sistema greco classico. La scrittura Lineare B documenta la continuita amministrativa del sistema di misura palatino.</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Grokipedia, Ancient Greek units; Michailidou A. 2001, in Manufacture and Measurement, Meletemata 33, Atene; Del Freo M. 2016, Manuale di epigrafia micenea, Padova</w:t>
            </w:r>
          </w:p>
        </w:tc>
      </w:tr>
    </w:tbl>
    <w:p>
      <w:pPr>
        <w:spacing w:after="200" w:before="0"/>
      </w:pPr>
    </w:p>
    <w:p>
      <w:pPr>
        <w:pageBreakBefore/>
      </w:pPr>
    </w:p>
    <w:p>
      <w:pPr>
        <w:pStyle w:val="Heading1"/>
        <w:spacing w:after="120" w:before="320"/>
      </w:pPr>
      <w:r>
        <w:rPr>
          <w:rFonts w:ascii="Arial" w:cs="Arial" w:eastAsia="Arial" w:hAnsi="Arial"/>
          <w:b/>
          <w:bCs/>
          <w:color w:val="2E6DA4"/>
          <w:sz w:val="26"/>
          <w:szCs w:val="26"/>
        </w:rPr>
        <w:t xml:space="preserve">6. </w:t>
      </w:r>
      <w:r>
        <w:rPr>
          <w:rFonts w:ascii="Arial" w:cs="Arial" w:eastAsia="Arial" w:hAnsi="Arial"/>
          <w:b/>
          <w:bCs/>
          <w:color w:val="1B3A5C"/>
          <w:sz w:val="26"/>
          <w:szCs w:val="26"/>
        </w:rPr>
        <w:t xml:space="preserve">Sistema Etrusco</w:t>
      </w:r>
    </w:p>
    <w:p>
      <w:pPr>
        <w:spacing w:after="100" w:before="0"/>
        <w:jc w:val="left"/>
      </w:pPr>
      <w:r>
        <w:rPr>
          <w:rFonts w:ascii="Arial" w:cs="Arial" w:eastAsia="Arial" w:hAnsi="Arial"/>
          <w:color w:val="2E6DA4"/>
          <w:sz w:val="17"/>
          <w:szCs w:val="17"/>
        </w:rPr>
        <w:t xml:space="preserve">Nessun campione fisico diretto del piede etrusco e stato rinvenuto. Le misure sono dedotte per via archaeologica dall'analisi di edifici, urbanistica e divisioni agrarie. La letteratura tecnica latina (Columella, Corpus Agrimensorum) tramanda il termine acnua come radice etrusca dell'actus romano. Il piede etrusco si colloca sistematicamente nel range 29,6–30,36 cm, sovrapposto al piede attico e al piede romano, a causa delle influenze greche e poi romane sulla cultura etrusca.</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000"/>
        <w:gridCol w:w="8738"/>
      </w:tblGrid>
      <w:tr>
        <w:tc>
          <w:tcPr>
            <w:tcW w:type="dxa" w:w="2600"/>
            <w:tcBorders>
              <w:top w:val="single" w:color="A0BFDB" w:sz="4"/>
              <w:left w:val="single" w:color="A0BFDB" w:sz="4"/>
              <w:bottom w:val="single" w:color="A0BFDB" w:sz="4"/>
              <w:right w:val="single" w:color="A0BFDB" w:sz="4"/>
            </w:tcBorders>
            <w:shd w:fill="D6E8D0"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Unita</w:t>
            </w:r>
          </w:p>
        </w:tc>
        <w:tc>
          <w:tcPr>
            <w:tcW w:type="dxa" w:w="1900"/>
            <w:tcBorders>
              <w:top w:val="single" w:color="A0BFDB" w:sz="4"/>
              <w:left w:val="single" w:color="A0BFDB" w:sz="4"/>
              <w:bottom w:val="single" w:color="A0BFDB" w:sz="4"/>
              <w:right w:val="single" w:color="A0BFDB" w:sz="4"/>
            </w:tcBorders>
            <w:shd w:fill="D6E8D0"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Rapporto al piede</w:t>
            </w:r>
          </w:p>
        </w:tc>
        <w:tc>
          <w:tcPr>
            <w:tcW w:type="dxa" w:w="2000"/>
            <w:tcBorders>
              <w:top w:val="single" w:color="A0BFDB" w:sz="4"/>
              <w:left w:val="single" w:color="A0BFDB" w:sz="4"/>
              <w:bottom w:val="single" w:color="A0BFDB" w:sz="4"/>
              <w:right w:val="single" w:color="A0BFDB" w:sz="4"/>
            </w:tcBorders>
            <w:shd w:fill="D6E8D0"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Valore (cm)</w:t>
            </w:r>
          </w:p>
        </w:tc>
        <w:tc>
          <w:tcPr>
            <w:tcW w:type="dxa" w:w="8738"/>
            <w:tcBorders>
              <w:top w:val="single" w:color="A0BFDB" w:sz="4"/>
              <w:left w:val="single" w:color="A0BFDB" w:sz="4"/>
              <w:bottom w:val="single" w:color="A0BFDB" w:sz="4"/>
              <w:right w:val="single" w:color="A0BFDB" w:sz="4"/>
            </w:tcBorders>
            <w:shd w:fill="D6E8D0"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Fonti</w:t>
            </w:r>
          </w:p>
        </w:tc>
      </w:tr>
      <w:tr>
        <w:tc>
          <w:tcPr>
            <w:tcW w:type="dxa" w:w="2600"/>
            <w:tcBorders>
              <w:top w:val="single" w:color="A0BFDB" w:sz="4"/>
              <w:left w:val="single" w:color="A0BFDB" w:sz="4"/>
              <w:bottom w:val="single" w:color="A0BFDB" w:sz="4"/>
              <w:right w:val="single" w:color="A0BFDB" w:sz="4"/>
            </w:tcBorders>
            <w:shd w:fill="EEF7E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Pes etrusco (valore centrale)</w:t>
            </w:r>
          </w:p>
        </w:tc>
        <w:tc>
          <w:tcPr>
            <w:tcW w:type="dxa" w:w="1900"/>
            <w:tcBorders>
              <w:top w:val="single" w:color="A0BFDB" w:sz="4"/>
              <w:left w:val="single" w:color="A0BFDB" w:sz="4"/>
              <w:bottom w:val="single" w:color="A0BFDB" w:sz="4"/>
              <w:right w:val="single" w:color="A0BFDB" w:sz="4"/>
            </w:tcBorders>
            <w:shd w:fill="EEF7E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w:t>
            </w:r>
          </w:p>
        </w:tc>
        <w:tc>
          <w:tcPr>
            <w:tcW w:type="dxa" w:w="2000"/>
            <w:tcBorders>
              <w:top w:val="single" w:color="A0BFDB" w:sz="4"/>
              <w:left w:val="single" w:color="A0BFDB" w:sz="4"/>
              <w:bottom w:val="single" w:color="A0BFDB" w:sz="4"/>
              <w:right w:val="single" w:color="A0BFDB" w:sz="4"/>
            </w:tcBorders>
            <w:shd w:fill="EEF7E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30,04 (range 29,94–30,36)</w:t>
            </w:r>
          </w:p>
        </w:tc>
        <w:tc>
          <w:tcPr>
            <w:tcW w:type="dxa" w:w="8738"/>
            <w:tcBorders>
              <w:top w:val="single" w:color="A0BFDB" w:sz="4"/>
              <w:left w:val="single" w:color="A0BFDB" w:sz="4"/>
              <w:bottom w:val="single" w:color="A0BFDB" w:sz="4"/>
              <w:right w:val="single" w:color="A0BFDB" w:sz="4"/>
            </w:tcBorders>
            <w:shd w:fill="EEF7E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Kolymbas 2017, The Linear Etruscan Measurements (Academia): analisi su monumenti VII–IV sec. a.C.</w:t>
            </w:r>
          </w:p>
        </w:tc>
      </w:tr>
      <w:tr>
        <w:tc>
          <w:tcPr>
            <w:tcW w:type="dxa" w:w="2600"/>
            <w:tcBorders>
              <w:top w:val="single" w:color="A0BFDB" w:sz="4"/>
              <w:left w:val="single" w:color="A0BFDB" w:sz="4"/>
              <w:bottom w:val="single" w:color="A0BFDB" w:sz="4"/>
              <w:right w:val="single" w:color="A0BFDB" w:sz="4"/>
            </w:tcBorders>
            <w:shd w:fill="F7FCF5"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Pes etrusco (piede attico)</w:t>
            </w:r>
          </w:p>
        </w:tc>
        <w:tc>
          <w:tcPr>
            <w:tcW w:type="dxa" w:w="1900"/>
            <w:tcBorders>
              <w:top w:val="single" w:color="A0BFDB" w:sz="4"/>
              <w:left w:val="single" w:color="A0BFDB" w:sz="4"/>
              <w:bottom w:val="single" w:color="A0BFDB" w:sz="4"/>
              <w:right w:val="single" w:color="A0BFDB" w:sz="4"/>
            </w:tcBorders>
            <w:shd w:fill="F7FCF5"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w:t>
            </w:r>
          </w:p>
        </w:tc>
        <w:tc>
          <w:tcPr>
            <w:tcW w:type="dxa" w:w="2000"/>
            <w:tcBorders>
              <w:top w:val="single" w:color="A0BFDB" w:sz="4"/>
              <w:left w:val="single" w:color="A0BFDB" w:sz="4"/>
              <w:bottom w:val="single" w:color="A0BFDB" w:sz="4"/>
              <w:right w:val="single" w:color="A0BFDB" w:sz="4"/>
            </w:tcBorders>
            <w:shd w:fill="F7FCF5"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29,6</w:t>
            </w:r>
          </w:p>
        </w:tc>
        <w:tc>
          <w:tcPr>
            <w:tcW w:type="dxa" w:w="8738"/>
            <w:tcBorders>
              <w:top w:val="single" w:color="A0BFDB" w:sz="4"/>
              <w:left w:val="single" w:color="A0BFDB" w:sz="4"/>
              <w:bottom w:val="single" w:color="A0BFDB" w:sz="4"/>
              <w:right w:val="single" w:color="A0BFDB" w:sz="4"/>
            </w:tcBorders>
            <w:shd w:fill="F7FCF5"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Baronio 2017, Ocnus 25 (Unibo): pianimetria di Marzabotto/Kainua</w:t>
            </w:r>
          </w:p>
        </w:tc>
      </w:tr>
      <w:tr>
        <w:tc>
          <w:tcPr>
            <w:tcW w:type="dxa" w:w="2600"/>
            <w:tcBorders>
              <w:top w:val="single" w:color="A0BFDB" w:sz="4"/>
              <w:left w:val="single" w:color="A0BFDB" w:sz="4"/>
              <w:bottom w:val="single" w:color="A0BFDB" w:sz="4"/>
              <w:right w:val="single" w:color="A0BFDB" w:sz="4"/>
            </w:tcBorders>
            <w:shd w:fill="EEF7E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Passus etrusco</w:t>
            </w:r>
          </w:p>
        </w:tc>
        <w:tc>
          <w:tcPr>
            <w:tcW w:type="dxa" w:w="1900"/>
            <w:tcBorders>
              <w:top w:val="single" w:color="A0BFDB" w:sz="4"/>
              <w:left w:val="single" w:color="A0BFDB" w:sz="4"/>
              <w:bottom w:val="single" w:color="A0BFDB" w:sz="4"/>
              <w:right w:val="single" w:color="A0BFDB" w:sz="4"/>
            </w:tcBorders>
            <w:shd w:fill="EEF7E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5</w:t>
            </w:r>
          </w:p>
        </w:tc>
        <w:tc>
          <w:tcPr>
            <w:tcW w:type="dxa" w:w="2000"/>
            <w:tcBorders>
              <w:top w:val="single" w:color="A0BFDB" w:sz="4"/>
              <w:left w:val="single" w:color="A0BFDB" w:sz="4"/>
              <w:bottom w:val="single" w:color="A0BFDB" w:sz="4"/>
              <w:right w:val="single" w:color="A0BFDB" w:sz="4"/>
            </w:tcBorders>
            <w:shd w:fill="EEF7E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~150</w:t>
            </w:r>
          </w:p>
        </w:tc>
        <w:tc>
          <w:tcPr>
            <w:tcW w:type="dxa" w:w="8738"/>
            <w:tcBorders>
              <w:top w:val="single" w:color="A0BFDB" w:sz="4"/>
              <w:left w:val="single" w:color="A0BFDB" w:sz="4"/>
              <w:bottom w:val="single" w:color="A0BFDB" w:sz="4"/>
              <w:right w:val="single" w:color="A0BFDB" w:sz="4"/>
            </w:tcBorders>
            <w:shd w:fill="EEF7E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Corpus Agrimensorum Romanorum; Columella, De re rustica</w:t>
            </w:r>
          </w:p>
        </w:tc>
      </w:tr>
      <w:tr>
        <w:tc>
          <w:tcPr>
            <w:tcW w:type="dxa" w:w="2600"/>
            <w:tcBorders>
              <w:top w:val="single" w:color="A0BFDB" w:sz="4"/>
              <w:left w:val="single" w:color="A0BFDB" w:sz="4"/>
              <w:bottom w:val="single" w:color="A0BFDB" w:sz="4"/>
              <w:right w:val="single" w:color="A0BFDB" w:sz="4"/>
            </w:tcBorders>
            <w:shd w:fill="F7FCF5"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Actus / Acnua</w:t>
            </w:r>
          </w:p>
        </w:tc>
        <w:tc>
          <w:tcPr>
            <w:tcW w:type="dxa" w:w="1900"/>
            <w:tcBorders>
              <w:top w:val="single" w:color="A0BFDB" w:sz="4"/>
              <w:left w:val="single" w:color="A0BFDB" w:sz="4"/>
              <w:bottom w:val="single" w:color="A0BFDB" w:sz="4"/>
              <w:right w:val="single" w:color="A0BFDB" w:sz="4"/>
            </w:tcBorders>
            <w:shd w:fill="F7FCF5"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120 (= 200 pes x 200 pes superficie)</w:t>
            </w:r>
          </w:p>
        </w:tc>
        <w:tc>
          <w:tcPr>
            <w:tcW w:type="dxa" w:w="2000"/>
            <w:tcBorders>
              <w:top w:val="single" w:color="A0BFDB" w:sz="4"/>
              <w:left w:val="single" w:color="A0BFDB" w:sz="4"/>
              <w:bottom w:val="single" w:color="A0BFDB" w:sz="4"/>
              <w:right w:val="single" w:color="A0BFDB" w:sz="4"/>
            </w:tcBorders>
            <w:shd w:fill="F7FCF5"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~36 m lineare</w:t>
            </w:r>
          </w:p>
        </w:tc>
        <w:tc>
          <w:tcPr>
            <w:tcW w:type="dxa" w:w="8738"/>
            <w:tcBorders>
              <w:top w:val="single" w:color="A0BFDB" w:sz="4"/>
              <w:left w:val="single" w:color="A0BFDB" w:sz="4"/>
              <w:bottom w:val="single" w:color="A0BFDB" w:sz="4"/>
              <w:right w:val="single" w:color="A0BFDB" w:sz="4"/>
            </w:tcBorders>
            <w:shd w:fill="F7FCF5"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Columella: "actus vocabatur acnua antiquis"; Corpus Agrimensorum</w:t>
            </w:r>
          </w:p>
        </w:tc>
      </w:tr>
      <w:tr>
        <w:tc>
          <w:tcPr>
            <w:tcW w:type="dxa" w:w="2600"/>
            <w:tcBorders>
              <w:top w:val="single" w:color="A0BFDB" w:sz="4"/>
              <w:left w:val="single" w:color="A0BFDB" w:sz="4"/>
              <w:bottom w:val="single" w:color="A0BFDB" w:sz="4"/>
              <w:right w:val="single" w:color="A0BFDB" w:sz="4"/>
            </w:tcBorders>
            <w:shd w:fill="EEF7E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Acnua (superficie minima)</w:t>
            </w:r>
          </w:p>
        </w:tc>
        <w:tc>
          <w:tcPr>
            <w:tcW w:type="dxa" w:w="1900"/>
            <w:tcBorders>
              <w:top w:val="single" w:color="A0BFDB" w:sz="4"/>
              <w:left w:val="single" w:color="A0BFDB" w:sz="4"/>
              <w:bottom w:val="single" w:color="A0BFDB" w:sz="4"/>
              <w:right w:val="single" w:color="A0BFDB" w:sz="4"/>
            </w:tcBorders>
            <w:shd w:fill="EEF7E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semiscripulum = 5 x 10 pes</w:t>
            </w:r>
          </w:p>
        </w:tc>
        <w:tc>
          <w:tcPr>
            <w:tcW w:type="dxa" w:w="2000"/>
            <w:tcBorders>
              <w:top w:val="single" w:color="A0BFDB" w:sz="4"/>
              <w:left w:val="single" w:color="A0BFDB" w:sz="4"/>
              <w:bottom w:val="single" w:color="A0BFDB" w:sz="4"/>
              <w:right w:val="single" w:color="A0BFDB" w:sz="4"/>
            </w:tcBorders>
            <w:shd w:fill="EEF7E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~0,44 m²</w:t>
            </w:r>
          </w:p>
        </w:tc>
        <w:tc>
          <w:tcPr>
            <w:tcW w:type="dxa" w:w="8738"/>
            <w:tcBorders>
              <w:top w:val="single" w:color="A0BFDB" w:sz="4"/>
              <w:left w:val="single" w:color="A0BFDB" w:sz="4"/>
              <w:bottom w:val="single" w:color="A0BFDB" w:sz="4"/>
              <w:right w:val="single" w:color="A0BFDB" w:sz="4"/>
            </w:tcBorders>
            <w:shd w:fill="EEF7EA"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Columella; Corpus Agrimensorum Romanorum</w:t>
            </w:r>
          </w:p>
        </w:tc>
      </w:tr>
      <w:tr>
        <w:tc>
          <w:tcPr>
            <w:tcW w:type="dxa" w:w="2600"/>
            <w:tcBorders>
              <w:top w:val="single" w:color="A0BFDB" w:sz="4"/>
              <w:left w:val="single" w:color="A0BFDB" w:sz="4"/>
              <w:bottom w:val="single" w:color="A0BFDB" w:sz="4"/>
              <w:right w:val="single" w:color="A0BFDB" w:sz="4"/>
            </w:tcBorders>
            <w:shd w:fill="F7FCF5"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Saltus etrusco</w:t>
            </w:r>
          </w:p>
        </w:tc>
        <w:tc>
          <w:tcPr>
            <w:tcW w:type="dxa" w:w="1900"/>
            <w:tcBorders>
              <w:top w:val="single" w:color="A0BFDB" w:sz="4"/>
              <w:left w:val="single" w:color="A0BFDB" w:sz="4"/>
              <w:bottom w:val="single" w:color="A0BFDB" w:sz="4"/>
              <w:right w:val="single" w:color="A0BFDB" w:sz="4"/>
            </w:tcBorders>
            <w:shd w:fill="F7FCF5"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10 x 10 actus</w:t>
            </w:r>
          </w:p>
        </w:tc>
        <w:tc>
          <w:tcPr>
            <w:tcW w:type="dxa" w:w="2000"/>
            <w:tcBorders>
              <w:top w:val="single" w:color="A0BFDB" w:sz="4"/>
              <w:left w:val="single" w:color="A0BFDB" w:sz="4"/>
              <w:bottom w:val="single" w:color="A0BFDB" w:sz="4"/>
              <w:right w:val="single" w:color="A0BFDB" w:sz="4"/>
            </w:tcBorders>
            <w:shd w:fill="F7FCF5"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~129.600 m²</w:t>
            </w:r>
          </w:p>
        </w:tc>
        <w:tc>
          <w:tcPr>
            <w:tcW w:type="dxa" w:w="8738"/>
            <w:tcBorders>
              <w:top w:val="single" w:color="A0BFDB" w:sz="4"/>
              <w:left w:val="single" w:color="A0BFDB" w:sz="4"/>
              <w:bottom w:val="single" w:color="A0BFDB" w:sz="4"/>
              <w:right w:val="single" w:color="A0BFDB" w:sz="4"/>
            </w:tcBorders>
            <w:shd w:fill="F7FCF5"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Corpus Agrimensorum; Kolymbas 2017</w:t>
            </w:r>
          </w:p>
        </w:tc>
      </w:tr>
    </w:tbl>
    <w:p>
      <w:pPr>
        <w:spacing w:after="100" w:before="0"/>
      </w:pP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15238"/>
      </w:tblGrid>
      <w:tr>
        <w:tc>
          <w:tcPr>
            <w:tcW w:type="dxa" w:w="15238"/>
            <w:tcBorders>
              <w:top w:val="single" w:color="C8A000" w:sz="6"/>
              <w:left w:val="single" w:color="C8A000" w:sz="24"/>
              <w:bottom w:val="single" w:color="C8A000" w:sz="6"/>
              <w:right w:val="single" w:color="C8A000" w:sz="6"/>
            </w:tcBorders>
            <w:shd w:fill="FFF2CC" w:val="clear"/>
            <w:tcMar>
              <w:top w:type="dxa" w:w="80"/>
              <w:left w:type="dxa" w:w="200"/>
              <w:bottom w:type="dxa" w:w="80"/>
              <w:right w:type="dxa" w:w="140"/>
            </w:tcMar>
          </w:tcPr>
          <w:p>
            <w:pPr>
              <w:spacing w:after="0" w:before="0"/>
              <w:jc w:val="left"/>
            </w:pPr>
            <w:r>
              <w:rPr>
                <w:rFonts w:ascii="Arial" w:cs="Arial" w:eastAsia="Arial" w:hAnsi="Arial"/>
                <w:sz w:val="17"/>
                <w:szCs w:val="17"/>
              </w:rPr>
              <w:t xml:space="preserve">La metrologia etrusca e il settore piu lacunoso dell'archeologia metrologica mediterranea: nessun oggetto identificabile come campione ufficiale di misura e stato rinvenuto in contesto etrusco. I valori proposti derivano da analisi indirette su architettura e pianificazione urbana. Piede attico (29,6 cm), piede osco-italico (~27,5 cm) e piede etrusco (~30,0 cm) si sovrappongono nel range di variazione, rendendo difficile l'attribuzione certa nelle fasi di transizione.</w:t>
            </w:r>
          </w:p>
        </w:tc>
      </w:tr>
    </w:tbl>
    <w:p>
      <w:pPr>
        <w:spacing w:after="140" w:before="0"/>
      </w:pPr>
    </w:p>
    <w:p>
      <w:pPr>
        <w:pStyle w:val="Heading2"/>
        <w:spacing w:after="80" w:before="160"/>
      </w:pPr>
      <w:r>
        <w:rPr>
          <w:rFonts w:ascii="Arial" w:cs="Arial" w:eastAsia="Arial" w:hAnsi="Arial"/>
          <w:b/>
          <w:bCs/>
          <w:color w:val="2C5F8A"/>
          <w:sz w:val="20"/>
          <w:szCs w:val="20"/>
        </w:rPr>
        <w:t xml:space="preserve">▦  Casi di studio e attestazioni del sistema etrusco</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200"/>
        <w:gridCol w:w="6038"/>
      </w:tblGrid>
      <w:tr>
        <w:tc>
          <w:tcPr>
            <w:tcW w:type="dxa" w:w="32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Sito / Campione</w:t>
            </w:r>
          </w:p>
        </w:tc>
        <w:tc>
          <w:tcPr>
            <w:tcW w:type="dxa" w:w="18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Periodo</w:t>
            </w:r>
          </w:p>
        </w:tc>
        <w:tc>
          <w:tcPr>
            <w:tcW w:type="dxa" w:w="42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Dati metrologici</w:t>
            </w:r>
          </w:p>
        </w:tc>
        <w:tc>
          <w:tcPr>
            <w:tcW w:type="dxa" w:w="6038"/>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Fonte</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Kainua-Marzabotto (Bologna)</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Fine VI – V sec. a.C.</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Analisi metrологica del piano urbanistico di Marzabotto (Baronio 2017, Ocnus 25, Unibo): la citta fu progettata con un modulo lineare uguale al piede attico di 29,6 cm. Cardo e decumano si incrociano ortogonalmente; gli isolati sono misurabili in multipli esatti di questo piede. La pianificazione urbana e collegata al rito etrusco della fondazione sacra a Dis Pater.</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Baronio A. 2017, Ocnus 25: 123–138 (Universita di Bologna, DISCI); World History Encyclopedia, Etruscan Architecture</w:t>
            </w:r>
          </w:p>
        </w:tc>
      </w:tr>
      <w:tr>
        <w:tc>
          <w:tcPr>
            <w:tcW w:type="dxa" w:w="3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Tempio di Portonaccio, Veio</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 510 a.C.</w:t>
            </w:r>
          </w:p>
        </w:tc>
        <w:tc>
          <w:tcPr>
            <w:tcW w:type="dxa" w:w="4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Tempio tuscanico paradigmatico; pianta con tre celle affiancate. Vitruvio (De Arch. IV, 7) descrive le tuscanicae dispositiones. Potts (2015, Oxford) mostra che, pur non essendo Vitruvio una fonte affidabile per i valori esatti, i rapporti tra le parti del tempio sono coerenti con un modulo di ~29,6–30 cm. Celebre per le statue di Apollo in terracotta dipinta.</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Potts C.R. 2015, Vitruvius and Etruscan Design, Oxford (ORA); Vitruvio, De Architectura IV, 7; Treccani, ETRUSCA Arte (voce)</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Tempio B di Pyrgi (Santa Severa)</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 510 a.C.</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Tempio etrusco a cella unica con peristasi (influenza greca). Piano di Colonna (1970) e Colonna (2005) analizzati da Potts (2015): le dimensioni principali si adattano a un piede di ~29,6 cm (piede attico). Il santuario di Pyrgi e il contesto delle celebri lamine d'oro bilingui (etrusco/fenicio, c. 500 a.C.).</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Colonna G. 1970, in scavi Pyrgi; Colonna G. 2005, in Pyrgi IV; Potts C.R. 2015, Oxford ORA; Michetti L.M. et al. 2025, Pyrgi, Quasar</w:t>
            </w:r>
          </w:p>
        </w:tc>
      </w:tr>
      <w:tr>
        <w:tc>
          <w:tcPr>
            <w:tcW w:type="dxa" w:w="3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Tumuli arcaici della Valle dell'Arno e Cerveteri</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VII–VI sec. a.C.</w:t>
            </w:r>
          </w:p>
        </w:tc>
        <w:tc>
          <w:tcPr>
            <w:tcW w:type="dxa" w:w="4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Kolymbas (2017, Academia) analizza i grandi tumuli funerari etruschi del VII sec. a.C. e verifica che il pes etrusco medio vale 30,04 cm (media di 29,94–30,36 cm su monumenti dell'intero arco cronologico VII–IV sec.). I tumuli piu grandi di Cerveteri raggiungono 40 m di diametro.</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Kolymbas 2017, The Linear Etruscan Measurements of Architecture, Academia.edu; World History Encyclopedia, Etruscan Architecture</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Corpus Agrimensorum e radice etrusca dell'actus</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I–II sec. d.C.</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Columella (De re rustica V) attesta che l'actus lineare (200 pedes = 35,5 m) era chiamato acnua in antico, suggerendone la radice etrusca pre-romana. La superficie minima (semiscripulum = 5x10 piedi) e documentata come unita base del sistema agrario etrusco poi assorbito da Roma.</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Columella, De re rustica V; Corpus Agrimensorum Romanorum (Lachmann–Rudorff 1848); Kolymbas 2017</w:t>
            </w:r>
          </w:p>
        </w:tc>
      </w:tr>
      <w:tr>
        <w:tc>
          <w:tcPr>
            <w:tcW w:type="dxa" w:w="3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Tomba dei Rilievi, Cerveteri</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IV–III sec. a.C.</w:t>
            </w:r>
          </w:p>
        </w:tc>
        <w:tc>
          <w:tcPr>
            <w:tcW w:type="dxa" w:w="4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Tomba ipogea monumentale con volta a botte e pilastri decorati a rilievo (mobili domestici in stucco). Le dimensioni dell'interno (camera centrale e corridoi laterali) sono state verificate in rapporto al piede etrusco (~30 cm), con multipli interi di 5 e 10 piedi per i moduli principali.</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Architettura etrusca, Wikipedia it.; World History Encyclopedia, Etruscan Architecture</w:t>
            </w:r>
          </w:p>
        </w:tc>
      </w:tr>
    </w:tbl>
    <w:p>
      <w:pPr>
        <w:spacing w:after="200" w:before="0"/>
      </w:pPr>
    </w:p>
    <w:p>
      <w:pPr>
        <w:pageBreakBefore/>
      </w:pPr>
    </w:p>
    <w:p>
      <w:pPr>
        <w:pStyle w:val="Heading1"/>
        <w:spacing w:after="120" w:before="320"/>
      </w:pPr>
      <w:r>
        <w:rPr>
          <w:rFonts w:ascii="Arial" w:cs="Arial" w:eastAsia="Arial" w:hAnsi="Arial"/>
          <w:b/>
          <w:bCs/>
          <w:color w:val="2E6DA4"/>
          <w:sz w:val="26"/>
          <w:szCs w:val="26"/>
        </w:rPr>
        <w:t xml:space="preserve">7. </w:t>
      </w:r>
      <w:r>
        <w:rPr>
          <w:rFonts w:ascii="Arial" w:cs="Arial" w:eastAsia="Arial" w:hAnsi="Arial"/>
          <w:b/>
          <w:bCs/>
          <w:color w:val="1B3A5C"/>
          <w:sz w:val="26"/>
          <w:szCs w:val="26"/>
        </w:rPr>
        <w:t xml:space="preserve">Sistema Romano</w:t>
      </w:r>
    </w:p>
    <w:p>
      <w:pPr>
        <w:spacing w:after="100" w:before="0"/>
        <w:jc w:val="left"/>
      </w:pPr>
      <w:r>
        <w:rPr>
          <w:rFonts w:ascii="Arial" w:cs="Arial" w:eastAsia="Arial" w:hAnsi="Arial"/>
          <w:color w:val="2E6DA4"/>
          <w:sz w:val="17"/>
          <w:szCs w:val="17"/>
        </w:rPr>
        <w:t xml:space="preserve">Unita fondamentale: pes (0,29581 m). Doppia suddivisione in 16 digiti e 12 unciae. Stabile dal II sec. a.C. Vitruvio (De Architectura III,1) e la fonte letteraria principale; campioni fisici da Pompei ed Ercolano al Museo Nazionale di Napoli.</w:t>
      </w:r>
    </w:p>
    <w:p>
      <w:pPr>
        <w:pStyle w:val="Heading2"/>
        <w:spacing w:after="90" w:before="200"/>
      </w:pPr>
      <w:r>
        <w:rPr>
          <w:rFonts w:ascii="Arial" w:cs="Arial" w:eastAsia="Arial" w:hAnsi="Arial"/>
          <w:b/>
          <w:bCs/>
          <w:color w:val="4A90C4"/>
          <w:sz w:val="21"/>
          <w:szCs w:val="21"/>
        </w:rPr>
        <w:t xml:space="preserve">5a. Sottomultipli del pes</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600"/>
        <w:gridCol w:w="1600"/>
        <w:gridCol w:w="1700"/>
        <w:gridCol w:w="6038"/>
      </w:tblGrid>
      <w:tr>
        <w:tc>
          <w:tcPr>
            <w:tcW w:type="dxa" w:w="24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Unità</w:t>
            </w:r>
          </w:p>
        </w:tc>
        <w:tc>
          <w:tcPr>
            <w:tcW w:type="dxa" w:w="19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Rapporto al pes</w:t>
            </w:r>
          </w:p>
        </w:tc>
        <w:tc>
          <w:tcPr>
            <w:tcW w:type="dxa" w:w="16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Unciae</w:t>
            </w:r>
          </w:p>
        </w:tc>
        <w:tc>
          <w:tcPr>
            <w:tcW w:type="dxa" w:w="16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Digiti</w:t>
            </w:r>
          </w:p>
        </w:tc>
        <w:tc>
          <w:tcPr>
            <w:tcW w:type="dxa" w:w="17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Valore (m)</w:t>
            </w:r>
          </w:p>
        </w:tc>
        <w:tc>
          <w:tcPr>
            <w:tcW w:type="dxa" w:w="6038"/>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Fonti</w:t>
            </w:r>
          </w:p>
        </w:tc>
      </w:tr>
      <w:tr>
        <w:tc>
          <w:tcPr>
            <w:tcW w:type="dxa" w:w="24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pes</w:t>
            </w:r>
          </w:p>
        </w:tc>
        <w:tc>
          <w:tcPr>
            <w:tcW w:type="dxa" w:w="19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w:t>
            </w:r>
          </w:p>
        </w:tc>
        <w:tc>
          <w:tcPr>
            <w:tcW w:type="dxa" w:w="1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12</w:t>
            </w:r>
          </w:p>
        </w:tc>
        <w:tc>
          <w:tcPr>
            <w:tcW w:type="dxa" w:w="1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16</w:t>
            </w:r>
          </w:p>
        </w:tc>
        <w:tc>
          <w:tcPr>
            <w:tcW w:type="dxa" w:w="17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0,29581</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Vitruvio; Tabula mensoria Leptis Magna; piedi bronzei di Pompei ed Ercolano (Museo Naz. Napoli)</w:t>
            </w:r>
          </w:p>
        </w:tc>
      </w:tr>
      <w:tr>
        <w:tc>
          <w:tcPr>
            <w:tcW w:type="dxa" w:w="24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dodrans (palmus maior)</w:t>
            </w:r>
          </w:p>
        </w:tc>
        <w:tc>
          <w:tcPr>
            <w:tcW w:type="dxa" w:w="19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3/4</w:t>
            </w:r>
          </w:p>
        </w:tc>
        <w:tc>
          <w:tcPr>
            <w:tcW w:type="dxa" w:w="1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9</w:t>
            </w:r>
          </w:p>
        </w:tc>
        <w:tc>
          <w:tcPr>
            <w:tcW w:type="dxa" w:w="1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12</w:t>
            </w:r>
          </w:p>
        </w:tc>
        <w:tc>
          <w:tcPr>
            <w:tcW w:type="dxa" w:w="17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0,222</w:t>
            </w:r>
          </w:p>
        </w:tc>
        <w:tc>
          <w:tcPr>
            <w:tcW w:type="dxa" w:w="60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Vitruvio, De Arch. III,1</w:t>
            </w:r>
          </w:p>
        </w:tc>
      </w:tr>
      <w:tr>
        <w:tc>
          <w:tcPr>
            <w:tcW w:type="dxa" w:w="24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bes</w:t>
            </w:r>
          </w:p>
        </w:tc>
        <w:tc>
          <w:tcPr>
            <w:tcW w:type="dxa" w:w="19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2/3</w:t>
            </w:r>
          </w:p>
        </w:tc>
        <w:tc>
          <w:tcPr>
            <w:tcW w:type="dxa" w:w="1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8</w:t>
            </w:r>
          </w:p>
        </w:tc>
        <w:tc>
          <w:tcPr>
            <w:tcW w:type="dxa" w:w="1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w:t>
            </w:r>
          </w:p>
        </w:tc>
        <w:tc>
          <w:tcPr>
            <w:tcW w:type="dxa" w:w="17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0,197</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Fonti giuridiche romane</w:t>
            </w:r>
          </w:p>
        </w:tc>
      </w:tr>
      <w:tr>
        <w:tc>
          <w:tcPr>
            <w:tcW w:type="dxa" w:w="24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semipes</w:t>
            </w:r>
          </w:p>
        </w:tc>
        <w:tc>
          <w:tcPr>
            <w:tcW w:type="dxa" w:w="19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1/2</w:t>
            </w:r>
          </w:p>
        </w:tc>
        <w:tc>
          <w:tcPr>
            <w:tcW w:type="dxa" w:w="1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6</w:t>
            </w:r>
          </w:p>
        </w:tc>
        <w:tc>
          <w:tcPr>
            <w:tcW w:type="dxa" w:w="1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8</w:t>
            </w:r>
          </w:p>
        </w:tc>
        <w:tc>
          <w:tcPr>
            <w:tcW w:type="dxa" w:w="17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0,147</w:t>
            </w:r>
          </w:p>
        </w:tc>
        <w:tc>
          <w:tcPr>
            <w:tcW w:type="dxa" w:w="60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Vitruvio</w:t>
            </w:r>
          </w:p>
        </w:tc>
      </w:tr>
      <w:tr>
        <w:tc>
          <w:tcPr>
            <w:tcW w:type="dxa" w:w="24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triens</w:t>
            </w:r>
          </w:p>
        </w:tc>
        <w:tc>
          <w:tcPr>
            <w:tcW w:type="dxa" w:w="19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1/3</w:t>
            </w:r>
          </w:p>
        </w:tc>
        <w:tc>
          <w:tcPr>
            <w:tcW w:type="dxa" w:w="1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4</w:t>
            </w:r>
          </w:p>
        </w:tc>
        <w:tc>
          <w:tcPr>
            <w:tcW w:type="dxa" w:w="1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w:t>
            </w:r>
          </w:p>
        </w:tc>
        <w:tc>
          <w:tcPr>
            <w:tcW w:type="dxa" w:w="17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0,099</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Fonti giuridiche romane</w:t>
            </w:r>
          </w:p>
        </w:tc>
      </w:tr>
      <w:tr>
        <w:tc>
          <w:tcPr>
            <w:tcW w:type="dxa" w:w="24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quadrans (palmus minor)</w:t>
            </w:r>
          </w:p>
        </w:tc>
        <w:tc>
          <w:tcPr>
            <w:tcW w:type="dxa" w:w="19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1/4</w:t>
            </w:r>
          </w:p>
        </w:tc>
        <w:tc>
          <w:tcPr>
            <w:tcW w:type="dxa" w:w="1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3</w:t>
            </w:r>
          </w:p>
        </w:tc>
        <w:tc>
          <w:tcPr>
            <w:tcW w:type="dxa" w:w="1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4</w:t>
            </w:r>
          </w:p>
        </w:tc>
        <w:tc>
          <w:tcPr>
            <w:tcW w:type="dxa" w:w="17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0,074</w:t>
            </w:r>
          </w:p>
        </w:tc>
        <w:tc>
          <w:tcPr>
            <w:tcW w:type="dxa" w:w="60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Vitruvio; Tabula mensoria Leptis Magna</w:t>
            </w:r>
          </w:p>
        </w:tc>
      </w:tr>
      <w:tr>
        <w:tc>
          <w:tcPr>
            <w:tcW w:type="dxa" w:w="24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uncia (pollex)</w:t>
            </w:r>
          </w:p>
        </w:tc>
        <w:tc>
          <w:tcPr>
            <w:tcW w:type="dxa" w:w="19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1/12</w:t>
            </w:r>
          </w:p>
        </w:tc>
        <w:tc>
          <w:tcPr>
            <w:tcW w:type="dxa" w:w="1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w:t>
            </w:r>
          </w:p>
        </w:tc>
        <w:tc>
          <w:tcPr>
            <w:tcW w:type="dxa" w:w="1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w:t>
            </w:r>
          </w:p>
        </w:tc>
        <w:tc>
          <w:tcPr>
            <w:tcW w:type="dxa" w:w="17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0,024</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Vitruvio; Tabula mensoria Leptis Magna</w:t>
            </w:r>
          </w:p>
        </w:tc>
      </w:tr>
      <w:tr>
        <w:tc>
          <w:tcPr>
            <w:tcW w:type="dxa" w:w="24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digitus</w:t>
            </w:r>
          </w:p>
        </w:tc>
        <w:tc>
          <w:tcPr>
            <w:tcW w:type="dxa" w:w="19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1/16</w:t>
            </w:r>
          </w:p>
        </w:tc>
        <w:tc>
          <w:tcPr>
            <w:tcW w:type="dxa" w:w="1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w:t>
            </w:r>
          </w:p>
        </w:tc>
        <w:tc>
          <w:tcPr>
            <w:tcW w:type="dxa" w:w="1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w:t>
            </w:r>
          </w:p>
        </w:tc>
        <w:tc>
          <w:tcPr>
            <w:tcW w:type="dxa" w:w="17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0,018</w:t>
            </w:r>
          </w:p>
        </w:tc>
        <w:tc>
          <w:tcPr>
            <w:tcW w:type="dxa" w:w="60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Vitruvio, De Arch. III,1</w:t>
            </w:r>
          </w:p>
        </w:tc>
      </w:tr>
    </w:tbl>
    <w:p>
      <w:pPr>
        <w:spacing w:after="140" w:before="0"/>
      </w:pPr>
    </w:p>
    <w:p>
      <w:pPr>
        <w:pStyle w:val="Heading2"/>
        <w:spacing w:after="90" w:before="200"/>
      </w:pPr>
      <w:r>
        <w:rPr>
          <w:rFonts w:ascii="Arial" w:cs="Arial" w:eastAsia="Arial" w:hAnsi="Arial"/>
          <w:b/>
          <w:bCs/>
          <w:color w:val="4A90C4"/>
          <w:sz w:val="21"/>
          <w:szCs w:val="21"/>
        </w:rPr>
        <w:t xml:space="preserve">5b. Multipli del pes</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000"/>
        <w:gridCol w:w="8738"/>
      </w:tblGrid>
      <w:tr>
        <w:tc>
          <w:tcPr>
            <w:tcW w:type="dxa" w:w="26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Unità</w:t>
            </w:r>
          </w:p>
        </w:tc>
        <w:tc>
          <w:tcPr>
            <w:tcW w:type="dxa" w:w="19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Pedes</w:t>
            </w:r>
          </w:p>
        </w:tc>
        <w:tc>
          <w:tcPr>
            <w:tcW w:type="dxa" w:w="20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Valore (m)</w:t>
            </w:r>
          </w:p>
        </w:tc>
        <w:tc>
          <w:tcPr>
            <w:tcW w:type="dxa" w:w="8738"/>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Fonti</w:t>
            </w:r>
          </w:p>
        </w:tc>
      </w:tr>
      <w:tr>
        <w:tc>
          <w:tcPr>
            <w:tcW w:type="dxa" w:w="2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pes</w:t>
            </w:r>
          </w:p>
        </w:tc>
        <w:tc>
          <w:tcPr>
            <w:tcW w:type="dxa" w:w="19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w:t>
            </w:r>
          </w:p>
        </w:tc>
        <w:tc>
          <w:tcPr>
            <w:tcW w:type="dxa" w:w="20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0,296</w:t>
            </w:r>
          </w:p>
        </w:tc>
        <w:tc>
          <w:tcPr>
            <w:tcW w:type="dxa" w:w="87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Vitruvio; campioni epigrafici</w:t>
            </w:r>
          </w:p>
        </w:tc>
      </w:tr>
      <w:tr>
        <w:tc>
          <w:tcPr>
            <w:tcW w:type="dxa" w:w="2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cubitus</w:t>
            </w:r>
          </w:p>
        </w:tc>
        <w:tc>
          <w:tcPr>
            <w:tcW w:type="dxa" w:w="19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1,5</w:t>
            </w:r>
          </w:p>
        </w:tc>
        <w:tc>
          <w:tcPr>
            <w:tcW w:type="dxa" w:w="20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0,444</w:t>
            </w:r>
          </w:p>
        </w:tc>
        <w:tc>
          <w:tcPr>
            <w:tcW w:type="dxa" w:w="87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Vitruvio, De Arch. III,1</w:t>
            </w:r>
          </w:p>
        </w:tc>
      </w:tr>
      <w:tr>
        <w:tc>
          <w:tcPr>
            <w:tcW w:type="dxa" w:w="2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gradus</w:t>
            </w:r>
          </w:p>
        </w:tc>
        <w:tc>
          <w:tcPr>
            <w:tcW w:type="dxa" w:w="19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2,5</w:t>
            </w:r>
          </w:p>
        </w:tc>
        <w:tc>
          <w:tcPr>
            <w:tcW w:type="dxa" w:w="20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0,739</w:t>
            </w:r>
          </w:p>
        </w:tc>
        <w:tc>
          <w:tcPr>
            <w:tcW w:type="dxa" w:w="87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Vitruvio; Agrimensorii</w:t>
            </w:r>
          </w:p>
        </w:tc>
      </w:tr>
      <w:tr>
        <w:tc>
          <w:tcPr>
            <w:tcW w:type="dxa" w:w="2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passus</w:t>
            </w:r>
          </w:p>
        </w:tc>
        <w:tc>
          <w:tcPr>
            <w:tcW w:type="dxa" w:w="19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5</w:t>
            </w:r>
          </w:p>
        </w:tc>
        <w:tc>
          <w:tcPr>
            <w:tcW w:type="dxa" w:w="20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1,479</w:t>
            </w:r>
          </w:p>
        </w:tc>
        <w:tc>
          <w:tcPr>
            <w:tcW w:type="dxa" w:w="87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Vitruvio; miliari stradali</w:t>
            </w:r>
          </w:p>
        </w:tc>
      </w:tr>
      <w:tr>
        <w:tc>
          <w:tcPr>
            <w:tcW w:type="dxa" w:w="2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pertica (decempeda)</w:t>
            </w:r>
          </w:p>
        </w:tc>
        <w:tc>
          <w:tcPr>
            <w:tcW w:type="dxa" w:w="19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10</w:t>
            </w:r>
          </w:p>
        </w:tc>
        <w:tc>
          <w:tcPr>
            <w:tcW w:type="dxa" w:w="20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2,958</w:t>
            </w:r>
          </w:p>
        </w:tc>
        <w:tc>
          <w:tcPr>
            <w:tcW w:type="dxa" w:w="87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Vitruvio; Columella</w:t>
            </w:r>
          </w:p>
        </w:tc>
      </w:tr>
      <w:tr>
        <w:tc>
          <w:tcPr>
            <w:tcW w:type="dxa" w:w="2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actus</w:t>
            </w:r>
          </w:p>
        </w:tc>
        <w:tc>
          <w:tcPr>
            <w:tcW w:type="dxa" w:w="19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120</w:t>
            </w:r>
          </w:p>
        </w:tc>
        <w:tc>
          <w:tcPr>
            <w:tcW w:type="dxa" w:w="20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35,497</w:t>
            </w:r>
          </w:p>
        </w:tc>
        <w:tc>
          <w:tcPr>
            <w:tcW w:type="dxa" w:w="87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Columella; Corpus Agrimensorum</w:t>
            </w:r>
          </w:p>
        </w:tc>
      </w:tr>
      <w:tr>
        <w:tc>
          <w:tcPr>
            <w:tcW w:type="dxa" w:w="2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stadium</w:t>
            </w:r>
          </w:p>
        </w:tc>
        <w:tc>
          <w:tcPr>
            <w:tcW w:type="dxa" w:w="19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625</w:t>
            </w:r>
          </w:p>
        </w:tc>
        <w:tc>
          <w:tcPr>
            <w:tcW w:type="dxa" w:w="20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184,88</w:t>
            </w:r>
          </w:p>
        </w:tc>
        <w:tc>
          <w:tcPr>
            <w:tcW w:type="dxa" w:w="87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Plinio, NH II, 85</w:t>
            </w:r>
          </w:p>
        </w:tc>
      </w:tr>
      <w:tr>
        <w:tc>
          <w:tcPr>
            <w:tcW w:type="dxa" w:w="2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miliarium (mille passus)</w:t>
            </w:r>
          </w:p>
        </w:tc>
        <w:tc>
          <w:tcPr>
            <w:tcW w:type="dxa" w:w="19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5.000</w:t>
            </w:r>
          </w:p>
        </w:tc>
        <w:tc>
          <w:tcPr>
            <w:tcW w:type="dxa" w:w="20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1479,05</w:t>
            </w:r>
          </w:p>
        </w:tc>
        <w:tc>
          <w:tcPr>
            <w:tcW w:type="dxa" w:w="87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Miliari stradali; Plinio</w:t>
            </w:r>
          </w:p>
        </w:tc>
      </w:tr>
    </w:tbl>
    <w:p>
      <w:pPr>
        <w:spacing w:after="140" w:before="0"/>
      </w:pPr>
    </w:p>
    <w:p>
      <w:pPr>
        <w:pStyle w:val="Heading2"/>
        <w:spacing w:after="90" w:before="200"/>
      </w:pPr>
      <w:r>
        <w:rPr>
          <w:rFonts w:ascii="Arial" w:cs="Arial" w:eastAsia="Arial" w:hAnsi="Arial"/>
          <w:b/>
          <w:bCs/>
          <w:color w:val="4A90C4"/>
          <w:sz w:val="21"/>
          <w:szCs w:val="21"/>
        </w:rPr>
        <w:t xml:space="preserve">5c. Misure di superficie</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200"/>
        <w:gridCol w:w="7438"/>
      </w:tblGrid>
      <w:tr>
        <w:tc>
          <w:tcPr>
            <w:tcW w:type="dxa" w:w="26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Unità</w:t>
            </w:r>
          </w:p>
        </w:tc>
        <w:tc>
          <w:tcPr>
            <w:tcW w:type="dxa" w:w="30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Equivalenza</w:t>
            </w:r>
          </w:p>
        </w:tc>
        <w:tc>
          <w:tcPr>
            <w:tcW w:type="dxa" w:w="22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Valore (mq)</w:t>
            </w:r>
          </w:p>
        </w:tc>
        <w:tc>
          <w:tcPr>
            <w:tcW w:type="dxa" w:w="7438"/>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Fonti</w:t>
            </w:r>
          </w:p>
        </w:tc>
      </w:tr>
      <w:tr>
        <w:tc>
          <w:tcPr>
            <w:tcW w:type="dxa" w:w="2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pes quadratus</w:t>
            </w:r>
          </w:p>
        </w:tc>
        <w:tc>
          <w:tcPr>
            <w:tcW w:type="dxa" w:w="30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 piede quadrato</w:t>
            </w:r>
          </w:p>
        </w:tc>
        <w:tc>
          <w:tcPr>
            <w:tcW w:type="dxa" w:w="2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0,0875</w:t>
            </w:r>
          </w:p>
        </w:tc>
        <w:tc>
          <w:tcPr>
            <w:tcW w:type="dxa" w:w="74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Corpus Agrimensorum</w:t>
            </w:r>
          </w:p>
        </w:tc>
      </w:tr>
      <w:tr>
        <w:tc>
          <w:tcPr>
            <w:tcW w:type="dxa" w:w="2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scripulum</w:t>
            </w:r>
          </w:p>
        </w:tc>
        <w:tc>
          <w:tcPr>
            <w:tcW w:type="dxa" w:w="30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100 pedes quadrati</w:t>
            </w:r>
          </w:p>
        </w:tc>
        <w:tc>
          <w:tcPr>
            <w:tcW w:type="dxa" w:w="22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8,75</w:t>
            </w:r>
          </w:p>
        </w:tc>
        <w:tc>
          <w:tcPr>
            <w:tcW w:type="dxa" w:w="74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Id.</w:t>
            </w:r>
          </w:p>
        </w:tc>
      </w:tr>
      <w:tr>
        <w:tc>
          <w:tcPr>
            <w:tcW w:type="dxa" w:w="2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actus quadratus</w:t>
            </w:r>
          </w:p>
        </w:tc>
        <w:tc>
          <w:tcPr>
            <w:tcW w:type="dxa" w:w="30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144 scripula</w:t>
            </w:r>
          </w:p>
        </w:tc>
        <w:tc>
          <w:tcPr>
            <w:tcW w:type="dxa" w:w="2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1.260</w:t>
            </w:r>
          </w:p>
        </w:tc>
        <w:tc>
          <w:tcPr>
            <w:tcW w:type="dxa" w:w="74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Columella, De re rustica</w:t>
            </w:r>
          </w:p>
        </w:tc>
      </w:tr>
      <w:tr>
        <w:tc>
          <w:tcPr>
            <w:tcW w:type="dxa" w:w="2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iugerum</w:t>
            </w:r>
          </w:p>
        </w:tc>
        <w:tc>
          <w:tcPr>
            <w:tcW w:type="dxa" w:w="30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2 actus quadrati</w:t>
            </w:r>
          </w:p>
        </w:tc>
        <w:tc>
          <w:tcPr>
            <w:tcW w:type="dxa" w:w="22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2.520</w:t>
            </w:r>
          </w:p>
        </w:tc>
        <w:tc>
          <w:tcPr>
            <w:tcW w:type="dxa" w:w="74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Varrone; Columella</w:t>
            </w:r>
          </w:p>
        </w:tc>
      </w:tr>
      <w:tr>
        <w:tc>
          <w:tcPr>
            <w:tcW w:type="dxa" w:w="2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heredium</w:t>
            </w:r>
          </w:p>
        </w:tc>
        <w:tc>
          <w:tcPr>
            <w:tcW w:type="dxa" w:w="30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2 iugera</w:t>
            </w:r>
          </w:p>
        </w:tc>
        <w:tc>
          <w:tcPr>
            <w:tcW w:type="dxa" w:w="2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5.040</w:t>
            </w:r>
          </w:p>
        </w:tc>
        <w:tc>
          <w:tcPr>
            <w:tcW w:type="dxa" w:w="74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Varrone, De re rustica I,10</w:t>
            </w:r>
          </w:p>
        </w:tc>
      </w:tr>
      <w:tr>
        <w:tc>
          <w:tcPr>
            <w:tcW w:type="dxa" w:w="2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centuria</w:t>
            </w:r>
          </w:p>
        </w:tc>
        <w:tc>
          <w:tcPr>
            <w:tcW w:type="dxa" w:w="30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100 heredia</w:t>
            </w:r>
          </w:p>
        </w:tc>
        <w:tc>
          <w:tcPr>
            <w:tcW w:type="dxa" w:w="22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504.000</w:t>
            </w:r>
          </w:p>
        </w:tc>
        <w:tc>
          <w:tcPr>
            <w:tcW w:type="dxa" w:w="74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Corpus Agrimensorum; Lachmann–Rudorff, Gromatici veteres, 1848</w:t>
            </w:r>
          </w:p>
        </w:tc>
      </w:tr>
      <w:tr>
        <w:tc>
          <w:tcPr>
            <w:tcW w:type="dxa" w:w="2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saltus</w:t>
            </w:r>
          </w:p>
        </w:tc>
        <w:tc>
          <w:tcPr>
            <w:tcW w:type="dxa" w:w="30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4 centuriae</w:t>
            </w:r>
          </w:p>
        </w:tc>
        <w:tc>
          <w:tcPr>
            <w:tcW w:type="dxa" w:w="2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2.016.000</w:t>
            </w:r>
          </w:p>
        </w:tc>
        <w:tc>
          <w:tcPr>
            <w:tcW w:type="dxa" w:w="74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Id.</w:t>
            </w:r>
          </w:p>
        </w:tc>
      </w:tr>
    </w:tbl>
    <w:p>
      <w:pPr>
        <w:spacing w:after="140" w:before="0"/>
      </w:pPr>
    </w:p>
    <w:p>
      <w:pPr>
        <w:pStyle w:val="Heading2"/>
        <w:spacing w:after="80" w:before="160"/>
      </w:pPr>
      <w:r>
        <w:rPr>
          <w:rFonts w:ascii="Arial" w:cs="Arial" w:eastAsia="Arial" w:hAnsi="Arial"/>
          <w:b/>
          <w:bCs/>
          <w:color w:val="2C5F8A"/>
          <w:sz w:val="20"/>
          <w:szCs w:val="20"/>
        </w:rPr>
        <w:t xml:space="preserve">▦  Casi di studio e attestazioni del sistema romano</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200"/>
        <w:gridCol w:w="6038"/>
      </w:tblGrid>
      <w:tr>
        <w:tc>
          <w:tcPr>
            <w:tcW w:type="dxa" w:w="32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Sito / Campione</w:t>
            </w:r>
          </w:p>
        </w:tc>
        <w:tc>
          <w:tcPr>
            <w:tcW w:type="dxa" w:w="18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Periodo</w:t>
            </w:r>
          </w:p>
        </w:tc>
        <w:tc>
          <w:tcPr>
            <w:tcW w:type="dxa" w:w="4200"/>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Dati metrologici</w:t>
            </w:r>
          </w:p>
        </w:tc>
        <w:tc>
          <w:tcPr>
            <w:tcW w:type="dxa" w:w="6038"/>
            <w:tcBorders>
              <w:top w:val="single" w:color="B8CCE4" w:sz="4"/>
              <w:left w:val="single" w:color="B8CCE4" w:sz="4"/>
              <w:bottom w:val="single" w:color="B8CCE4" w:sz="4"/>
              <w:right w:val="single" w:color="B8CCE4" w:sz="4"/>
            </w:tcBorders>
            <w:shd w:fill="B8CCE4" w:val="clear"/>
            <w:tcMar>
              <w:top w:type="dxa" w:w="70"/>
              <w:left w:type="dxa" w:w="110"/>
              <w:bottom w:type="dxa" w:w="70"/>
              <w:right w:type="dxa" w:w="110"/>
            </w:tcMar>
          </w:tcPr>
          <w:p>
            <w:pPr>
              <w:spacing w:after="0" w:before="0"/>
              <w:jc w:val="left"/>
            </w:pPr>
            <w:r>
              <w:rPr>
                <w:rFonts w:ascii="Arial" w:cs="Arial" w:eastAsia="Arial" w:hAnsi="Arial"/>
                <w:b/>
                <w:bCs/>
                <w:color w:val="1B3A5C"/>
                <w:sz w:val="17"/>
                <w:szCs w:val="17"/>
              </w:rPr>
              <w:t xml:space="preserve">Fonte</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15 piedi in bronzo e osso da Pompei ed Ercolano</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I sec. d.C.</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Campioni fisici del pes romanus conservati al Museo Nazionale di Napoli. Misurazione moderna con nonio campione; media: 0,296 m. Riferimento empirico fondamentale per stabilire il valore del piede romano.</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Treccani, voce Piede (Enc. Italiana); Raper 1760, Philos. Trans.</w:t>
            </w:r>
          </w:p>
        </w:tc>
      </w:tr>
      <w:tr>
        <w:tc>
          <w:tcPr>
            <w:tcW w:type="dxa" w:w="3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Tempio di Juno Moneta, Roma</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Eta repubblicana</w:t>
            </w:r>
          </w:p>
        </w:tc>
        <w:tc>
          <w:tcPr>
            <w:tcW w:type="dxa" w:w="4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Sede del campione ufficiale del piede romano (pes monetalis). La conservazione pubblica del campione garantiva la standardizzazione delle misure in tutto il territorio romano.</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Boni 1907, Not. d. Sc.; Treccani, voce Piede (Enc. Italiana)</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Centuriazione romana (Italia settentrionale e province)</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III sec. a.C. – II sec. d.C.</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Centuria = quadrato di lato 2400 piedi romani = 710 m (con pes = 0,296 m). Cardines e decumani riconoscibili ancora oggi nella trama agraria di Emilia-Romagna, Veneto, Provenza. Strumento: groma.</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Corpus Agrimensorum (Lachmann–Rudorff 1848); Rosada 2010, Histria Antiqua 19: 125–152; Romanoimpero.com (Centuriazione)</w:t>
            </w:r>
          </w:p>
        </w:tc>
      </w:tr>
      <w:tr>
        <w:tc>
          <w:tcPr>
            <w:tcW w:type="dxa" w:w="3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Panteon di Roma (Agrippa/Adriano)</w:t>
            </w:r>
          </w:p>
        </w:tc>
        <w:tc>
          <w:tcPr>
            <w:tcW w:type="dxa" w:w="18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c. 125 d.C.</w:t>
            </w:r>
          </w:p>
        </w:tc>
        <w:tc>
          <w:tcPr>
            <w:tcW w:type="dxa" w:w="42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Diametro interno = 43,30 m = ~146 pes (con piede = 0,2965 m); altezza = diametro. Analisi geometrica e metrologica del Panteon come sistema modulare. Base: diametro inferiore della colonna come modulo vitruviano.</w:t>
            </w:r>
          </w:p>
        </w:tc>
        <w:tc>
          <w:tcPr>
            <w:tcW w:type="dxa" w:w="60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Nexus Network Journal, Proportional-metrological and geometric peculiarities in the logic of Roman Pantheon design (Academia)</w:t>
            </w:r>
          </w:p>
        </w:tc>
      </w:tr>
      <w:tr>
        <w:tc>
          <w:tcPr>
            <w:tcW w:type="dxa" w:w="3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Forte tardivo di Umm al-Dabadib (vedi anche Sistema Egizio)</w:t>
            </w:r>
          </w:p>
        </w:tc>
        <w:tc>
          <w:tcPr>
            <w:tcW w:type="dxa" w:w="18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Inizio IV sec. d.C.</w:t>
            </w:r>
          </w:p>
        </w:tc>
        <w:tc>
          <w:tcPr>
            <w:tcW w:type="dxa" w:w="4200"/>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Sebbene costruito in eta romana, il forte usa cubito egizio riformato invece del piede romano: testimonia la coesistenza e il cedimento del sistema romano di fronte a tradizioni locali radicate.</w:t>
            </w:r>
          </w:p>
        </w:tc>
        <w:tc>
          <w:tcPr>
            <w:tcW w:type="dxa" w:w="6038"/>
            <w:tcBorders>
              <w:top w:val="single" w:color="A0BFDB" w:sz="4"/>
              <w:left w:val="single" w:color="A0BFDB" w:sz="4"/>
              <w:bottom w:val="single" w:color="A0BFDB" w:sz="4"/>
              <w:right w:val="single" w:color="A0BFDB" w:sz="4"/>
            </w:tcBorders>
            <w:shd w:fill="F0F4FA" w:val="clear"/>
            <w:tcMar>
              <w:top w:type="dxa" w:w="70"/>
              <w:left w:type="dxa" w:w="110"/>
              <w:bottom w:type="dxa" w:w="70"/>
              <w:right w:type="dxa" w:w="110"/>
            </w:tcMar>
            <w:vAlign w:val="center"/>
          </w:tcPr>
          <w:p>
            <w:pPr>
              <w:spacing w:after="0" w:before="0"/>
              <w:jc w:val="left"/>
            </w:pPr>
            <w:r>
              <w:rPr>
                <w:rFonts w:ascii="Arial" w:cs="Arial" w:eastAsia="Arial" w:hAnsi="Arial"/>
                <w:color w:val="1A1A1A"/>
                <w:sz w:val="16"/>
                <w:szCs w:val="16"/>
              </w:rPr>
              <w:t xml:space="preserve">Rossi &amp; Fiorillo 2018, Nexus NJ 20/2; Rossi 2019, ISAW Papers 16</w:t>
            </w:r>
          </w:p>
        </w:tc>
      </w:tr>
    </w:tbl>
    <w:p>
      <w:pPr>
        <w:spacing w:after="200" w:before="0"/>
      </w:pPr>
    </w:p>
    <w:p>
      <w:pPr>
        <w:pStyle w:val="Heading1"/>
        <w:spacing w:after="120" w:before="320"/>
      </w:pPr>
      <w:r>
        <w:rPr>
          <w:rFonts w:ascii="Arial" w:cs="Arial" w:eastAsia="Arial" w:hAnsi="Arial"/>
          <w:b/>
          <w:bCs/>
          <w:color w:val="2E6DA4"/>
          <w:sz w:val="26"/>
          <w:szCs w:val="26"/>
        </w:rPr>
        <w:t xml:space="preserve">8. </w:t>
      </w:r>
      <w:r>
        <w:rPr>
          <w:rFonts w:ascii="Arial" w:cs="Arial" w:eastAsia="Arial" w:hAnsi="Arial"/>
          <w:b/>
          <w:bCs/>
          <w:color w:val="1B3A5C"/>
          <w:sz w:val="26"/>
          <w:szCs w:val="26"/>
        </w:rPr>
        <w:t xml:space="preserve">Piedi minori e tardivi</w:t>
      </w:r>
    </w:p>
    <w:p>
      <w:pPr>
        <w:spacing w:after="100" w:before="0"/>
        <w:jc w:val="left"/>
      </w:pPr>
      <w:r>
        <w:rPr>
          <w:rFonts w:ascii="Arial" w:cs="Arial" w:eastAsia="Arial" w:hAnsi="Arial"/>
          <w:color w:val="2E6DA4"/>
          <w:sz w:val="17"/>
          <w:szCs w:val="17"/>
        </w:rPr>
        <w:t xml:space="preserve">Piedi attestati in Italia al di fuori delle fasi classiche, con valori differenti dal piede romano standard.</w:t>
      </w:r>
    </w:p>
    <w:tbl>
      <w:tblPr>
        <w:tblW w:type="dxa" w:w="15238"/>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3600"/>
        <w:gridCol w:w="7138"/>
      </w:tblGrid>
      <w:tr>
        <w:tc>
          <w:tcPr>
            <w:tcW w:type="dxa" w:w="26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Tipo</w:t>
            </w:r>
          </w:p>
        </w:tc>
        <w:tc>
          <w:tcPr>
            <w:tcW w:type="dxa" w:w="19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Valore (m)</w:t>
            </w:r>
          </w:p>
        </w:tc>
        <w:tc>
          <w:tcPr>
            <w:tcW w:type="dxa" w:w="3600"/>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Periodo / Contesto</w:t>
            </w:r>
          </w:p>
        </w:tc>
        <w:tc>
          <w:tcPr>
            <w:tcW w:type="dxa" w:w="7138"/>
            <w:tcBorders>
              <w:top w:val="single" w:color="A0BFDB" w:sz="4"/>
              <w:left w:val="single" w:color="A0BFDB" w:sz="4"/>
              <w:bottom w:val="single" w:color="A0BFDB" w:sz="4"/>
              <w:right w:val="single" w:color="A0BFDB" w:sz="4"/>
            </w:tcBorders>
            <w:shd w:fill="D9E8F5" w:val="clear"/>
            <w:tcMar>
              <w:top w:type="dxa" w:w="90"/>
              <w:left w:type="dxa" w:w="130"/>
              <w:bottom w:type="dxa" w:w="90"/>
              <w:right w:type="dxa" w:w="130"/>
            </w:tcMar>
            <w:vAlign w:val="center"/>
          </w:tcPr>
          <w:p>
            <w:pPr>
              <w:spacing w:after="0" w:before="0"/>
              <w:jc w:val="left"/>
            </w:pPr>
            <w:r>
              <w:rPr>
                <w:rFonts w:ascii="Arial" w:cs="Arial" w:eastAsia="Arial" w:hAnsi="Arial"/>
                <w:b/>
                <w:bCs/>
                <w:color w:val="1B3A5C"/>
                <w:sz w:val="18"/>
                <w:szCs w:val="18"/>
              </w:rPr>
              <w:t xml:space="preserve">Fonti</w:t>
            </w:r>
          </w:p>
        </w:tc>
      </w:tr>
      <w:tr>
        <w:tc>
          <w:tcPr>
            <w:tcW w:type="dxa" w:w="2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Piede osco-italico</w:t>
            </w:r>
          </w:p>
        </w:tc>
        <w:tc>
          <w:tcPr>
            <w:tcW w:type="dxa" w:w="19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~0,275 (oscillante)</w:t>
            </w:r>
          </w:p>
        </w:tc>
        <w:tc>
          <w:tcPr>
            <w:tcW w:type="dxa" w:w="3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Fasi arcaiche, Italia pre-romana</w:t>
            </w:r>
          </w:p>
        </w:tc>
        <w:tc>
          <w:tcPr>
            <w:tcW w:type="dxa" w:w="71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Rilievi di edifici italici</w:t>
            </w:r>
          </w:p>
        </w:tc>
      </w:tr>
      <w:tr>
        <w:tc>
          <w:tcPr>
            <w:tcW w:type="dxa" w:w="2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Piede romano</w:t>
            </w:r>
          </w:p>
        </w:tc>
        <w:tc>
          <w:tcPr>
            <w:tcW w:type="dxa" w:w="19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~0,296</w:t>
            </w:r>
          </w:p>
        </w:tc>
        <w:tc>
          <w:tcPr>
            <w:tcW w:type="dxa" w:w="3600"/>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Stabile dal II sec. a.C. — eta imperiale</w:t>
            </w:r>
          </w:p>
        </w:tc>
        <w:tc>
          <w:tcPr>
            <w:tcW w:type="dxa" w:w="7138"/>
            <w:tcBorders>
              <w:top w:val="single" w:color="A0BFDB" w:sz="4"/>
              <w:left w:val="single" w:color="A0BFDB" w:sz="4"/>
              <w:bottom w:val="single" w:color="A0BFDB" w:sz="4"/>
              <w:right w:val="single" w:color="A0BFDB" w:sz="4"/>
            </w:tcBorders>
            <w:shd w:fill="F5F9FD"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Vitruvio; miliari; Tabula mensoria Leptis Magna</w:t>
            </w:r>
          </w:p>
        </w:tc>
      </w:tr>
      <w:tr>
        <w:tc>
          <w:tcPr>
            <w:tcW w:type="dxa" w:w="2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Piede bizantino</w:t>
            </w:r>
          </w:p>
        </w:tc>
        <w:tc>
          <w:tcPr>
            <w:tcW w:type="dxa" w:w="19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0,312</w:t>
            </w:r>
          </w:p>
        </w:tc>
        <w:tc>
          <w:tcPr>
            <w:tcW w:type="dxa" w:w="3600"/>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Tarda antichita — chiese paleocristiane italiane</w:t>
            </w:r>
          </w:p>
        </w:tc>
        <w:tc>
          <w:tcPr>
            <w:tcW w:type="dxa" w:w="7138"/>
            <w:tcBorders>
              <w:top w:val="single" w:color="A0BFDB" w:sz="4"/>
              <w:left w:val="single" w:color="A0BFDB" w:sz="4"/>
              <w:bottom w:val="single" w:color="A0BFDB" w:sz="4"/>
              <w:right w:val="single" w:color="A0BFDB" w:sz="4"/>
            </w:tcBorders>
            <w:shd w:fill="FFFFFF" w:val="clear"/>
            <w:tcMar>
              <w:top w:type="dxa" w:w="70"/>
              <w:left w:type="dxa" w:w="110"/>
              <w:bottom w:type="dxa" w:w="70"/>
              <w:right w:type="dxa" w:w="110"/>
            </w:tcMar>
            <w:vAlign w:val="center"/>
          </w:tcPr>
          <w:p>
            <w:pPr>
              <w:spacing w:after="0" w:before="0"/>
              <w:jc w:val="left"/>
            </w:pPr>
            <w:r>
              <w:rPr>
                <w:rFonts w:ascii="Arial" w:cs="Arial" w:eastAsia="Arial" w:hAnsi="Arial"/>
                <w:color w:val="1A1A1A"/>
                <w:sz w:val="17"/>
                <w:szCs w:val="17"/>
              </w:rPr>
              <w:t xml:space="preserve">Rilievi di edifici paleocristiani</w:t>
            </w:r>
          </w:p>
        </w:tc>
      </w:tr>
    </w:tbl>
    <w:p>
      <w:pPr>
        <w:spacing w:after="280" w:before="0"/>
      </w:pPr>
    </w:p>
    <w:p>
      <w:pPr>
        <w:spacing w:after="0" w:before="0"/>
        <w:jc w:val="center"/>
      </w:pPr>
      <w:r>
        <w:rPr>
          <w:rFonts w:ascii="Arial" w:cs="Arial" w:eastAsia="Arial" w:hAnsi="Arial"/>
          <w:color w:val="999999"/>
          <w:sz w:val="15"/>
          <w:szCs w:val="15"/>
        </w:rPr>
        <w:t xml:space="preserve">Elaborato sulla base di: rilievoarcheologico.it (App. 1) • Treccani • Cicala–Vecchio 2014/2019 • Vitruvio, De Architectura • Tabula mensoria di Leptis Magna • Dekoulakou-Sideris 1990, AJA 94 • Kolymbas et al. 2022, MDPI Arch. 2/3 • Rossi &amp; Fiorillo 2018, Nexus NJ 20/2 • Graham 1960, AJA 64 • Como 2020, Nexus NJ 22 • Pakkanen 2011, Routledge • Baronio 2017, Ocnus 25 • Potts 2015, Oxford • Columella, De re rustica • Corpus Agrimensorum Romanorum</w:t>
      </w:r>
    </w:p>
    <w:sectPr>
      <w:headerReference w:type="default" r:id="rId7"/>
      <w:footerReference w:type="default" r:id="rId8"/>
      <w:pgSz w:w="16838" w:h="11906" w:orient="landscape"/>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C4" w:sz="4"/>
      </w:pBdr>
      <w:spacing w:before="80"/>
      <w:jc w:val="center"/>
    </w:pPr>
    <w:r>
      <w:rPr>
        <w:rFonts w:ascii="Arial" w:cs="Arial" w:eastAsia="Arial" w:hAnsi="Arial"/>
        <w:color w:val="2E6DA4"/>
        <w:sz w:val="16"/>
        <w:szCs w:val="16"/>
      </w:rPr>
      <w:t xml:space="preserve">p. </w:t>
    </w:r>
    <w:r>
      <w:rPr>
        <w:rFonts w:ascii="Arial" w:cs="Arial" w:eastAsia="Arial" w:hAnsi="Arial"/>
        <w:color w:val="2E6DA4"/>
        <w:sz w:val="16"/>
        <w:szCs w:val="16"/>
      </w:rPr>
      <w:fldChar w:fldCharType="begin"/>
      <w:instrText xml:space="preserve">PAGE</w:instrText>
      <w:fldChar w:fldCharType="separate"/>
      <w:fldChar w:fldCharType="end"/>
    </w:r>
    <w:r>
      <w:rPr>
        <w:rFonts w:ascii="Arial" w:cs="Arial" w:eastAsia="Arial" w:hAnsi="Arial"/>
        <w:color w:val="2E6DA4"/>
        <w:sz w:val="16"/>
        <w:szCs w:val="16"/>
      </w:rPr>
      <w:t xml:space="preserve"> / </w:t>
    </w:r>
    <w:r>
      <w:rPr>
        <w:rFonts w:ascii="Arial" w:cs="Arial" w:eastAsia="Arial" w:hAnsi="Arial"/>
        <w:color w:val="2E6DA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C4" w:sz="6"/>
      </w:pBdr>
      <w:spacing w:after="80"/>
      <w:jc w:val="right"/>
    </w:pPr>
    <w:r>
      <w:rPr>
        <w:rFonts w:ascii="Arial" w:cs="Arial" w:eastAsia="Arial" w:hAnsi="Arial"/>
        <w:color w:val="2E6DA4"/>
        <w:sz w:val="17"/>
        <w:szCs w:val="17"/>
      </w:rPr>
      <w:t xml:space="preserve">Schema di Metrologia Antica — Casi di studio e attestazioni scientifiche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1B3A5C"/>
      <w:sz w:val="28"/>
      <w:szCs w:val="28"/>
    </w:rPr>
  </w:style>
  <w:style w:type="paragraph" w:styleId="Heading2">
    <w:name w:val="Heading 2"/>
    <w:basedOn w:val="Normal"/>
    <w:next w:val="Normal"/>
    <w:pPr>
      <w:spacing w:after="80" w:before="18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2026-05-16T17:42:29.583Z</dcterms:created>
  <dcterms:modified xsi:type="dcterms:W3CDTF">2026-05-16T17:42:29.595Z</dcterms:modified>
</cp:coreProperties>
</file>

<file path=docProps/custom.xml><?xml version="1.0" encoding="utf-8"?>
<Properties xmlns="http://schemas.openxmlformats.org/officeDocument/2006/custom-properties" xmlns:vt="http://schemas.openxmlformats.org/officeDocument/2006/docPropsVTypes"/>
</file>