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Methods synthesis tables</w:t>
      </w:r>
    </w:p>
    <w:p>
      <w:pPr>
        <w:pStyle w:val="Titre2"/>
      </w:pPr>
      <w:r>
        <w:t xml:space="preserve">Overview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54"/>
        <w:gridCol w:w="655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population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adults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10.8%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adolescents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indeterminable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Overarching domain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34"/>
        <w:gridCol w:w="655"/>
        <w:gridCol w:w="1144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overarching_domain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psychological_condition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43.2%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transdiagnostic_feature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16.2%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medical_condition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10.8%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Administration mode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53"/>
        <w:gridCol w:w="655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administration_mode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self_report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62.2%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indeterminable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parent_report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structured_interview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observer_report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Scale search and selection transparency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Reported databases/search sources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63"/>
        <w:gridCol w:w="655"/>
        <w:gridCol w:w="1144"/>
      </w:tblGrid>
      <w:tr>
        <w:trPr>
          <w:trHeight w:val="60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database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psycinfo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35.1%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pubmed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indeterminable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24.3%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google_scholar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21.6%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web_of_science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16.2%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cinahl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scopus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sociological_abstracts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cosmin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eprovide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proquest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psycarticles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ptsdpubs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sciencedirect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Selection criteria format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94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Selection criteria format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Both inclusion &amp; exclusion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21/32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65.6%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Inclusion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7/32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21.9%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Neither inclusion nor exclusion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3/32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9.4%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Exclusions only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3.1%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Specific inclusion criteria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27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Inclusion criteria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language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17/28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60.7%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50.0%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availability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28.6%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release date/recency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28.6%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clinical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21.4%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minimum citation threshold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4/28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Unit of comparison and transformations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Unit of comparison across analyses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8"/>
        <w:gridCol w:w="655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unit_token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symptom_level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63.6%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category_level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27.3%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criterion_level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item_level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semantic_level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Percentage reduction by unit type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8"/>
        <w:gridCol w:w="655"/>
        <w:gridCol w:w="961"/>
        <w:gridCol w:w="961"/>
        <w:gridCol w:w="1132"/>
        <w:gridCol w:w="961"/>
        <w:gridCol w:w="839"/>
        <w:gridCol w:w="839"/>
        <w:gridCol w:w="839"/>
        <w:gridCol w:w="839"/>
      </w:tblGrid>
      <w:tr>
        <w:trPr>
          <w:trHeight w:val="613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unit_token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q75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symptom_level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68.38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68.75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category_level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98.5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criterion_level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88.30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88.30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91.6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item_level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semantic_level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Categorization approach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20"/>
        <w:gridCol w:w="655"/>
        <w:gridCol w:w="1144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categorization_approach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bottom_up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73.0%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top_down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Diagnostic frameworks referenced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51"/>
        <w:gridCol w:w="655"/>
        <w:gridCol w:w="1144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diagnostic_framework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none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48.6%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dsm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10.8%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who_definition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guideline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Item preprocessing and transformation decisions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74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Decision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Within-scale item collapsing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43.2%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Reverse-worded items collapsed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Item exclusions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35.1%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Idiosyncratic/unique items discussed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70.3%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Compound items discussed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64.9%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multi-coded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20/24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83.3%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mono-coded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8.3%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other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Coding workflow and reproducibility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Coding team and rater counts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655"/>
        <w:gridCol w:w="961"/>
        <w:gridCol w:w="839"/>
        <w:gridCol w:w="1132"/>
        <w:gridCol w:w="655"/>
        <w:gridCol w:w="765"/>
        <w:gridCol w:w="826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max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Initial coding team size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</w:tr>
      <w:tr>
        <w:trPr>
          <w:trHeight w:val="57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Number of raters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Initial team distribution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08"/>
        <w:gridCol w:w="655"/>
        <w:gridCol w:w="1144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initial_coding_team_size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28.6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50.0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10.7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</w:t>
            </w:r>
          </w:p>
        </w:tc>
      </w:tr>
      <w:tr>
        <w:trPr>
          <w:trHeight w:val="57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Rater team distribution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08"/>
        <w:gridCol w:w="655"/>
        <w:gridCol w:w="1144"/>
      </w:tblGrid>
      <w:tr>
        <w:trPr>
          <w:trHeight w:val="60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n_rater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35.7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25.0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14.3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  <w:tr>
        <w:trPr>
          <w:trHeight w:val="57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Coding team expansion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77"/>
        <w:gridCol w:w="655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expanded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46.4</w:t>
            </w:r>
          </w:p>
        </w:tc>
      </w:tr>
      <w:tr>
        <w:trPr>
          <w:trHeight w:val="57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Reproducibility indicators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263"/>
        <w:gridCol w:w="655"/>
        <w:gridCol w:w="1634"/>
        <w:gridCol w:w="1793"/>
      </w:tblGrid>
      <w:tr>
        <w:trPr>
          <w:trHeight w:val="60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denominator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report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Interrater reliability reported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10/37 (27.0%)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Codebook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15/37 (40.5%)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Software mentioned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29/37 (78.4%)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Independent coding scheme mentioned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14/37 (37.8%)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Preregistered rules reported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1/37 (2.7%)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2026-04-18T13:20:30Z</dcterms:modified>
  <cp:category/>
</cp:coreProperties>
</file>