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Number of Databases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26"/>
        <w:gridCol w:w="1352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n_sources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13.0%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Additional Coding Descriptives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1"/>
        <w:gridCol w:w="533"/>
        <w:gridCol w:w="1634"/>
        <w:gridCol w:w="1670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denominator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report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Rater expertise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8/37 (21.6%)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Blinded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2/37 (5.4%)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Overlap Values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655"/>
        <w:gridCol w:w="961"/>
        <w:gridCol w:w="1132"/>
        <w:gridCol w:w="839"/>
        <w:gridCol w:w="839"/>
      </w:tblGrid>
      <w:tr>
        <w:trPr>
          <w:trHeight w:val="57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8fba6ed10d63b325beba88a8a94acd10e5173706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2026-06-27T17:54:30Z</dcterms:modified>
  <cp:category/>
</cp:coreProperties>
</file>