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Number of Databases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26"/>
        <w:gridCol w:w="1352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n_sources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13.0%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Additional Coding Descriptives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1"/>
        <w:gridCol w:w="533"/>
        <w:gridCol w:w="1634"/>
        <w:gridCol w:w="1670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denominator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report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Rater expertise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8/37 (21.6%)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Blinded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 (5.4%)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Overlap reporting and scale length correlation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81.1%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Length × mean-overlap relation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Location of overlap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Matrix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available despite overlap reporting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Overlap Values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655"/>
        <w:gridCol w:w="961"/>
        <w:gridCol w:w="1132"/>
        <w:gridCol w:w="839"/>
        <w:gridCol w:w="839"/>
      </w:tblGrid>
      <w:tr>
        <w:trPr>
          <w:trHeight w:val="57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Types of reported length correlations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8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correlation_lengthxmeanoverlap_type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positive_numeric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9/17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positive_text_only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17.6%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other_unclear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null_text_only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Interpretive claims and recommendations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8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Heterogeneity emphasized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Noninterchangeability emphasized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Careful measure selection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Measure development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67.6%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ICA methods problems/research needs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How authors described overlap strength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2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Overlap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Very weak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Weak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specified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1145451b5fbaa73729f81188de0063e544b091b1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2026-06-30T14:38:14Z</dcterms:modified>
  <cp:category/>
</cp:coreProperties>
</file>