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Methods synthesis tables</w:t>
      </w:r>
    </w:p>
    <w:p>
      <w:pPr>
        <w:pStyle w:val="Titre2"/>
      </w:pPr>
      <w:r>
        <w:t xml:space="preserve">Overview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Overarching domain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34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overarching_domain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psychological_condition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transdiagnostic_feature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medical_condition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Administration mode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administration_mode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self_report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parent_report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structured_interview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observer_report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Scale search and selection transparency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Reported databases/search sources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3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database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psycinfo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pubmed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24.3%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google_scholar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web_of_science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cinahl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sociological_abstracts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eprovide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proquest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psycarticles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ptsdpubs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sciencedirect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Selection criteria format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Selection criteria format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Both inclusion &amp; exclusion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 inclusion nor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Exclusions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Specific inclusion criteria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7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language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60.7%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release date/recency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21.4%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citation 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Unit of comparison and transformations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Unit of comparison across analyses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Percentage reduction by unit 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961"/>
        <w:gridCol w:w="961"/>
        <w:gridCol w:w="1132"/>
        <w:gridCol w:w="961"/>
        <w:gridCol w:w="839"/>
        <w:gridCol w:w="839"/>
        <w:gridCol w:w="839"/>
        <w:gridCol w:w="839"/>
      </w:tblGrid>
      <w:tr>
        <w:trPr>
          <w:trHeight w:val="61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q75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91.6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Categorization approach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20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categorization_approach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bottom_up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73.0%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top_down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Diagnostic frameworks referenced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1"/>
        <w:gridCol w:w="655"/>
        <w:gridCol w:w="1144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diagnostic_framework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who_definition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Item preprocessing and transformation decisions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Within-scale item collapsing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Reverse-worded items collapsed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 exclusions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Idiosyncratic/unique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Compound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64.9%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multi-coded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mono-coded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Coding workflow and reproducibility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and rater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655"/>
        <w:gridCol w:w="961"/>
        <w:gridCol w:w="839"/>
        <w:gridCol w:w="1132"/>
        <w:gridCol w:w="655"/>
        <w:gridCol w:w="765"/>
        <w:gridCol w:w="826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 coding team size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trHeight w:val="57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 of raters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Initial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08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initial_coding_team_size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Rater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n_rater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35.7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/>
        <w:drawing>
          <wp:inline distT="0" distB="0" distL="0" distR="0">
            <wp:extent cx="5669280" cy="47548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75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expansion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7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expanded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46.4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reliability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Independent coding scheme mentioned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Interrater reliability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Disagreement resolved mentioned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</w:tbl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Documentation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5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Codebook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mentioned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Preregistered rules reported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Software used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7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used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86.2%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Python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10.3%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code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Overlap reporting and scale length correlation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overlap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81.1%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Length × mean-overlap relation noted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45.9%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Location of overlap matrix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65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Matrix 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Main text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available despite overlap reporting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Types of reported length correlations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8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correlation_lengthxmeanoverlap_type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positive_numeric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9/17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52.9%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positive_text_only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17.6%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null_numeric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other_unclear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null_text_only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5.9%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Interpretive claims and recommendations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38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Heterogeneity emphasized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Noninterchangeability emphasized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Careful measure selection recommended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Measure development recommended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67.6%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ICA methods problems/research needs noted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51.4%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How authors described overlap strength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2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Overlap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Very weak overlap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Weak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specified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8fba6ed10d63b325beba88a8a94acd10e5173706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2026-06-25T14:57:31Z</dcterms:modified>
  <cp:category/>
</cp:coreProperties>
</file>