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Methods synthesis tables</w:t>
      </w:r>
    </w:p>
    <w:p>
      <w:pPr>
        <w:pStyle w:val="Titre2"/>
      </w:pPr>
      <w:r>
        <w:t xml:space="preserve">Overview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4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adults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adolescents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Overarching domain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34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overarching_domain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psychological_condition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transdiagnostic_feature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medical_condition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Administration mode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53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administration_mode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self_report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parent_report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structured_interview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observer_report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Scale search and selection transparency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Reported databases/search sources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63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database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psycinfo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pubmed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24.3%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google_scholar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21.6%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web_of_science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cinahl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scopus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sociological_abstracts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cosmin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eprovide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proquest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psycarticles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ptsdpubs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sciencedirect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Selection criteria format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Selection criteria format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Both inclusion &amp; exclusion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21/32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 inclusion nor exclusion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Exclusions 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Specific inclusion criteria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7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criteria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language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17/28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60.7%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release date/recency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clinical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21.4%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citation threshold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4/28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Unit of comparison and transformations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Unit of comparison across analyses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Percentage reduction by unit type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961"/>
        <w:gridCol w:w="961"/>
        <w:gridCol w:w="1132"/>
        <w:gridCol w:w="961"/>
        <w:gridCol w:w="839"/>
        <w:gridCol w:w="839"/>
        <w:gridCol w:w="839"/>
        <w:gridCol w:w="839"/>
      </w:tblGrid>
      <w:tr>
        <w:trPr>
          <w:trHeight w:val="61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q75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98.5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91.6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Categorization approach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20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categorization_approach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bottom_up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73.0%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top_down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Diagnostic frameworks referenced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51"/>
        <w:gridCol w:w="655"/>
        <w:gridCol w:w="1144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diagnostic_framework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who_definition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Item preprocessing and transformation decisions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Decision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Within-scale item collapsing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Reverse-worded items collapsed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 exclusions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Idiosyncratic/unique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Compound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64.9%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multi-coded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mono-coded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Coding workflow and reproducibility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team and rater counts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655"/>
        <w:gridCol w:w="961"/>
        <w:gridCol w:w="839"/>
        <w:gridCol w:w="1132"/>
        <w:gridCol w:w="655"/>
        <w:gridCol w:w="765"/>
        <w:gridCol w:w="826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Initial coding team size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</w:tr>
      <w:tr>
        <w:trPr>
          <w:trHeight w:val="57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Number of raters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Initial team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08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initial_coding_team_size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Rater team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n_rater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35.7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rPr/>
        <w:drawing>
          <wp:inline distT="0" distB="0" distL="0" distR="0">
            <wp:extent cx="5669280" cy="47548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75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team expansion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7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expanded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46.4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reliability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63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Independent coding scheme mentioned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37.8%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Interrater reliability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Disagreement resolved mentioned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</w:tbl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Documentation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5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Codebook reported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40.5%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Software mentioned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Preregistered rules reported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Software used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7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Software used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25/29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86.2%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Python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10.3%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code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Overlap reporting and scale length correlation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4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overlap reported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overlap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Maximum overlap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81.1%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Length × mean-overlap relation noted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45.9%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Location of overlap matrix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65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Matrix 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Main text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75.7%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available despite overlap reporting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1145451b5fbaa73729f81188de0063e544b091b1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2026-04-28T18:58:29Z</dcterms:modified>
  <cp:category/>
</cp:coreProperties>
</file>