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Methods synthesis tables</w:t>
      </w:r>
    </w:p>
    <w:p>
      <w:pPr>
        <w:pStyle w:val="Titre2"/>
      </w:pPr>
      <w:r>
        <w:t xml:space="preserve">Overview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adults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adolescents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Overarching domain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34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overarching_domain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psychological_condition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transdiagnostic_feature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medical_condition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Administration mode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53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administration_mode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self_report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parent_report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structured_interview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observer_report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Scale search and selection transparency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Reported databases/search sources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63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database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psycinfo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pubmed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24.3%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google_scholar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21.6%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web_of_science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cinahl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scopus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sociological_abstracts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cosmin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eprovide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proquest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psycarticles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ptsdpubs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sciencedirect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Number of Databases Used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26"/>
        <w:gridCol w:w="1352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n_sources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n_studies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17.4%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13.0%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Selection criteria format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Selection criteria format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Both inclusion &amp; exclusion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21/32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 inclusion nor exclusion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Exclusions 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Specific inclusion criteria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7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criteria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language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17/28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60.7%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release date/recency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clinical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21.4%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citation threshold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4/28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Unit of comparison and transformations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Unit of comparison across analyses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Percentage reduction by unit type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961"/>
        <w:gridCol w:w="961"/>
        <w:gridCol w:w="1132"/>
        <w:gridCol w:w="961"/>
        <w:gridCol w:w="839"/>
        <w:gridCol w:w="839"/>
        <w:gridCol w:w="839"/>
        <w:gridCol w:w="839"/>
      </w:tblGrid>
      <w:tr>
        <w:trPr>
          <w:trHeight w:val="61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q75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98.5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91.6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Categorization approach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20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categorization_approach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bottom_up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73.0%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top_down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Diagnostic frameworks referenced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51"/>
        <w:gridCol w:w="655"/>
        <w:gridCol w:w="1144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diagnostic_framework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who_definition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Item preprocessing and transformation decisions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Decision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Within-scale item collapsing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Reverse-worded items collapsed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 exclusions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Idiosyncratic/unique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Compound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64.9%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multi-coded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mono-coded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Coding workflow and reproducibility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team and rater counts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655"/>
        <w:gridCol w:w="961"/>
        <w:gridCol w:w="839"/>
        <w:gridCol w:w="1132"/>
        <w:gridCol w:w="655"/>
        <w:gridCol w:w="765"/>
        <w:gridCol w:w="826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Initial coding team size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</w:tr>
      <w:tr>
        <w:trPr>
          <w:trHeight w:val="57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Number of raters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Initial team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08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initial_coding_team_size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Rater team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n_rater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35.7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rPr/>
        <w:drawing>
          <wp:inline distT="0" distB="0" distL="0" distR="0">
            <wp:extent cx="5669280" cy="47548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75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team expansion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7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expanded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46.4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reliability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63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Independent coding scheme mentioned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37.8%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Interrater reliability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Disagreement resolved mentioned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</w:tbl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Documentation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5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Codebook reported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40.5%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Software mentioned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Preregistered rules reported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Software used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7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Software used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25/29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86.2%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Python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10.3%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code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Overlap reporting and scale length correlation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4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overlap reported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overlap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Maximum overlap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81.1%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Length × mean-overlap relation noted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45.9%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Location of overlap matrix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65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Matrix 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Main text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75.7%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available despite overlap reporting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Types of reported length correlations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8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correlation_lengthxmeanoverlap_type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positive_numeric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9/17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52.9%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positive_text_only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17.6%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null_numeric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11.8%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other_unclear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11.8%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null_text_only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5.9%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Interpretive claims and recommendations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38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Heterogeneity emphasized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Noninterchangeability emphasized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Careful measure selection recommended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Measure development recommended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67.6%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ICA methods problems/research needs noted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51.4%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How authors described overlap strength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2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Overlap reported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Very weak overlap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Weak overlap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Moderate overlap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specified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8fba6ed10d63b325beba88a8a94acd10e5173706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2026-06-27T15:17:41Z</dcterms:modified>
  <cp:category/>
</cp:coreProperties>
</file>