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Methods synthesis tables</w:t>
      </w:r>
    </w:p>
    <w:p>
      <w:pPr>
        <w:pStyle w:val="Titre2"/>
      </w:pPr>
      <w:r>
        <w:t xml:space="preserve">Overview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54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population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adults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children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adolescents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Overarching domain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34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overarching_domain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psychological_condition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transdiagnostic_feature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medical_condition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Administration mode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53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administration_mode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self_report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parent_report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structured_interview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observer_report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Scale search and selection transparency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Reported databases/search sources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63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database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psycinfo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pubmed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29.7%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indeterminable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24.3%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google_scholar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21.6%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web_of_science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embase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16.2%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cinahl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scopus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sociological_abstracts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cosmin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eprovide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proquest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psycarticles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ptsdpubs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sciencedirect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Selection criteria format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Selection criteria format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Both inclusion &amp; exclusion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21.9%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Neither inclusion nor exclusion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Exclusions 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3.1%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Specific inclusion criteria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7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Inclusion criteria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language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60.7%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availability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release date/recency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6/28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21.4%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citation threshold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4/28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Unit of comparison and transformations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Unit of comparison across analyses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Percentage reduction by unit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78"/>
        <w:gridCol w:w="655"/>
        <w:gridCol w:w="961"/>
        <w:gridCol w:w="961"/>
        <w:gridCol w:w="1132"/>
        <w:gridCol w:w="961"/>
        <w:gridCol w:w="839"/>
        <w:gridCol w:w="839"/>
        <w:gridCol w:w="839"/>
        <w:gridCol w:w="839"/>
      </w:tblGrid>
      <w:tr>
        <w:trPr>
          <w:trHeight w:val="61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unit_token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q75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symptom_level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83.5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category_level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98.5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criterion_level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88.30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91.6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item_level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semantic_level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Categorization approach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20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categorization_approach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bottom_up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73.0%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top_down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Diagnostic frameworks referenced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655"/>
        <w:gridCol w:w="1144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diagnostic_framework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48.6%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dsm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who_definition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guideline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Item preprocessing and transformation decisions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655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Decision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Within-scale item collapsing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43.2%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Reverse-worded items collapsed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18.9%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Item exclusions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35.1%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Idiosyncratic/unique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Compound items discussed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64.9%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multi-coded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83.3%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mono-coded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  <w:tr>
        <w:trPr>
          <w:trHeight w:val="61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 ↳ Compound handling: other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8.3%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Coding workflow and reproducibility</w:t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and rater counts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36"/>
        <w:gridCol w:w="655"/>
        <w:gridCol w:w="961"/>
        <w:gridCol w:w="839"/>
        <w:gridCol w:w="1132"/>
        <w:gridCol w:w="655"/>
        <w:gridCol w:w="765"/>
        <w:gridCol w:w="826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metric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 coding team size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</w:tr>
      <w:tr>
        <w:trPr>
          <w:trHeight w:val="57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Number of raters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Initial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08"/>
        <w:gridCol w:w="655"/>
        <w:gridCol w:w="1144"/>
      </w:tblGrid>
      <w:tr>
        <w:trPr>
          <w:trHeight w:val="614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initial_coding_team_size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10.7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Rater team distribution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08"/>
        <w:gridCol w:w="655"/>
        <w:gridCol w:w="1144"/>
      </w:tblGrid>
      <w:tr>
        <w:trPr>
          <w:trHeight w:val="60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n_rater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69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35.7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25.0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14.3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7.1</w:t>
            </w:r>
          </w:p>
        </w:tc>
      </w:tr>
      <w:tr>
        <w:trPr>
          <w:trHeight w:val="57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rPr/>
        <w:drawing>
          <wp:inline distT="0" distB="0" distL="0" distR="0">
            <wp:extent cx="5669280" cy="475488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754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team expansion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77"/>
        <w:gridCol w:w="655"/>
        <w:gridCol w:w="1144"/>
      </w:tblGrid>
      <w:tr>
        <w:trPr>
          <w:trHeight w:val="612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expanded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46.4</w:t>
            </w:r>
          </w:p>
        </w:tc>
      </w:tr>
      <w:tr>
        <w:trPr>
          <w:trHeight w:val="572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true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53.6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Coding reliability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63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Independent coding scheme mentioned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37.8%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Interrater reliability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Disagreement resolved mentioned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62.2%</w:t>
            </w:r>
          </w:p>
        </w:tc>
      </w:tr>
    </w:tbl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Documentation indicators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5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Codebook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40.5%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mentioned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78.4%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Preregistered rules reported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Software used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817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Software used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86.2%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Python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10.3%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 code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Overlap reporting and scale length correlation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74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Mean overlap reported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Minimum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Maximum overlap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30/37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81.1%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Length × mean-overlap relation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Location of overlap matrix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65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Matrix source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Main text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75.7%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Supplement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2.7%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available despite overlap reporting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8.1%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Types of reported length correlations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8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correlation_lengthxmeanoverlap_type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positive_numeric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9/17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52.9%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positive_text_only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17.6%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null_numeric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other_unclear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2/17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11.8%</w:t>
            </w:r>
          </w:p>
        </w:tc>
      </w:tr>
      <w:tr>
        <w:trPr>
          <w:trHeight w:val="614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null_text_only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1/17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5.9%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Interpretive claims and recommendations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838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Indicator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Heterogeneity emphasized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94.6%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Noninterchangeability emphasized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56.8%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Careful measure selection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70.3%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Measure development recommended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67.6%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ICA methods problems/research needs noted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51.4%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How authors described overlap strength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20"/>
        <w:gridCol w:w="1474"/>
        <w:gridCol w:w="1976"/>
        <w:gridCol w:w="1169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Overlap reported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(Studies)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Proportion (n/N)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Percent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Very weak overlap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Weak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59.5%</w:t>
            </w:r>
          </w:p>
        </w:tc>
      </w:tr>
      <w:tr>
        <w:trPr>
          <w:trHeight w:val="61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Moderate overlap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Not specified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5/37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13.5%</w:t>
            </w:r>
          </w:p>
        </w:tc>
      </w:tr>
    </w:tbl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1145451b5fbaa73729f81188de0063e544b091b1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2026-05-15T10:43:26Z</dcterms:modified>
  <cp:category/>
</cp:coreProperties>
</file>