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6D8B" w14:textId="7C4D0E51" w:rsidR="0010080B" w:rsidRPr="001A1DB3" w:rsidRDefault="00BD3498">
      <w:pPr>
        <w:rPr>
          <w:lang w:val="en-GB"/>
        </w:rPr>
      </w:pPr>
      <w:r w:rsidRPr="001A1DB3">
        <w:rPr>
          <w:lang w:val="en-GB"/>
        </w:rPr>
        <w:t>Supplementary Materials</w:t>
      </w:r>
    </w:p>
    <w:p w14:paraId="737C25EC" w14:textId="7C64F497" w:rsidR="00BD3498" w:rsidRDefault="00BD3498" w:rsidP="00BD3498">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S1 </w:t>
      </w:r>
      <w:r>
        <w:t>Overarching domain</w:t>
      </w:r>
    </w:p>
    <w:tbl>
      <w:tblPr>
        <w:tblW w:w="0" w:type="auto"/>
        <w:jc w:val="center"/>
        <w:tblLayout w:type="fixed"/>
        <w:tblLook w:val="0420" w:firstRow="1" w:lastRow="0" w:firstColumn="0" w:lastColumn="0" w:noHBand="0" w:noVBand="1"/>
      </w:tblPr>
      <w:tblGrid>
        <w:gridCol w:w="2734"/>
        <w:gridCol w:w="655"/>
        <w:gridCol w:w="1144"/>
      </w:tblGrid>
      <w:tr w:rsidR="00BD3498" w14:paraId="58217C8C" w14:textId="77777777" w:rsidTr="00E27BEB">
        <w:trPr>
          <w:tblHeader/>
          <w:jc w:val="center"/>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C7BBE7" w14:textId="76151DCA"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Overarching Domain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5807FC9"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B30706" w14:textId="1E01EE5A"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z w:val="20"/>
                <w:szCs w:val="20"/>
              </w:rPr>
              <w:t>ercent</w:t>
            </w:r>
          </w:p>
        </w:tc>
      </w:tr>
      <w:tr w:rsidR="00BD3498" w14:paraId="711DA7AF" w14:textId="77777777" w:rsidTr="00E27BEB">
        <w:trPr>
          <w:jc w:val="center"/>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3DB02"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psychological_condition</w:t>
            </w:r>
            <w:proofErr w:type="spellEnd"/>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58E87"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9B0BA"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43.2%</w:t>
            </w:r>
          </w:p>
        </w:tc>
      </w:tr>
      <w:tr w:rsidR="00BD3498" w14:paraId="7827ECD2" w14:textId="77777777" w:rsidTr="00E27BEB">
        <w:trPr>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6D5CB"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transdiagnostic_feature</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491E8"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E3DDB"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29.7%</w:t>
            </w:r>
          </w:p>
        </w:tc>
      </w:tr>
      <w:tr w:rsidR="00BD3498" w14:paraId="7172BC5B" w14:textId="77777777" w:rsidTr="00E27BEB">
        <w:trPr>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534A5"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other</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15742"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D7D75"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16.2%</w:t>
            </w:r>
          </w:p>
        </w:tc>
      </w:tr>
      <w:tr w:rsidR="00BD3498" w14:paraId="74C14BAC" w14:textId="77777777" w:rsidTr="00E27BEB">
        <w:trPr>
          <w:jc w:val="center"/>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9B0DA8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medical_condition</w:t>
            </w:r>
            <w:proofErr w:type="spellEnd"/>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BB72FB"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370B8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10.8%</w:t>
            </w:r>
          </w:p>
        </w:tc>
      </w:tr>
    </w:tbl>
    <w:p w14:paraId="1D4B9BDB" w14:textId="77777777" w:rsidR="00BD3498" w:rsidRDefault="00BD3498">
      <w:pPr>
        <w:rPr>
          <w:lang w:val="de-CH"/>
        </w:rPr>
      </w:pPr>
    </w:p>
    <w:p w14:paraId="0974A1CC" w14:textId="267D17F8" w:rsidR="00BD3498" w:rsidRDefault="00BD3498" w:rsidP="00BD3498">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S2 </w:t>
      </w:r>
      <w:r>
        <w:t>Number of Databases Used</w:t>
      </w:r>
    </w:p>
    <w:tbl>
      <w:tblPr>
        <w:tblW w:w="0" w:type="auto"/>
        <w:jc w:val="center"/>
        <w:tblLayout w:type="fixed"/>
        <w:tblLook w:val="0420" w:firstRow="1" w:lastRow="0" w:firstColumn="0" w:lastColumn="0" w:noHBand="0" w:noVBand="1"/>
      </w:tblPr>
      <w:tblGrid>
        <w:gridCol w:w="1426"/>
        <w:gridCol w:w="1352"/>
        <w:gridCol w:w="1144"/>
      </w:tblGrid>
      <w:tr w:rsidR="00BD3498" w14:paraId="4B337F13" w14:textId="77777777" w:rsidTr="00E27BEB">
        <w:trPr>
          <w:tblHeader/>
          <w:jc w:val="center"/>
        </w:trPr>
        <w:tc>
          <w:tcPr>
            <w:tcW w:w="14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A6FD6BD" w14:textId="4D1C7408"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Number of Databases Used</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8E036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n_studies</w:t>
            </w:r>
            <w:proofErr w:type="spellEnd"/>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624573C" w14:textId="1D5D48B1"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z w:val="20"/>
                <w:szCs w:val="20"/>
              </w:rPr>
              <w:t>ercent</w:t>
            </w:r>
          </w:p>
        </w:tc>
      </w:tr>
      <w:tr w:rsidR="00BD3498" w14:paraId="72A02206" w14:textId="77777777" w:rsidTr="00E27BEB">
        <w:trPr>
          <w:jc w:val="center"/>
        </w:trPr>
        <w:tc>
          <w:tcPr>
            <w:tcW w:w="14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ED36C"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18FB5"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2D27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34.8%</w:t>
            </w:r>
          </w:p>
        </w:tc>
      </w:tr>
      <w:tr w:rsidR="00BD3498" w14:paraId="06076761" w14:textId="77777777" w:rsidTr="00E27BEB">
        <w:trPr>
          <w:jc w:val="center"/>
        </w:trPr>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62C6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143CE"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30302"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17.4%</w:t>
            </w:r>
          </w:p>
        </w:tc>
      </w:tr>
      <w:tr w:rsidR="00BD3498" w14:paraId="7E84A92D" w14:textId="77777777" w:rsidTr="00E27BEB">
        <w:trPr>
          <w:jc w:val="center"/>
        </w:trPr>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5AD42"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49F96"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AF277"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8.7%</w:t>
            </w:r>
          </w:p>
        </w:tc>
      </w:tr>
      <w:tr w:rsidR="00BD3498" w14:paraId="1EC6CE9F" w14:textId="77777777" w:rsidTr="00E27BEB">
        <w:trPr>
          <w:jc w:val="center"/>
        </w:trPr>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B1D68"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3F493"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A846B"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21.7%</w:t>
            </w:r>
          </w:p>
        </w:tc>
      </w:tr>
      <w:tr w:rsidR="00BD3498" w14:paraId="36F1F76F" w14:textId="77777777" w:rsidTr="00E27BEB">
        <w:trPr>
          <w:jc w:val="center"/>
        </w:trPr>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163C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CD396"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DC741"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13.0%</w:t>
            </w:r>
          </w:p>
        </w:tc>
      </w:tr>
      <w:tr w:rsidR="00BD3498" w14:paraId="76594A96" w14:textId="77777777" w:rsidTr="00E27BEB">
        <w:trPr>
          <w:jc w:val="center"/>
        </w:trPr>
        <w:tc>
          <w:tcPr>
            <w:tcW w:w="14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BAE2999"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w:t>
            </w: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37ECF56"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2E500B8" w14:textId="77777777" w:rsidR="00BD3498" w:rsidRDefault="00BD3498"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4.3%</w:t>
            </w:r>
          </w:p>
        </w:tc>
      </w:tr>
    </w:tbl>
    <w:p w14:paraId="33CB3146" w14:textId="77777777" w:rsidR="00BD3498" w:rsidRDefault="00BD3498">
      <w:pPr>
        <w:rPr>
          <w:lang w:val="de-CH"/>
        </w:rPr>
      </w:pPr>
    </w:p>
    <w:p w14:paraId="5346F2C1" w14:textId="374A41C9" w:rsidR="000205CD" w:rsidRDefault="000205CD" w:rsidP="000205CD">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S3 </w:t>
      </w:r>
      <w:r>
        <w:t>Reported databases/search sources</w:t>
      </w:r>
    </w:p>
    <w:tbl>
      <w:tblPr>
        <w:tblW w:w="0" w:type="auto"/>
        <w:jc w:val="center"/>
        <w:tblLayout w:type="fixed"/>
        <w:tblLook w:val="0420" w:firstRow="1" w:lastRow="0" w:firstColumn="0" w:lastColumn="0" w:noHBand="0" w:noVBand="1"/>
      </w:tblPr>
      <w:tblGrid>
        <w:gridCol w:w="2563"/>
        <w:gridCol w:w="655"/>
        <w:gridCol w:w="1144"/>
      </w:tblGrid>
      <w:tr w:rsidR="000205CD" w14:paraId="4F96111E" w14:textId="77777777" w:rsidTr="00E27BEB">
        <w:trPr>
          <w:tblHeader/>
          <w:jc w:val="center"/>
        </w:trPr>
        <w:tc>
          <w:tcPr>
            <w:tcW w:w="2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3DBC9BA" w14:textId="13F83534"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D</w:t>
            </w:r>
            <w:r>
              <w:rPr>
                <w:rFonts w:ascii="Arial" w:eastAsia="Arial" w:hAnsi="Arial" w:cs="Arial"/>
                <w:color w:val="000000"/>
                <w:sz w:val="20"/>
                <w:szCs w:val="20"/>
              </w:rPr>
              <w:t>atabase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D6C8D4"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7E321D8" w14:textId="73185844"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z w:val="20"/>
                <w:szCs w:val="20"/>
              </w:rPr>
              <w:t>ercent</w:t>
            </w:r>
          </w:p>
        </w:tc>
      </w:tr>
      <w:tr w:rsidR="000205CD" w14:paraId="35D67438" w14:textId="77777777" w:rsidTr="00E27BEB">
        <w:trPr>
          <w:jc w:val="center"/>
        </w:trPr>
        <w:tc>
          <w:tcPr>
            <w:tcW w:w="2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B9ED7"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psycinfo</w:t>
            </w:r>
            <w:proofErr w:type="spellEnd"/>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96A01"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4A8A3"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35.1%</w:t>
            </w:r>
          </w:p>
        </w:tc>
      </w:tr>
      <w:tr w:rsidR="000205CD" w14:paraId="5E7DA205"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55D9C"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pubmed</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51EA3"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51B86"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29.7%</w:t>
            </w:r>
          </w:p>
        </w:tc>
      </w:tr>
      <w:tr w:rsidR="000205CD" w14:paraId="46C7CADC"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D7874"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indeterminable</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2BD6D"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9DCC9"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24.3%</w:t>
            </w:r>
          </w:p>
        </w:tc>
      </w:tr>
      <w:tr w:rsidR="000205CD" w14:paraId="041C7D03"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E2A77"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google_scholar</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0218D"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3DDB0"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21.6%</w:t>
            </w:r>
          </w:p>
        </w:tc>
      </w:tr>
      <w:tr w:rsidR="000205CD" w14:paraId="5A385CC0"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487EC"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web_of_science</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F4C89"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821E0"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18.9%</w:t>
            </w:r>
          </w:p>
        </w:tc>
      </w:tr>
      <w:tr w:rsidR="000205CD" w14:paraId="4E8ECD25"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B0B71"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embase</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2B1C9"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B4DA7"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16.2%</w:t>
            </w:r>
          </w:p>
        </w:tc>
      </w:tr>
      <w:tr w:rsidR="000205CD" w14:paraId="180C5FF3"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0D73C"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medline</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E0DFC"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B59AF"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r w:rsidR="000205CD" w14:paraId="05B9228B"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9AAC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cinahl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A0C75"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CAEC3"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w:t>
            </w:r>
          </w:p>
        </w:tc>
      </w:tr>
      <w:tr w:rsidR="000205CD" w14:paraId="67CA7002"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EEEB6"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eric</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88924"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21FC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w:t>
            </w:r>
          </w:p>
        </w:tc>
      </w:tr>
      <w:tr w:rsidR="000205CD" w14:paraId="494E3A21"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7DE95"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scopus</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62DC82"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25405"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w:t>
            </w:r>
          </w:p>
        </w:tc>
      </w:tr>
      <w:tr w:rsidR="000205CD" w14:paraId="0A151D47"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8D6A2"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sociological_abstracts</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EEC1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486D2"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5.4%</w:t>
            </w:r>
          </w:p>
        </w:tc>
      </w:tr>
      <w:tr w:rsidR="000205CD" w14:paraId="0D8DF32F"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0F15A"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lastRenderedPageBreak/>
              <w:t>cosmin</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7EB41"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8E320"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r w:rsidR="000205CD" w14:paraId="0CFDE089"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6FA2A"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eprovide</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7D78E"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52234"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r w:rsidR="000205CD" w14:paraId="3ADB8FAA"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BB1BA"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proquest</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DEAC3"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40B8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r w:rsidR="000205CD" w14:paraId="355D45CA"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34121"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psycarticles</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656B2"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8BDF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r w:rsidR="000205CD" w14:paraId="49A5DF92" w14:textId="77777777" w:rsidTr="00E27BEB">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B16AC"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ptsdpubs</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1987B"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371E9"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r w:rsidR="000205CD" w14:paraId="639E422C" w14:textId="77777777" w:rsidTr="00E27BEB">
        <w:trPr>
          <w:jc w:val="center"/>
        </w:trPr>
        <w:tc>
          <w:tcPr>
            <w:tcW w:w="2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B7EBB67"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sciencedirect</w:t>
            </w:r>
            <w:proofErr w:type="spellEnd"/>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E856AD"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7521938" w14:textId="77777777" w:rsidR="000205CD" w:rsidRDefault="000205C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bl>
    <w:p w14:paraId="73FD30D3" w14:textId="77777777" w:rsidR="000205CD" w:rsidRDefault="000205CD">
      <w:pPr>
        <w:rPr>
          <w:lang w:val="de-CH"/>
        </w:rPr>
      </w:pPr>
    </w:p>
    <w:p w14:paraId="2B8C1E82" w14:textId="70525162" w:rsidR="00D2126E" w:rsidRDefault="00D2126E" w:rsidP="00D2126E">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S4 </w:t>
      </w:r>
      <w:r>
        <w:t>Unit of comparison across analyses</w:t>
      </w:r>
    </w:p>
    <w:tbl>
      <w:tblPr>
        <w:tblW w:w="0" w:type="auto"/>
        <w:jc w:val="center"/>
        <w:tblLayout w:type="fixed"/>
        <w:tblLook w:val="0420" w:firstRow="1" w:lastRow="0" w:firstColumn="0" w:lastColumn="0" w:noHBand="0" w:noVBand="1"/>
      </w:tblPr>
      <w:tblGrid>
        <w:gridCol w:w="1878"/>
        <w:gridCol w:w="655"/>
        <w:gridCol w:w="1144"/>
      </w:tblGrid>
      <w:tr w:rsidR="00D2126E" w14:paraId="7E0C1F93" w14:textId="77777777" w:rsidTr="00E27BEB">
        <w:trPr>
          <w:tblHeader/>
          <w:jc w:val="center"/>
        </w:trPr>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97B36DF" w14:textId="20522144"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Comparison unit</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F4D417"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9795058" w14:textId="7A09F3E6"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z w:val="20"/>
                <w:szCs w:val="20"/>
              </w:rPr>
              <w:t>ercent</w:t>
            </w:r>
          </w:p>
        </w:tc>
      </w:tr>
      <w:tr w:rsidR="00D2126E" w14:paraId="5C9EDAFF" w14:textId="77777777" w:rsidTr="00E27BEB">
        <w:trPr>
          <w:jc w:val="center"/>
        </w:trPr>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441EA"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symptom_level</w:t>
            </w:r>
            <w:proofErr w:type="spellEnd"/>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17D0F"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277421"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63.6%</w:t>
            </w:r>
          </w:p>
        </w:tc>
      </w:tr>
      <w:tr w:rsidR="00D2126E" w14:paraId="426A8632"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44DA4"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category_level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360B9"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2725F"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27.3%</w:t>
            </w:r>
          </w:p>
        </w:tc>
      </w:tr>
      <w:tr w:rsidR="00D2126E" w14:paraId="602CECF4"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B0449"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criterion_level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00903"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67D2C"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4.5%</w:t>
            </w:r>
          </w:p>
        </w:tc>
      </w:tr>
      <w:tr w:rsidR="00D2126E" w14:paraId="00E97143"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B4307"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item_level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73D16"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F2ACB"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w:t>
            </w:r>
          </w:p>
        </w:tc>
      </w:tr>
      <w:tr w:rsidR="00D2126E" w14:paraId="6CC7E258" w14:textId="77777777" w:rsidTr="00E27BEB">
        <w:trPr>
          <w:jc w:val="center"/>
        </w:trPr>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6AABDB5"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semantic_level</w:t>
            </w:r>
            <w:proofErr w:type="spellEnd"/>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F3C7C3B"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E76C09B"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w:t>
            </w:r>
          </w:p>
        </w:tc>
      </w:tr>
    </w:tbl>
    <w:p w14:paraId="74BA5642" w14:textId="77777777" w:rsidR="00D2126E" w:rsidRDefault="00D2126E">
      <w:pPr>
        <w:rPr>
          <w:lang w:val="de-CH"/>
        </w:rPr>
      </w:pPr>
    </w:p>
    <w:p w14:paraId="21DAB753" w14:textId="6F8BC99E" w:rsidR="00D2126E" w:rsidRDefault="00D2126E" w:rsidP="00D2126E">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S5 </w:t>
      </w:r>
      <w:r>
        <w:t>Categorization approach</w:t>
      </w:r>
    </w:p>
    <w:tbl>
      <w:tblPr>
        <w:tblW w:w="0" w:type="auto"/>
        <w:jc w:val="center"/>
        <w:tblLayout w:type="fixed"/>
        <w:tblLook w:val="0420" w:firstRow="1" w:lastRow="0" w:firstColumn="0" w:lastColumn="0" w:noHBand="0" w:noVBand="1"/>
      </w:tblPr>
      <w:tblGrid>
        <w:gridCol w:w="2820"/>
        <w:gridCol w:w="655"/>
        <w:gridCol w:w="1144"/>
      </w:tblGrid>
      <w:tr w:rsidR="00D2126E" w14:paraId="51F5BABC" w14:textId="77777777" w:rsidTr="00E27BEB">
        <w:trPr>
          <w:tblHeader/>
          <w:jc w:val="center"/>
        </w:trPr>
        <w:tc>
          <w:tcPr>
            <w:tcW w:w="28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B7A3CC" w14:textId="0BCFC85D"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w:t>
            </w:r>
            <w:r>
              <w:rPr>
                <w:rFonts w:ascii="Arial" w:eastAsia="Arial" w:hAnsi="Arial" w:cs="Arial"/>
                <w:color w:val="000000"/>
                <w:sz w:val="20"/>
                <w:szCs w:val="20"/>
              </w:rPr>
              <w:t>ategorization</w:t>
            </w:r>
            <w:r>
              <w:rPr>
                <w:rFonts w:ascii="Arial" w:eastAsia="Arial" w:hAnsi="Arial" w:cs="Arial"/>
                <w:color w:val="000000"/>
                <w:sz w:val="20"/>
                <w:szCs w:val="20"/>
              </w:rPr>
              <w:t xml:space="preserve"> </w:t>
            </w:r>
            <w:r>
              <w:rPr>
                <w:rFonts w:ascii="Arial" w:eastAsia="Arial" w:hAnsi="Arial" w:cs="Arial"/>
                <w:color w:val="000000"/>
                <w:sz w:val="20"/>
                <w:szCs w:val="20"/>
              </w:rPr>
              <w:t>approach</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13AF3D"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3680BD" w14:textId="4E182B9F"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z w:val="20"/>
                <w:szCs w:val="20"/>
              </w:rPr>
              <w:t>ercent</w:t>
            </w:r>
          </w:p>
        </w:tc>
      </w:tr>
      <w:tr w:rsidR="00D2126E" w14:paraId="20F9CB83" w14:textId="77777777" w:rsidTr="00E27BEB">
        <w:trPr>
          <w:jc w:val="center"/>
        </w:trPr>
        <w:tc>
          <w:tcPr>
            <w:tcW w:w="28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9A3AC"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bottom_up</w:t>
            </w:r>
            <w:proofErr w:type="spellEnd"/>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8F479"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78A84"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73.0%</w:t>
            </w:r>
          </w:p>
        </w:tc>
      </w:tr>
      <w:tr w:rsidR="00D2126E" w14:paraId="22331BD8" w14:textId="77777777" w:rsidTr="00E27BEB">
        <w:trPr>
          <w:jc w:val="center"/>
        </w:trPr>
        <w:tc>
          <w:tcPr>
            <w:tcW w:w="2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12740"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mixed</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B80BE"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6BF3C"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r w:rsidR="00D2126E" w14:paraId="7264FE1D" w14:textId="77777777" w:rsidTr="00E27BEB">
        <w:trPr>
          <w:jc w:val="center"/>
        </w:trPr>
        <w:tc>
          <w:tcPr>
            <w:tcW w:w="28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DBFE60B"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top_down</w:t>
            </w:r>
            <w:proofErr w:type="spellEnd"/>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E8ECCA"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3D0F573" w14:textId="77777777" w:rsidR="00D2126E" w:rsidRDefault="00D2126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bl>
    <w:p w14:paraId="387CABE1" w14:textId="77777777" w:rsidR="00D2126E" w:rsidRDefault="00D2126E">
      <w:pPr>
        <w:rPr>
          <w:lang w:val="de-CH"/>
        </w:rPr>
      </w:pPr>
    </w:p>
    <w:p w14:paraId="68AEB277" w14:textId="45FC745E" w:rsidR="00FC0070" w:rsidRDefault="00FC0070" w:rsidP="00FC0070">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S6 </w:t>
      </w:r>
      <w:r>
        <w:t>Diagnostic frameworks referenced</w:t>
      </w:r>
    </w:p>
    <w:tbl>
      <w:tblPr>
        <w:tblW w:w="0" w:type="auto"/>
        <w:jc w:val="center"/>
        <w:tblLayout w:type="fixed"/>
        <w:tblLook w:val="0420" w:firstRow="1" w:lastRow="0" w:firstColumn="0" w:lastColumn="0" w:noHBand="0" w:noVBand="1"/>
      </w:tblPr>
      <w:tblGrid>
        <w:gridCol w:w="2551"/>
        <w:gridCol w:w="655"/>
        <w:gridCol w:w="1144"/>
      </w:tblGrid>
      <w:tr w:rsidR="00FC0070" w14:paraId="4B7CFCE1" w14:textId="77777777" w:rsidTr="00E27BEB">
        <w:trPr>
          <w:tblHeader/>
          <w:jc w:val="center"/>
        </w:trPr>
        <w:tc>
          <w:tcPr>
            <w:tcW w:w="25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01722C" w14:textId="530CD909"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D</w:t>
            </w:r>
            <w:r>
              <w:rPr>
                <w:rFonts w:ascii="Arial" w:eastAsia="Arial" w:hAnsi="Arial" w:cs="Arial"/>
                <w:color w:val="000000"/>
                <w:sz w:val="20"/>
                <w:szCs w:val="20"/>
              </w:rPr>
              <w:t>iagnostic</w:t>
            </w:r>
            <w:r>
              <w:rPr>
                <w:rFonts w:ascii="Arial" w:eastAsia="Arial" w:hAnsi="Arial" w:cs="Arial"/>
                <w:color w:val="000000"/>
                <w:sz w:val="20"/>
                <w:szCs w:val="20"/>
              </w:rPr>
              <w:t xml:space="preserve"> F</w:t>
            </w:r>
            <w:r>
              <w:rPr>
                <w:rFonts w:ascii="Arial" w:eastAsia="Arial" w:hAnsi="Arial" w:cs="Arial"/>
                <w:color w:val="000000"/>
                <w:sz w:val="20"/>
                <w:szCs w:val="20"/>
              </w:rPr>
              <w:t>ramework</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F85CDE2"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385761"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FC0070" w14:paraId="4E0C531F" w14:textId="77777777" w:rsidTr="00E27BEB">
        <w:trPr>
          <w:jc w:val="center"/>
        </w:trPr>
        <w:tc>
          <w:tcPr>
            <w:tcW w:w="25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E1902"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none</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23053"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4CEC0"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48.6%</w:t>
            </w:r>
          </w:p>
        </w:tc>
      </w:tr>
      <w:tr w:rsidR="00FC0070" w14:paraId="192D123D" w14:textId="77777777" w:rsidTr="00E27BEB">
        <w:trPr>
          <w:jc w:val="center"/>
        </w:trPr>
        <w:tc>
          <w:tcPr>
            <w:tcW w:w="2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DAF04"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dsm</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015BA"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E6247"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35.1%</w:t>
            </w:r>
          </w:p>
        </w:tc>
      </w:tr>
      <w:tr w:rsidR="00FC0070" w14:paraId="6AAD1542" w14:textId="77777777" w:rsidTr="00E27BEB">
        <w:trPr>
          <w:jc w:val="center"/>
        </w:trPr>
        <w:tc>
          <w:tcPr>
            <w:tcW w:w="2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17CD5"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other</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EECF1"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4B33E"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10.8%</w:t>
            </w:r>
          </w:p>
        </w:tc>
      </w:tr>
      <w:tr w:rsidR="00FC0070" w14:paraId="12EEF2C6" w14:textId="77777777" w:rsidTr="00E27BEB">
        <w:trPr>
          <w:jc w:val="center"/>
        </w:trPr>
        <w:tc>
          <w:tcPr>
            <w:tcW w:w="2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5669D"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icd</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E3C27"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6509B"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5.4%</w:t>
            </w:r>
          </w:p>
        </w:tc>
      </w:tr>
      <w:tr w:rsidR="00FC0070" w14:paraId="23458FDC" w14:textId="77777777" w:rsidTr="00E27BEB">
        <w:trPr>
          <w:jc w:val="center"/>
        </w:trPr>
        <w:tc>
          <w:tcPr>
            <w:tcW w:w="2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44CB4"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who_definition</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F7DC5"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8A318"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5.4%</w:t>
            </w:r>
          </w:p>
        </w:tc>
      </w:tr>
      <w:tr w:rsidR="00FC0070" w14:paraId="734BB5E1" w14:textId="77777777" w:rsidTr="00E27BEB">
        <w:trPr>
          <w:jc w:val="center"/>
        </w:trPr>
        <w:tc>
          <w:tcPr>
            <w:tcW w:w="25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EACB0FB"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guideline</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20E60A8"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9ECDD7" w14:textId="77777777" w:rsidR="00FC0070" w:rsidRDefault="00FC0070"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r>
    </w:tbl>
    <w:p w14:paraId="45444F9A" w14:textId="77777777" w:rsidR="00FC0070" w:rsidRDefault="00FC0070">
      <w:pPr>
        <w:rPr>
          <w:lang w:val="de-CH"/>
        </w:rPr>
      </w:pPr>
    </w:p>
    <w:p w14:paraId="29D29FA4" w14:textId="296E78C8" w:rsidR="00C0221E" w:rsidRDefault="00C0221E" w:rsidP="00C0221E">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 xml:space="preserve">Table S7 </w:t>
      </w:r>
      <w:r>
        <w:t>Percentage reduction by unit type</w:t>
      </w:r>
    </w:p>
    <w:tbl>
      <w:tblPr>
        <w:tblW w:w="0" w:type="auto"/>
        <w:jc w:val="center"/>
        <w:tblLayout w:type="fixed"/>
        <w:tblLook w:val="0420" w:firstRow="1" w:lastRow="0" w:firstColumn="0" w:lastColumn="0" w:noHBand="0" w:noVBand="1"/>
      </w:tblPr>
      <w:tblGrid>
        <w:gridCol w:w="1878"/>
        <w:gridCol w:w="655"/>
        <w:gridCol w:w="961"/>
        <w:gridCol w:w="961"/>
        <w:gridCol w:w="1132"/>
        <w:gridCol w:w="961"/>
        <w:gridCol w:w="839"/>
        <w:gridCol w:w="839"/>
        <w:gridCol w:w="839"/>
        <w:gridCol w:w="839"/>
      </w:tblGrid>
      <w:tr w:rsidR="00C0221E" w14:paraId="3E353D1B" w14:textId="77777777" w:rsidTr="00E27BEB">
        <w:trPr>
          <w:tblHeader/>
          <w:jc w:val="center"/>
        </w:trPr>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043228F" w14:textId="1CB75588"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Unit type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A918277"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B470A1D"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mean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F5BD02E"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sd</w:t>
            </w:r>
            <w:proofErr w:type="spellEnd"/>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4E3FC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median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4F20260"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iqr</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51D632"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min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593144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max</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67DD902"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q25</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4FB0D2C"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q75</w:t>
            </w:r>
          </w:p>
        </w:tc>
      </w:tr>
      <w:tr w:rsidR="00C0221E" w14:paraId="73A3BE69" w14:textId="77777777" w:rsidTr="00E27BEB">
        <w:trPr>
          <w:jc w:val="center"/>
        </w:trPr>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612C5"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symptom_level</w:t>
            </w:r>
            <w:proofErr w:type="spellEnd"/>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AE0DE"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27</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15B32"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68.38</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46FFF"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18.95</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E95398"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68.75</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8AC6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26.81</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B08D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F1200"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96.7</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2411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56.7</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73CC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83.5</w:t>
            </w:r>
          </w:p>
        </w:tc>
      </w:tr>
      <w:tr w:rsidR="00C0221E" w14:paraId="13C61EB6"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CC8B7"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category_level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CF70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D0288"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92.15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B71071"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7.13</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EB4C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90.95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98464"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8CB5E"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EA33A"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8A5E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89.1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0C9B0"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98.5</w:t>
            </w:r>
          </w:p>
        </w:tc>
      </w:tr>
      <w:tr w:rsidR="00C0221E" w14:paraId="4A13B136"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4E151"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criterion_level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4B8EB"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6D6B4"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88.30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78E3B"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9.28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85B47"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88.30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2979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6.56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DA1A4"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EF61B"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94.9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44872"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C00B4"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91.6</w:t>
            </w:r>
          </w:p>
        </w:tc>
      </w:tr>
      <w:tr w:rsidR="00C0221E" w14:paraId="509A3932" w14:textId="77777777" w:rsidTr="00E27BEB">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24AD1"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item_level</w:t>
            </w:r>
            <w:proofErr w:type="spellEnd"/>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D2AD6"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137C5"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56D36"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B98FF"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92317"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3E288"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61F3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48AC4D"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6D159"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w:t>
            </w:r>
          </w:p>
        </w:tc>
      </w:tr>
      <w:tr w:rsidR="00C0221E" w14:paraId="66A02E85" w14:textId="77777777" w:rsidTr="00E27BEB">
        <w:trPr>
          <w:jc w:val="center"/>
        </w:trPr>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91025D"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semantic_level</w:t>
            </w:r>
            <w:proofErr w:type="spellEnd"/>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148367"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B01C330"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A9C7D3"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63DD1D"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3269E4B"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93675B"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F0EC2A"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A10CDA"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E77024D" w14:textId="77777777" w:rsidR="00C0221E" w:rsidRDefault="00C0221E"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36.6</w:t>
            </w:r>
          </w:p>
        </w:tc>
      </w:tr>
    </w:tbl>
    <w:p w14:paraId="17C2D4A7" w14:textId="77777777"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p>
    <w:p w14:paraId="7561FAFA" w14:textId="1EB76728"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S8 </w:t>
      </w:r>
      <w:r>
        <w:t>Initial</w:t>
      </w:r>
      <w:r>
        <w:t xml:space="preserve"> coding</w:t>
      </w:r>
      <w:r>
        <w:t xml:space="preserve"> team distribution</w:t>
      </w:r>
    </w:p>
    <w:tbl>
      <w:tblPr>
        <w:tblW w:w="0" w:type="auto"/>
        <w:jc w:val="center"/>
        <w:tblLayout w:type="fixed"/>
        <w:tblLook w:val="0420" w:firstRow="1" w:lastRow="0" w:firstColumn="0" w:lastColumn="0" w:noHBand="0" w:noVBand="1"/>
      </w:tblPr>
      <w:tblGrid>
        <w:gridCol w:w="2808"/>
        <w:gridCol w:w="655"/>
        <w:gridCol w:w="1144"/>
      </w:tblGrid>
      <w:tr w:rsidR="00F72C0D" w14:paraId="7F399A04" w14:textId="77777777" w:rsidTr="00E27BEB">
        <w:trPr>
          <w:tblHeader/>
          <w:jc w:val="center"/>
        </w:trPr>
        <w:tc>
          <w:tcPr>
            <w:tcW w:w="28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AE62E3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initial_coding_team_size</w:t>
            </w:r>
            <w:proofErr w:type="spellEnd"/>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B872B39"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921B9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F72C0D" w14:paraId="6812C65C" w14:textId="77777777" w:rsidTr="00E27BEB">
        <w:trPr>
          <w:jc w:val="center"/>
        </w:trPr>
        <w:tc>
          <w:tcPr>
            <w:tcW w:w="28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678B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13E9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A552E"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28.6</w:t>
            </w:r>
          </w:p>
        </w:tc>
      </w:tr>
      <w:tr w:rsidR="00F72C0D" w14:paraId="729A6527" w14:textId="77777777" w:rsidTr="00E27BEB">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0B2F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F0ED1"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8344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50.0</w:t>
            </w:r>
          </w:p>
        </w:tc>
      </w:tr>
      <w:tr w:rsidR="00F72C0D" w14:paraId="28B42631" w14:textId="77777777" w:rsidTr="00E27BEB">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76F7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B400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34D2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10.7</w:t>
            </w:r>
          </w:p>
        </w:tc>
      </w:tr>
      <w:tr w:rsidR="00F72C0D" w14:paraId="46F7CBF6" w14:textId="77777777" w:rsidTr="00E27BEB">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9E8C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44FB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22FFD"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w:t>
            </w:r>
          </w:p>
        </w:tc>
      </w:tr>
      <w:tr w:rsidR="00F72C0D" w14:paraId="4598BC50" w14:textId="77777777" w:rsidTr="00E27BEB">
        <w:trPr>
          <w:jc w:val="center"/>
        </w:trPr>
        <w:tc>
          <w:tcPr>
            <w:tcW w:w="28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B58680C"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99C595D"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1D5026"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w:t>
            </w:r>
          </w:p>
        </w:tc>
      </w:tr>
    </w:tbl>
    <w:p w14:paraId="78A8A1C5" w14:textId="77777777"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p>
    <w:p w14:paraId="56A2BCE6" w14:textId="72BC89B9"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S9 </w:t>
      </w:r>
      <w:r>
        <w:t>Rater team distribution</w:t>
      </w:r>
    </w:p>
    <w:tbl>
      <w:tblPr>
        <w:tblW w:w="0" w:type="auto"/>
        <w:jc w:val="center"/>
        <w:tblLayout w:type="fixed"/>
        <w:tblLook w:val="0420" w:firstRow="1" w:lastRow="0" w:firstColumn="0" w:lastColumn="0" w:noHBand="0" w:noVBand="1"/>
      </w:tblPr>
      <w:tblGrid>
        <w:gridCol w:w="1108"/>
        <w:gridCol w:w="655"/>
        <w:gridCol w:w="1144"/>
      </w:tblGrid>
      <w:tr w:rsidR="00F72C0D" w14:paraId="36BC1C04" w14:textId="77777777" w:rsidTr="00E27BEB">
        <w:trPr>
          <w:tblHeader/>
          <w:jc w:val="center"/>
        </w:trPr>
        <w:tc>
          <w:tcPr>
            <w:tcW w:w="11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35A54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n_rater</w:t>
            </w:r>
            <w:proofErr w:type="spellEnd"/>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111CFC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5D20B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F72C0D" w14:paraId="0C17DD5C" w14:textId="77777777" w:rsidTr="00E27BEB">
        <w:trPr>
          <w:jc w:val="center"/>
        </w:trPr>
        <w:tc>
          <w:tcPr>
            <w:tcW w:w="11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B86A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B91C7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5E7B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w:t>
            </w:r>
          </w:p>
        </w:tc>
      </w:tr>
      <w:tr w:rsidR="00F72C0D" w14:paraId="49E727DB"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3BF8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7853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E93C1"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35.7</w:t>
            </w:r>
          </w:p>
        </w:tc>
      </w:tr>
      <w:tr w:rsidR="00F72C0D" w14:paraId="2EECF8D0"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0E71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EDBE4"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66E9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25.0</w:t>
            </w:r>
          </w:p>
        </w:tc>
      </w:tr>
      <w:tr w:rsidR="00F72C0D" w14:paraId="2DCF2FD4"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1FD55"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08171"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2A48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14.3</w:t>
            </w:r>
          </w:p>
        </w:tc>
      </w:tr>
      <w:tr w:rsidR="00F72C0D" w14:paraId="0ACA5046"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AAEDD"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2F56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D553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w:t>
            </w:r>
          </w:p>
        </w:tc>
      </w:tr>
      <w:tr w:rsidR="00F72C0D" w14:paraId="0F1177A1"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634E2"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77AB5"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B6794"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7.1</w:t>
            </w:r>
          </w:p>
        </w:tc>
      </w:tr>
      <w:tr w:rsidR="00F72C0D" w14:paraId="57A79A0A" w14:textId="77777777" w:rsidTr="00E27BEB">
        <w:trPr>
          <w:jc w:val="center"/>
        </w:trPr>
        <w:tc>
          <w:tcPr>
            <w:tcW w:w="11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70D51"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7</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6AE3F"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78E36"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w:t>
            </w:r>
          </w:p>
        </w:tc>
      </w:tr>
      <w:tr w:rsidR="00F72C0D" w14:paraId="248A9BBB" w14:textId="77777777" w:rsidTr="00E27BEB">
        <w:trPr>
          <w:jc w:val="center"/>
        </w:trPr>
        <w:tc>
          <w:tcPr>
            <w:tcW w:w="11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CD451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4E0DDA0"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A2FB2C"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3.6</w:t>
            </w:r>
          </w:p>
        </w:tc>
      </w:tr>
    </w:tbl>
    <w:p w14:paraId="7485191E" w14:textId="77777777" w:rsidR="00F72C0D" w:rsidRDefault="00F72C0D" w:rsidP="00F72C0D"/>
    <w:p w14:paraId="14B92E20" w14:textId="77777777"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p>
    <w:p w14:paraId="184F793C" w14:textId="389E0AEF" w:rsidR="005B5787" w:rsidRDefault="005B5787" w:rsidP="005B5787">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S10 </w:t>
      </w:r>
      <w:r>
        <w:t>Coding team expansion</w:t>
      </w:r>
    </w:p>
    <w:tbl>
      <w:tblPr>
        <w:tblW w:w="0" w:type="auto"/>
        <w:jc w:val="center"/>
        <w:tblLayout w:type="fixed"/>
        <w:tblLook w:val="0420" w:firstRow="1" w:lastRow="0" w:firstColumn="0" w:lastColumn="0" w:noHBand="0" w:noVBand="1"/>
      </w:tblPr>
      <w:tblGrid>
        <w:gridCol w:w="1377"/>
        <w:gridCol w:w="655"/>
        <w:gridCol w:w="1144"/>
      </w:tblGrid>
      <w:tr w:rsidR="005B5787" w14:paraId="213789CF" w14:textId="77777777" w:rsidTr="00E27BEB">
        <w:trPr>
          <w:tblHeader/>
          <w:jc w:val="center"/>
        </w:trPr>
        <w:tc>
          <w:tcPr>
            <w:tcW w:w="13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BEAB795"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expanded</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6919F3A"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965495"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5B5787" w14:paraId="41A47463" w14:textId="77777777" w:rsidTr="00E27BEB">
        <w:trPr>
          <w:jc w:val="center"/>
        </w:trPr>
        <w:tc>
          <w:tcPr>
            <w:tcW w:w="13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E8E15"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false</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DAB32"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D88C2"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46.4</w:t>
            </w:r>
          </w:p>
        </w:tc>
      </w:tr>
      <w:tr w:rsidR="005B5787" w14:paraId="34F1CDC2" w14:textId="77777777" w:rsidTr="00E27BEB">
        <w:trPr>
          <w:jc w:val="center"/>
        </w:trPr>
        <w:tc>
          <w:tcPr>
            <w:tcW w:w="13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D11C1BF"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true</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D4296AE"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15</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E9B3FF7" w14:textId="77777777" w:rsidR="005B5787" w:rsidRDefault="005B5787"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53.6</w:t>
            </w:r>
          </w:p>
        </w:tc>
      </w:tr>
    </w:tbl>
    <w:p w14:paraId="3AE304B1" w14:textId="77777777" w:rsidR="005B5787" w:rsidRDefault="005B5787"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p>
    <w:p w14:paraId="398121ED" w14:textId="3873E524" w:rsidR="00F72C0D" w:rsidRDefault="00F72C0D" w:rsidP="00F72C0D">
      <w:pPr>
        <w:pStyle w:val="TableCaption"/>
        <w:keepNext/>
        <w:pBdr>
          <w:top w:val="none" w:sz="0" w:space="0" w:color="000000"/>
          <w:left w:val="none" w:sz="0" w:space="0" w:color="000000"/>
          <w:bottom w:val="none" w:sz="0" w:space="0" w:color="000000"/>
          <w:right w:val="none" w:sz="0" w:space="0" w:color="000000"/>
        </w:pBdr>
        <w:spacing w:before="60" w:after="60"/>
        <w:ind w:left="60" w:right="60"/>
      </w:pPr>
      <w:r>
        <w:t>Table S1</w:t>
      </w:r>
      <w:r w:rsidR="005B5787">
        <w:t>1</w:t>
      </w:r>
      <w:r>
        <w:t xml:space="preserve"> </w:t>
      </w:r>
      <w:r>
        <w:t>Additional Coding Descriptives</w:t>
      </w:r>
    </w:p>
    <w:tbl>
      <w:tblPr>
        <w:tblW w:w="0" w:type="auto"/>
        <w:jc w:val="center"/>
        <w:tblLayout w:type="fixed"/>
        <w:tblLook w:val="0420" w:firstRow="1" w:lastRow="0" w:firstColumn="0" w:lastColumn="0" w:noHBand="0" w:noVBand="1"/>
      </w:tblPr>
      <w:tblGrid>
        <w:gridCol w:w="2991"/>
        <w:gridCol w:w="533"/>
        <w:gridCol w:w="1634"/>
        <w:gridCol w:w="1670"/>
      </w:tblGrid>
      <w:tr w:rsidR="00F72C0D" w14:paraId="6B6DA57F" w14:textId="77777777" w:rsidTr="00E27BEB">
        <w:trPr>
          <w:tblHeader/>
          <w:jc w:val="center"/>
        </w:trPr>
        <w:tc>
          <w:tcPr>
            <w:tcW w:w="29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9FF422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Indicator</w:t>
            </w:r>
          </w:p>
        </w:tc>
        <w:tc>
          <w:tcPr>
            <w:tcW w:w="5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09905A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97B3980"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denominator</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759CF2D"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report</w:t>
            </w:r>
          </w:p>
        </w:tc>
      </w:tr>
      <w:tr w:rsidR="00F72C0D" w14:paraId="00372AC9" w14:textId="77777777" w:rsidTr="00E27BEB">
        <w:trPr>
          <w:jc w:val="center"/>
        </w:trPr>
        <w:tc>
          <w:tcPr>
            <w:tcW w:w="29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2E328"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Rater expertise mentioned</w:t>
            </w:r>
          </w:p>
        </w:tc>
        <w:tc>
          <w:tcPr>
            <w:tcW w:w="5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176A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w:t>
            </w:r>
          </w:p>
        </w:tc>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0FD6A"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37</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6C02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8/37 (21.6%)</w:t>
            </w:r>
          </w:p>
        </w:tc>
      </w:tr>
      <w:tr w:rsidR="00F72C0D" w14:paraId="28B8E326" w14:textId="77777777" w:rsidTr="00E27BEB">
        <w:trPr>
          <w:jc w:val="center"/>
        </w:trPr>
        <w:tc>
          <w:tcPr>
            <w:tcW w:w="29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F71097B"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Blinded</w:t>
            </w:r>
          </w:p>
        </w:tc>
        <w:tc>
          <w:tcPr>
            <w:tcW w:w="5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E8590D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511A80C"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37</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68B373" w14:textId="77777777" w:rsidR="00F72C0D" w:rsidRDefault="00F72C0D"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2/37 (5.4%)</w:t>
            </w:r>
          </w:p>
        </w:tc>
      </w:tr>
    </w:tbl>
    <w:p w14:paraId="067B0BD2" w14:textId="77777777" w:rsidR="00F72C0D" w:rsidRDefault="00F72C0D">
      <w:pPr>
        <w:rPr>
          <w:lang w:val="de-CH"/>
        </w:rPr>
      </w:pPr>
    </w:p>
    <w:p w14:paraId="08AAD85E" w14:textId="3479B27C" w:rsidR="00D6138C" w:rsidRDefault="00D6138C" w:rsidP="00D6138C">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S12 </w:t>
      </w:r>
      <w:r>
        <w:t>Software used</w:t>
      </w:r>
    </w:p>
    <w:tbl>
      <w:tblPr>
        <w:tblW w:w="0" w:type="auto"/>
        <w:jc w:val="center"/>
        <w:tblLayout w:type="fixed"/>
        <w:tblLook w:val="0420" w:firstRow="1" w:lastRow="0" w:firstColumn="0" w:lastColumn="0" w:noHBand="0" w:noVBand="1"/>
      </w:tblPr>
      <w:tblGrid>
        <w:gridCol w:w="1817"/>
        <w:gridCol w:w="1474"/>
        <w:gridCol w:w="1976"/>
        <w:gridCol w:w="1169"/>
      </w:tblGrid>
      <w:tr w:rsidR="00D6138C" w14:paraId="53A9D823" w14:textId="77777777" w:rsidTr="00E27BEB">
        <w:trPr>
          <w:tblHeader/>
          <w:jc w:val="center"/>
        </w:trPr>
        <w:tc>
          <w:tcPr>
            <w:tcW w:w="1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D3B3770"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Software used</w:t>
            </w:r>
          </w:p>
        </w:tc>
        <w:tc>
          <w:tcPr>
            <w:tcW w:w="14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3CA7A64"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 (Studies)</w:t>
            </w:r>
          </w:p>
        </w:tc>
        <w:tc>
          <w:tcPr>
            <w:tcW w:w="19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9C5F25F"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Proportion (n/N)</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9EFE827"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D6138C" w14:paraId="401FBF25" w14:textId="77777777" w:rsidTr="00E27BEB">
        <w:trPr>
          <w:jc w:val="center"/>
        </w:trPr>
        <w:tc>
          <w:tcPr>
            <w:tcW w:w="1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5AADB"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R</w:t>
            </w:r>
          </w:p>
        </w:tc>
        <w:tc>
          <w:tcPr>
            <w:tcW w:w="14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85BDD"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w:t>
            </w:r>
          </w:p>
        </w:tc>
        <w:tc>
          <w:tcPr>
            <w:tcW w:w="19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911FE"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25/29</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3F58C"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86.2%</w:t>
            </w:r>
          </w:p>
        </w:tc>
      </w:tr>
      <w:tr w:rsidR="00D6138C" w14:paraId="2E3474C1" w14:textId="77777777" w:rsidTr="00E27BEB">
        <w:trPr>
          <w:jc w:val="center"/>
        </w:trPr>
        <w:tc>
          <w:tcPr>
            <w:tcW w:w="1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4CCA1"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Python</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AFC53"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EF311"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3/29</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F90D7"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10.3%</w:t>
            </w:r>
          </w:p>
        </w:tc>
      </w:tr>
      <w:tr w:rsidR="00D6138C" w14:paraId="1C87F3B6" w14:textId="77777777" w:rsidTr="00E27BEB">
        <w:trPr>
          <w:jc w:val="center"/>
        </w:trPr>
        <w:tc>
          <w:tcPr>
            <w:tcW w:w="1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D6FD220"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No code</w:t>
            </w:r>
          </w:p>
        </w:tc>
        <w:tc>
          <w:tcPr>
            <w:tcW w:w="14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5DCF070"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9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800D838"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1/29</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73CCE3" w14:textId="77777777" w:rsidR="00D6138C" w:rsidRDefault="00D6138C"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3.4%</w:t>
            </w:r>
          </w:p>
        </w:tc>
      </w:tr>
    </w:tbl>
    <w:p w14:paraId="32F5AF7D" w14:textId="77777777" w:rsidR="00D6138C" w:rsidRDefault="00D6138C">
      <w:pPr>
        <w:rPr>
          <w:lang w:val="de-CH"/>
        </w:rPr>
      </w:pPr>
    </w:p>
    <w:p w14:paraId="4E0983C2" w14:textId="2097343F" w:rsidR="00701CF1" w:rsidRDefault="00701CF1" w:rsidP="00701CF1">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S13 </w:t>
      </w:r>
      <w:r>
        <w:t>Summary of Overlap Values</w:t>
      </w:r>
    </w:p>
    <w:tbl>
      <w:tblPr>
        <w:tblW w:w="0" w:type="auto"/>
        <w:jc w:val="center"/>
        <w:tblLayout w:type="fixed"/>
        <w:tblLook w:val="0420" w:firstRow="1" w:lastRow="0" w:firstColumn="0" w:lastColumn="0" w:noHBand="0" w:noVBand="1"/>
      </w:tblPr>
      <w:tblGrid>
        <w:gridCol w:w="2147"/>
        <w:gridCol w:w="655"/>
        <w:gridCol w:w="961"/>
        <w:gridCol w:w="1132"/>
        <w:gridCol w:w="839"/>
        <w:gridCol w:w="839"/>
      </w:tblGrid>
      <w:tr w:rsidR="00701CF1" w14:paraId="7D3587BA" w14:textId="77777777" w:rsidTr="00E27BEB">
        <w:trPr>
          <w:tblHeader/>
          <w:jc w:val="center"/>
        </w:trPr>
        <w:tc>
          <w:tcPr>
            <w:tcW w:w="2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10912D"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metric</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9E542C"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0FFA3F"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mean</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0009B1"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median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580BE18"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min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7095CAF"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max</w:t>
            </w:r>
          </w:p>
        </w:tc>
      </w:tr>
      <w:tr w:rsidR="00701CF1" w14:paraId="131DFE84" w14:textId="77777777" w:rsidTr="00E27BEB">
        <w:trPr>
          <w:jc w:val="center"/>
        </w:trPr>
        <w:tc>
          <w:tcPr>
            <w:tcW w:w="21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A4E8D4"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Mean overlap</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4C30B"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26</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B2F0B"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0.27</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8C616"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0.26</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41507"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0.07</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7A1FB"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0.44</w:t>
            </w:r>
          </w:p>
        </w:tc>
      </w:tr>
      <w:tr w:rsidR="00701CF1" w14:paraId="2994AC75" w14:textId="77777777" w:rsidTr="00E27BEB">
        <w:trPr>
          <w:jc w:val="center"/>
        </w:trPr>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9C9D3"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Minimum overlap</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05C25"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BF5FF"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91512"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A40CA"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43290"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0.30</w:t>
            </w:r>
          </w:p>
        </w:tc>
      </w:tr>
      <w:tr w:rsidR="00701CF1" w14:paraId="42B993B3" w14:textId="77777777" w:rsidTr="00E27BEB">
        <w:trPr>
          <w:jc w:val="center"/>
        </w:trPr>
        <w:tc>
          <w:tcPr>
            <w:tcW w:w="21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A8DECB"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Maximum overlap</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477E6DE"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30</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6E0934F"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0.56</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80348A"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0.50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16C48E7"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35BDA7" w14:textId="77777777" w:rsidR="00701CF1" w:rsidRDefault="00701CF1"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1.00</w:t>
            </w:r>
          </w:p>
        </w:tc>
      </w:tr>
    </w:tbl>
    <w:p w14:paraId="6500D1CC" w14:textId="77777777" w:rsidR="00701CF1" w:rsidRDefault="00701CF1">
      <w:pPr>
        <w:rPr>
          <w:lang w:val="de-CH"/>
        </w:rPr>
      </w:pPr>
    </w:p>
    <w:p w14:paraId="3A83B511" w14:textId="42EF630C" w:rsidR="00E4502F" w:rsidRDefault="00E4502F" w:rsidP="00E4502F">
      <w:pPr>
        <w:pStyle w:val="TableCaption"/>
        <w:keepNext/>
        <w:pBdr>
          <w:top w:val="none" w:sz="0" w:space="0" w:color="000000"/>
          <w:left w:val="none" w:sz="0" w:space="0" w:color="000000"/>
          <w:bottom w:val="none" w:sz="0" w:space="0" w:color="000000"/>
          <w:right w:val="none" w:sz="0" w:space="0" w:color="000000"/>
        </w:pBdr>
        <w:spacing w:before="60" w:after="60"/>
        <w:ind w:left="60" w:right="60"/>
      </w:pPr>
      <w:r>
        <w:t>Table S1</w:t>
      </w:r>
      <w:r w:rsidR="00701CF1">
        <w:t>4</w:t>
      </w:r>
      <w:r>
        <w:t xml:space="preserve"> </w:t>
      </w:r>
      <w:r>
        <w:t>Types of reported length correlations</w:t>
      </w:r>
    </w:p>
    <w:tbl>
      <w:tblPr>
        <w:tblW w:w="0" w:type="auto"/>
        <w:jc w:val="center"/>
        <w:tblLayout w:type="fixed"/>
        <w:tblLook w:val="0420" w:firstRow="1" w:lastRow="0" w:firstColumn="0" w:lastColumn="0" w:noHBand="0" w:noVBand="1"/>
      </w:tblPr>
      <w:tblGrid>
        <w:gridCol w:w="4080"/>
        <w:gridCol w:w="1474"/>
        <w:gridCol w:w="1976"/>
        <w:gridCol w:w="1169"/>
      </w:tblGrid>
      <w:tr w:rsidR="00E4502F" w14:paraId="5DFD947D" w14:textId="77777777" w:rsidTr="00E27BEB">
        <w:trPr>
          <w:tblHeader/>
          <w:jc w:val="center"/>
        </w:trPr>
        <w:tc>
          <w:tcPr>
            <w:tcW w:w="4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9C61C99" w14:textId="5477D4FB"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Type of reported correlation</w:t>
            </w:r>
          </w:p>
        </w:tc>
        <w:tc>
          <w:tcPr>
            <w:tcW w:w="14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440819"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 (Studies)</w:t>
            </w:r>
          </w:p>
        </w:tc>
        <w:tc>
          <w:tcPr>
            <w:tcW w:w="19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CF7A435"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Proportion (n/N)</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36392A5"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E4502F" w14:paraId="156D7EC4" w14:textId="77777777" w:rsidTr="00E27BEB">
        <w:trPr>
          <w:jc w:val="center"/>
        </w:trPr>
        <w:tc>
          <w:tcPr>
            <w:tcW w:w="4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6635D"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positive_numeric</w:t>
            </w:r>
            <w:proofErr w:type="spellEnd"/>
          </w:p>
        </w:tc>
        <w:tc>
          <w:tcPr>
            <w:tcW w:w="14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ECC77"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w:t>
            </w:r>
          </w:p>
        </w:tc>
        <w:tc>
          <w:tcPr>
            <w:tcW w:w="19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6B75E"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9/17</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5453A"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52.9%</w:t>
            </w:r>
          </w:p>
        </w:tc>
      </w:tr>
      <w:tr w:rsidR="00E4502F" w14:paraId="504EBD1B" w14:textId="77777777" w:rsidTr="00E27BEB">
        <w:trPr>
          <w:jc w:val="center"/>
        </w:trPr>
        <w:tc>
          <w:tcPr>
            <w:tcW w:w="4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4DDA0"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positive_text_only</w:t>
            </w:r>
            <w:proofErr w:type="spellEnd"/>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71458"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47046"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3/17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41461"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17.6%</w:t>
            </w:r>
          </w:p>
        </w:tc>
      </w:tr>
      <w:tr w:rsidR="00E4502F" w14:paraId="48890062" w14:textId="77777777" w:rsidTr="00E27BEB">
        <w:trPr>
          <w:jc w:val="center"/>
        </w:trPr>
        <w:tc>
          <w:tcPr>
            <w:tcW w:w="4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995FD"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null_numeric</w:t>
            </w:r>
            <w:proofErr w:type="spellEnd"/>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BFB4E"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4A47F"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768B7"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11.8%</w:t>
            </w:r>
          </w:p>
        </w:tc>
      </w:tr>
      <w:tr w:rsidR="00E4502F" w14:paraId="1E31D253" w14:textId="77777777" w:rsidTr="00E27BEB">
        <w:trPr>
          <w:jc w:val="center"/>
        </w:trPr>
        <w:tc>
          <w:tcPr>
            <w:tcW w:w="4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08984"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other_unclear</w:t>
            </w:r>
            <w:proofErr w:type="spellEnd"/>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86598"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E4D7D"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2/17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F8302"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11.8%</w:t>
            </w:r>
          </w:p>
        </w:tc>
      </w:tr>
      <w:tr w:rsidR="00E4502F" w14:paraId="3560291C" w14:textId="77777777" w:rsidTr="00E27BEB">
        <w:trPr>
          <w:jc w:val="center"/>
        </w:trPr>
        <w:tc>
          <w:tcPr>
            <w:tcW w:w="4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85E7185"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roofErr w:type="spellStart"/>
            <w:r>
              <w:rPr>
                <w:rFonts w:ascii="Arial" w:eastAsia="Arial" w:hAnsi="Arial" w:cs="Arial"/>
                <w:color w:val="000000"/>
                <w:sz w:val="20"/>
                <w:szCs w:val="20"/>
              </w:rPr>
              <w:t>null_text_only</w:t>
            </w:r>
            <w:proofErr w:type="spellEnd"/>
          </w:p>
        </w:tc>
        <w:tc>
          <w:tcPr>
            <w:tcW w:w="14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A36046F"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w:t>
            </w:r>
          </w:p>
        </w:tc>
        <w:tc>
          <w:tcPr>
            <w:tcW w:w="19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54FFBF"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1/17</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8E43209" w14:textId="77777777" w:rsidR="00E4502F" w:rsidRDefault="00E4502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5.9%</w:t>
            </w:r>
          </w:p>
        </w:tc>
      </w:tr>
    </w:tbl>
    <w:p w14:paraId="1510A481" w14:textId="77777777" w:rsidR="00E4502F" w:rsidRDefault="00E4502F">
      <w:pPr>
        <w:rPr>
          <w:lang w:val="de-CH"/>
        </w:rPr>
      </w:pPr>
    </w:p>
    <w:p w14:paraId="145ADE97" w14:textId="0974883A" w:rsidR="00B131EF" w:rsidRDefault="00B131EF" w:rsidP="00B131EF">
      <w:pPr>
        <w:pStyle w:val="TableCaption"/>
        <w:keepNext/>
        <w:pBdr>
          <w:top w:val="none" w:sz="0" w:space="0" w:color="000000"/>
          <w:left w:val="none" w:sz="0" w:space="0" w:color="000000"/>
          <w:bottom w:val="none" w:sz="0" w:space="0" w:color="000000"/>
          <w:right w:val="none" w:sz="0" w:space="0" w:color="000000"/>
        </w:pBdr>
        <w:spacing w:before="60" w:after="60"/>
        <w:ind w:left="60" w:right="60"/>
      </w:pPr>
      <w:r>
        <w:t xml:space="preserve">Table S15 </w:t>
      </w:r>
      <w:r>
        <w:t>How authors described overlap strength</w:t>
      </w:r>
    </w:p>
    <w:tbl>
      <w:tblPr>
        <w:tblW w:w="0" w:type="auto"/>
        <w:jc w:val="center"/>
        <w:tblLayout w:type="fixed"/>
        <w:tblLook w:val="0420" w:firstRow="1" w:lastRow="0" w:firstColumn="0" w:lastColumn="0" w:noHBand="0" w:noVBand="1"/>
      </w:tblPr>
      <w:tblGrid>
        <w:gridCol w:w="2220"/>
        <w:gridCol w:w="1474"/>
        <w:gridCol w:w="1976"/>
        <w:gridCol w:w="1169"/>
      </w:tblGrid>
      <w:tr w:rsidR="00B131EF" w14:paraId="72BAEF17" w14:textId="77777777" w:rsidTr="00E27BEB">
        <w:trPr>
          <w:tblHeader/>
          <w:jc w:val="center"/>
        </w:trPr>
        <w:tc>
          <w:tcPr>
            <w:tcW w:w="22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1A0FAF"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Overlap reported</w:t>
            </w:r>
          </w:p>
        </w:tc>
        <w:tc>
          <w:tcPr>
            <w:tcW w:w="14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BD89BB1"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 (Studies)</w:t>
            </w:r>
          </w:p>
        </w:tc>
        <w:tc>
          <w:tcPr>
            <w:tcW w:w="19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D9BD86"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Proportion (n/N)</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48B0FF"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Percent</w:t>
            </w:r>
          </w:p>
        </w:tc>
      </w:tr>
      <w:tr w:rsidR="00B131EF" w14:paraId="1FACFC10" w14:textId="77777777" w:rsidTr="00E27BEB">
        <w:trPr>
          <w:jc w:val="center"/>
        </w:trPr>
        <w:tc>
          <w:tcPr>
            <w:tcW w:w="22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33800"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Very weak overlap</w:t>
            </w:r>
          </w:p>
        </w:tc>
        <w:tc>
          <w:tcPr>
            <w:tcW w:w="14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8082E"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9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E9EAF"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5/37</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A6E7A"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r w:rsidR="00B131EF" w14:paraId="156B6D0D" w14:textId="77777777" w:rsidTr="00E27BEB">
        <w:trPr>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EBF10"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lastRenderedPageBreak/>
              <w:t>Weak overlap</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4AD11"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0405D"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22/37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20BCC"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59.5%</w:t>
            </w:r>
          </w:p>
        </w:tc>
      </w:tr>
      <w:tr w:rsidR="00B131EF" w14:paraId="63B1BD59" w14:textId="77777777" w:rsidTr="00E27BEB">
        <w:trPr>
          <w:jc w:val="center"/>
        </w:trPr>
        <w:tc>
          <w:tcPr>
            <w:tcW w:w="2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33A54"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Moderate overlap</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1819C"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75F007"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5/37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5F26B"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r w:rsidR="00B131EF" w14:paraId="1B1C8DAE" w14:textId="77777777" w:rsidTr="00E27BEB">
        <w:trPr>
          <w:jc w:val="center"/>
        </w:trPr>
        <w:tc>
          <w:tcPr>
            <w:tcW w:w="22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4B9EE4D"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Not specified</w:t>
            </w:r>
          </w:p>
        </w:tc>
        <w:tc>
          <w:tcPr>
            <w:tcW w:w="14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BF7DA2F"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w:t>
            </w:r>
          </w:p>
        </w:tc>
        <w:tc>
          <w:tcPr>
            <w:tcW w:w="19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E7A3196"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5/37</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0CD32A4" w14:textId="77777777" w:rsidR="00B131EF" w:rsidRDefault="00B131EF" w:rsidP="00E27BE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13.5%</w:t>
            </w:r>
          </w:p>
        </w:tc>
      </w:tr>
    </w:tbl>
    <w:p w14:paraId="292F3D99" w14:textId="77777777" w:rsidR="00B131EF" w:rsidRDefault="00B131EF">
      <w:pPr>
        <w:rPr>
          <w:lang w:val="de-CH"/>
        </w:rPr>
      </w:pPr>
    </w:p>
    <w:p w14:paraId="48991D7D" w14:textId="7C33A0B2" w:rsidR="002608EA" w:rsidRDefault="001A1DB3" w:rsidP="001A1DB3">
      <w:pPr>
        <w:pStyle w:val="TableCaption"/>
      </w:pPr>
      <w:r>
        <w:t>Table S16 Full Reference List for Included Studies</w:t>
      </w:r>
    </w:p>
    <w:tbl>
      <w:tblPr>
        <w:tblW w:w="9047" w:type="dxa"/>
        <w:tblInd w:w="113" w:type="dxa"/>
        <w:tblLook w:val="04A0" w:firstRow="1" w:lastRow="0" w:firstColumn="1" w:lastColumn="0" w:noHBand="0" w:noVBand="1"/>
      </w:tblPr>
      <w:tblGrid>
        <w:gridCol w:w="1727"/>
        <w:gridCol w:w="3230"/>
        <w:gridCol w:w="2090"/>
        <w:gridCol w:w="603"/>
        <w:gridCol w:w="1397"/>
      </w:tblGrid>
      <w:tr w:rsidR="002608EA" w:rsidRPr="002608EA" w14:paraId="536ABA65" w14:textId="77777777" w:rsidTr="008C3829">
        <w:trPr>
          <w:trHeight w:val="288"/>
        </w:trPr>
        <w:tc>
          <w:tcPr>
            <w:tcW w:w="1727" w:type="dxa"/>
            <w:tcBorders>
              <w:bottom w:val="single" w:sz="4" w:space="0" w:color="auto"/>
            </w:tcBorders>
            <w:noWrap/>
            <w:vAlign w:val="center"/>
            <w:hideMark/>
          </w:tcPr>
          <w:p w14:paraId="60175411" w14:textId="77777777" w:rsidR="002608EA" w:rsidRPr="002608EA" w:rsidRDefault="002608EA" w:rsidP="008C3829">
            <w:pPr>
              <w:spacing w:after="0" w:line="240" w:lineRule="auto"/>
              <w:jc w:val="center"/>
              <w:rPr>
                <w:rFonts w:ascii="Aptos Narrow" w:eastAsia="Times New Roman" w:hAnsi="Aptos Narrow" w:cs="Times New Roman"/>
                <w:b/>
                <w:bCs/>
                <w:color w:val="000000"/>
                <w:kern w:val="0"/>
                <w:lang w:val="en-CH" w:eastAsia="en-CH"/>
                <w14:ligatures w14:val="none"/>
              </w:rPr>
            </w:pPr>
            <w:r w:rsidRPr="002608EA">
              <w:rPr>
                <w:rFonts w:ascii="Aptos Narrow" w:eastAsia="Times New Roman" w:hAnsi="Aptos Narrow" w:cs="Times New Roman"/>
                <w:b/>
                <w:bCs/>
                <w:color w:val="000000"/>
                <w:kern w:val="0"/>
                <w:lang w:val="en-CH" w:eastAsia="en-CH"/>
                <w14:ligatures w14:val="none"/>
              </w:rPr>
              <w:t>ID</w:t>
            </w:r>
          </w:p>
        </w:tc>
        <w:tc>
          <w:tcPr>
            <w:tcW w:w="3230" w:type="dxa"/>
            <w:tcBorders>
              <w:bottom w:val="single" w:sz="4" w:space="0" w:color="auto"/>
            </w:tcBorders>
            <w:noWrap/>
            <w:vAlign w:val="center"/>
            <w:hideMark/>
          </w:tcPr>
          <w:p w14:paraId="7A00EECF" w14:textId="77777777" w:rsidR="002608EA" w:rsidRPr="002608EA" w:rsidRDefault="002608EA" w:rsidP="008C3829">
            <w:pPr>
              <w:spacing w:after="0" w:line="240" w:lineRule="auto"/>
              <w:jc w:val="center"/>
              <w:rPr>
                <w:rFonts w:ascii="Aptos Narrow" w:eastAsia="Times New Roman" w:hAnsi="Aptos Narrow" w:cs="Times New Roman"/>
                <w:b/>
                <w:bCs/>
                <w:color w:val="000000"/>
                <w:kern w:val="0"/>
                <w:lang w:val="en-CH" w:eastAsia="en-CH"/>
                <w14:ligatures w14:val="none"/>
              </w:rPr>
            </w:pPr>
            <w:r w:rsidRPr="002608EA">
              <w:rPr>
                <w:rFonts w:ascii="Aptos Narrow" w:eastAsia="Times New Roman" w:hAnsi="Aptos Narrow" w:cs="Times New Roman"/>
                <w:b/>
                <w:bCs/>
                <w:color w:val="000000"/>
                <w:kern w:val="0"/>
                <w:lang w:val="en-CH" w:eastAsia="en-CH"/>
                <w14:ligatures w14:val="none"/>
              </w:rPr>
              <w:t>Short Reference</w:t>
            </w:r>
          </w:p>
        </w:tc>
        <w:tc>
          <w:tcPr>
            <w:tcW w:w="2693" w:type="dxa"/>
            <w:gridSpan w:val="2"/>
            <w:noWrap/>
            <w:vAlign w:val="center"/>
            <w:hideMark/>
          </w:tcPr>
          <w:p w14:paraId="10D664DA" w14:textId="77777777" w:rsidR="002608EA" w:rsidRPr="002608EA" w:rsidRDefault="002608EA" w:rsidP="008C3829">
            <w:pPr>
              <w:spacing w:after="0" w:line="240" w:lineRule="auto"/>
              <w:jc w:val="center"/>
              <w:rPr>
                <w:rFonts w:ascii="Aptos Narrow" w:eastAsia="Times New Roman" w:hAnsi="Aptos Narrow" w:cs="Times New Roman"/>
                <w:b/>
                <w:bCs/>
                <w:color w:val="000000"/>
                <w:kern w:val="0"/>
                <w:lang w:val="en-CH" w:eastAsia="en-CH"/>
                <w14:ligatures w14:val="none"/>
              </w:rPr>
            </w:pPr>
            <w:r w:rsidRPr="002608EA">
              <w:rPr>
                <w:rFonts w:ascii="Aptos Narrow" w:eastAsia="Times New Roman" w:hAnsi="Aptos Narrow" w:cs="Times New Roman"/>
                <w:b/>
                <w:bCs/>
                <w:color w:val="000000"/>
                <w:kern w:val="0"/>
                <w:lang w:val="en-CH" w:eastAsia="en-CH"/>
                <w14:ligatures w14:val="none"/>
              </w:rPr>
              <w:t>Domain</w:t>
            </w:r>
          </w:p>
        </w:tc>
        <w:tc>
          <w:tcPr>
            <w:tcW w:w="1397" w:type="dxa"/>
            <w:tcBorders>
              <w:bottom w:val="single" w:sz="4" w:space="0" w:color="auto"/>
            </w:tcBorders>
            <w:noWrap/>
            <w:vAlign w:val="center"/>
            <w:hideMark/>
          </w:tcPr>
          <w:p w14:paraId="0BE7B72C" w14:textId="77777777" w:rsidR="002608EA" w:rsidRPr="002608EA" w:rsidRDefault="002608EA" w:rsidP="008C3829">
            <w:pPr>
              <w:spacing w:after="0" w:line="240" w:lineRule="auto"/>
              <w:jc w:val="center"/>
              <w:rPr>
                <w:rFonts w:ascii="Aptos Narrow" w:eastAsia="Times New Roman" w:hAnsi="Aptos Narrow" w:cs="Times New Roman"/>
                <w:b/>
                <w:bCs/>
                <w:color w:val="000000"/>
                <w:kern w:val="0"/>
                <w:lang w:val="en-CH" w:eastAsia="en-CH"/>
                <w14:ligatures w14:val="none"/>
              </w:rPr>
            </w:pPr>
            <w:r w:rsidRPr="002608EA">
              <w:rPr>
                <w:rFonts w:ascii="Aptos Narrow" w:eastAsia="Times New Roman" w:hAnsi="Aptos Narrow" w:cs="Times New Roman"/>
                <w:b/>
                <w:bCs/>
                <w:color w:val="000000"/>
                <w:kern w:val="0"/>
                <w:lang w:val="en-CH" w:eastAsia="en-CH"/>
                <w14:ligatures w14:val="none"/>
              </w:rPr>
              <w:t>Number of Scales</w:t>
            </w:r>
          </w:p>
        </w:tc>
      </w:tr>
      <w:tr w:rsidR="002608EA" w:rsidRPr="002608EA" w14:paraId="52D8444F" w14:textId="77777777" w:rsidTr="008C3829">
        <w:trPr>
          <w:trHeight w:val="288"/>
        </w:trPr>
        <w:tc>
          <w:tcPr>
            <w:tcW w:w="1727" w:type="dxa"/>
            <w:tcBorders>
              <w:top w:val="single" w:sz="4" w:space="0" w:color="auto"/>
            </w:tcBorders>
            <w:noWrap/>
            <w:vAlign w:val="bottom"/>
            <w:hideMark/>
          </w:tcPr>
          <w:p w14:paraId="407DA35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Kook2024</w:t>
            </w:r>
          </w:p>
        </w:tc>
        <w:tc>
          <w:tcPr>
            <w:tcW w:w="3230" w:type="dxa"/>
            <w:tcBorders>
              <w:top w:val="single" w:sz="4" w:space="0" w:color="auto"/>
            </w:tcBorders>
            <w:noWrap/>
            <w:vAlign w:val="bottom"/>
            <w:hideMark/>
          </w:tcPr>
          <w:p w14:paraId="2EF0E520" w14:textId="348BB3A6"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{"citationID":"a24gfmn0hc8","properties":{"unsorted":false,"formattedCitation":"(Kook et al., 2024)","plainCitation":"(Kook et al., 2024)","noteIndex":0},"citationItems":[{"id":101,"uris":["http://zotero.org/users/17280223/items/GC975QKG"],"itemData":{"id":101,"type":"article-journal","abstract":"A clear understanding of the item content of psychological assessments is critical but often overlooked. This study describes the content overlap of seven commonly used and psychometrically validated measures of anxiety among children and adolescents. Symptom codes were created for all items across measures and items were sorted by these codes, which all fell into specific symptom categories. We conducted two analyses of all items: a “bottom-up” content categorization approach, which used symptom categories that were developed during this study, and a “top-down” DSM-5 categorization which mapped items onto symptoms of anxiety disorders in the DSM-5. Findings reveal a weak mean overlap across the included measures of youth anxiety. This suggests that the scope of anxiety measures should be carefully considered when designing studies, interpreting research, or assessing youth in clinical practice. Further research is needed to develop and establish a coding scheme for a more objective, comprehensive content analysis.","container-title":"Child Psychiatry &amp; Human Development","DOI":"10.1007/s10578-022-01455-z","ISSN":"1573-3327","issue":"4","language":"en","page":"873–881","title":"A Content Analysis of Self-report Child Anxiety Measures","volume":"55","author":[{"family":"Kook","given":"Minjee"},{"family":"Clinger","given":"Jane W."},{"family":"Lee","given":"Eric"},{"family":"Schneider","given":"Sophie C."},{"family":"Storch","given":"Eric A."},{"family":"Guzick","given":"Andrew G."}],"issued":{"date-parts":[["2024",8]]}}}],"schema":"https://github.com/citation-style-language/schema/raw/master/csl-citation.json"}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(Kook et al., 2024)</w:t>
            </w:r>
            <w:r>
              <w:rPr>
                <w:rFonts w:ascii="Aptos Narrow" w:eastAsia="Times New Roman" w:hAnsi="Aptos Narrow" w:cs="Times New Roman"/>
                <w:color w:val="000000"/>
                <w:kern w:val="0"/>
                <w:lang w:val="en-CH" w:eastAsia="en-CH"/>
                <w14:ligatures w14:val="none"/>
              </w:rPr>
              <w:fldChar w:fldCharType="end"/>
            </w:r>
          </w:p>
        </w:tc>
        <w:tc>
          <w:tcPr>
            <w:tcW w:w="2090" w:type="dxa"/>
            <w:tcBorders>
              <w:top w:val="single" w:sz="4" w:space="0" w:color="auto"/>
            </w:tcBorders>
            <w:noWrap/>
            <w:vAlign w:val="bottom"/>
            <w:hideMark/>
          </w:tcPr>
          <w:p w14:paraId="6A92DB4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Anxiety</w:t>
            </w:r>
          </w:p>
        </w:tc>
        <w:tc>
          <w:tcPr>
            <w:tcW w:w="2000" w:type="dxa"/>
            <w:gridSpan w:val="2"/>
            <w:tcBorders>
              <w:top w:val="single" w:sz="4" w:space="0" w:color="auto"/>
            </w:tcBorders>
            <w:noWrap/>
            <w:vAlign w:val="bottom"/>
            <w:hideMark/>
          </w:tcPr>
          <w:p w14:paraId="1EF25CA1"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7695B951" w14:textId="77777777" w:rsidTr="008C3829">
        <w:trPr>
          <w:trHeight w:val="288"/>
        </w:trPr>
        <w:tc>
          <w:tcPr>
            <w:tcW w:w="1727" w:type="dxa"/>
            <w:noWrap/>
            <w:vAlign w:val="bottom"/>
            <w:hideMark/>
          </w:tcPr>
          <w:p w14:paraId="4DC170E7"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Vilar2022</w:t>
            </w:r>
          </w:p>
        </w:tc>
        <w:tc>
          <w:tcPr>
            <w:tcW w:w="3230" w:type="dxa"/>
            <w:noWrap/>
            <w:vAlign w:val="bottom"/>
            <w:hideMark/>
          </w:tcPr>
          <w:p w14:paraId="11151E78" w14:textId="48D1A176"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{"citationID":"a3m7fo33sa","properties":{"unsorted":false,"formattedCitation":"(Vilar et al., 2022)","plainCitation":"(Vilar et al., 2022)","noteIndex":0},"citationItems":[{"id":41,"uris":["http://zotero.org/users/17280223/items/7WTA9YZ3"],"itemData":{"id":41,"type":"article-journal","abstract":"Identifying major depression in children and adolescents is more challenging than in adults. Questionnaires are often used for screening or guiding clinical assessment. Several instruments of different lengths are used as equivalent measures in diagnostic decisions. In this paper, we explore to what extent 18 commonly used depression scales for children and adolescents explore depression clinical symptoms as established by standard DSM-5 diagnosis criteria. We analyzed scale content adequacy by examining the overlap between scale contents and consensus clinical symptoms, the diagnostic time frame for active symptom assessment, and readability for the target age group. The 18 scales encompassed 52 distinct symptoms. These scales included just 50% of clinical symptoms required for diagnosis. The content overlap was low; on average, 29% of symptoms coincide across scales. Half of the scales did not use the standard period for active symptom appraisal, and some did not include a period for assessment. The reading levels on six scales were inappropriate for the scale’s target population age group. The substantial heterogeneity in defining the depressive syndrome, the low overlap among scales, different periods of a positive diagnosis, and mismatch of reading competence for detecting may lead to heterogeneity in clinical diagnoses when using different scales. Improving the content of self-report in terms of homogeneity of diagnostic criteria would lead to better diagnostic decisions and patient management.","container-title":"European Child &amp; Adolescent Psychiatry","DOI":"10.1007/s00787-022-02056-w","ISSN":"1435-165X","language":"en","title":"Content agreement of depressive symptomatology in children and adolescents: a review of eighteen self-report questionnaires","title-short":"Content agreement of depressive symptomatology in children and adolescents","URL":"https://doi.org/10.1007/s00787-022-02056-w","author":[{"family":"Vilar","given":"Ana"},{"family":"Sánchez-Martínez","given":"Néstor"},{"family":"Blasco","given":"Maria Jesús"},{"family":"Álvarez-Salazar","given":"Samantha"},{"family":"Batlle Vila","given":"Santiago"},{"family":"G. Forero","given":"Carlos"}],"accessed":{"date-parts":[["2023",8,30]]},"issued":{"date-parts":[["2022",8]]}}}],"schema":"https://github.com/citation-style-language/schema/raw/master/csl-citation.json"}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(Vilar et al.,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723E9F2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Depression</w:t>
            </w:r>
          </w:p>
        </w:tc>
        <w:tc>
          <w:tcPr>
            <w:tcW w:w="2000" w:type="dxa"/>
            <w:gridSpan w:val="2"/>
            <w:noWrap/>
            <w:vAlign w:val="bottom"/>
            <w:hideMark/>
          </w:tcPr>
          <w:p w14:paraId="676DB3C0"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18</w:t>
            </w:r>
          </w:p>
        </w:tc>
      </w:tr>
      <w:tr w:rsidR="002608EA" w:rsidRPr="002608EA" w14:paraId="51BD6968" w14:textId="77777777" w:rsidTr="008C3829">
        <w:trPr>
          <w:trHeight w:val="288"/>
        </w:trPr>
        <w:tc>
          <w:tcPr>
            <w:tcW w:w="1727" w:type="dxa"/>
            <w:noWrap/>
            <w:vAlign w:val="bottom"/>
            <w:hideMark/>
          </w:tcPr>
          <w:p w14:paraId="68F3603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Chrobak2018</w:t>
            </w:r>
          </w:p>
        </w:tc>
        <w:tc>
          <w:tcPr>
            <w:tcW w:w="3230" w:type="dxa"/>
            <w:noWrap/>
            <w:vAlign w:val="bottom"/>
            <w:hideMark/>
          </w:tcPr>
          <w:p w14:paraId="5BBE3D19" w14:textId="69D1D002"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{"citationID":"a2ktts5nt4j","properties":{"unsorted":false,"formattedCitation":"(Chrobak et al., 2018)","plainCitation":"(Chrobak et al., 2018)","noteIndex":0},"citationItems":[{"id":23,"uris":["http://zotero.org/users/17280223/items/2DF6ZX8I"],"itemData":{"id":23,"type":"article-journal","abstract":"Objectives Fried () quantified the overlap of items among seven widely used depression rating scales. The analysis revealed substantial heterogeneity of the depressive syndromes and a low overlap among the scales. To our best knowledge, there are no studies evaluating the content overlap of (hypo)mania scales. The goal of our study, therefore, is to quantify the overlap of items among seven widely used (hypo)manic scales, implementing the methodology developed by Fried (). Methods Seven commonly used (hypo)manic scales underwent content analysis. Symptom overlap was evaluated with the use of the Jaccard index (0 = no overlap, 1 = full overlap). In case of every scale, rates of idiosyncratic symptoms and rates of specific versus compound symptoms were calculated. Results The seven scales gathered 64 hypo(manic) symptoms. The mean overlap among all of the instruments was low (0.35), the mean overlap of each scale with all others ranged from 0.29% to 0.48%, and the overlap among individual scales ranged from 0.20% to 0.65. Thirty-six percent of symptoms appeared only on one scale. Only 6% of the symptoms appeared on all of the instruments. Conclusions We have shown that using (hypo)manic scales as interchangeable measurements may be problematic.","container-title":"International Journal of Methods in Psychiatric Research","DOI":"10.1002/mpr.1737","ISSN":"1557-0657","issue":"3","language":"en","license":"© 2018 John Wiley &amp; Sons, Ltd.","page":"e1737","title":"Content overlap analysis of 64 (hypo)mania symptoms among seven common rating scales","volume":"27","author":[{"family":"Chrobak","given":"Adrian A."},{"family":"Siwek","given":"Marcin"},{"family":"Dudek","given":"Dominika"},{"family":"Rybakowski","given":"Janusz K."}],"issued":{"date-parts":[["2018"]]}}}],"schema":"https://github.com/citation-style-language/schema/raw/master/csl-citation.json"}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(Chrobak et al., 2018)</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2C3AC73E"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Hypomania</w:t>
            </w:r>
          </w:p>
        </w:tc>
        <w:tc>
          <w:tcPr>
            <w:tcW w:w="2000" w:type="dxa"/>
            <w:gridSpan w:val="2"/>
            <w:noWrap/>
            <w:vAlign w:val="bottom"/>
            <w:hideMark/>
          </w:tcPr>
          <w:p w14:paraId="65FA6339"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2FF2DF4F" w14:textId="77777777" w:rsidTr="008C3829">
        <w:trPr>
          <w:trHeight w:val="288"/>
        </w:trPr>
        <w:tc>
          <w:tcPr>
            <w:tcW w:w="1727" w:type="dxa"/>
            <w:noWrap/>
            <w:vAlign w:val="bottom"/>
            <w:hideMark/>
          </w:tcPr>
          <w:p w14:paraId="6A81A39B"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Visontay2019</w:t>
            </w:r>
          </w:p>
        </w:tc>
        <w:tc>
          <w:tcPr>
            <w:tcW w:w="3230" w:type="dxa"/>
            <w:noWrap/>
            <w:vAlign w:val="bottom"/>
            <w:hideMark/>
          </w:tcPr>
          <w:p w14:paraId="0A6E4F92" w14:textId="14DDEB40"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{"citationID":"a1sgv1sv4rq","properties":{"unsorted":false,"formattedCitation":"(Visontay et al., 2019)","plainCitation":"(Visontay et al., 2019)","noteIndex":0},"citationItems":[{"id":32,"uris":["http://zotero.org/users/17280223/items/GGU4JGVQ"],"itemData":{"id":32,"type":"article-journal","abstract":"Assessing obsessive compulsive disorder (OCD) in paediatric populations is complex, and a number of scales have been developed or validated for this purpose. As is the case with instruments measuring other mental health disorders, it is often assumed that youth OCD scales assess the same construct and can be used interchangeably. However, the extent to which this is true is unknown. One way to assess this – beyond calculating convergent validity – is to measure the extent of content overlap between scales. In the current paper, we apply a recently-developed method of content overlap analysis to a set of freely-available, self-report instruments for OCD measurement that were developed for or validated in paediatric populations. We found a high level of heterogeneity among scales purportedly assessing the same construct. Implications for clinical practice and research are discussed, as well as what further research is required.","container-title":"Journal of Obsessive-Compulsive and Related Disorders","DOI":"10.1016/j.jocrd.2018.10.005","ISSN":"2211-3649","page":"6–12","title":"Content overlap between youth OCD scales: Heterogeneity among symptoms probed and implications","title-short":"Content overlap between youth OCD scales","volume":"21","author":[{"family":"Visontay","given":"Rachel"},{"family":"Sunderland","given":"Matthew"},{"family":"Grisham","given":"Jessica"},{"family":"Slade","given":"Tim"}],"issued":{"date-parts":[["2019",4]]}}}],"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(Visontay et al., 2019)</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4EF5AD9"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Obsessive Compulsive Disorder</w:t>
            </w:r>
          </w:p>
        </w:tc>
        <w:tc>
          <w:tcPr>
            <w:tcW w:w="2000" w:type="dxa"/>
            <w:gridSpan w:val="2"/>
            <w:noWrap/>
            <w:vAlign w:val="bottom"/>
            <w:hideMark/>
          </w:tcPr>
          <w:p w14:paraId="2D7D0343"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646F0D78" w14:textId="77777777" w:rsidTr="008C3829">
        <w:trPr>
          <w:trHeight w:val="288"/>
        </w:trPr>
        <w:tc>
          <w:tcPr>
            <w:tcW w:w="1727" w:type="dxa"/>
            <w:noWrap/>
            <w:vAlign w:val="bottom"/>
            <w:hideMark/>
          </w:tcPr>
          <w:p w14:paraId="136D957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Hendriks2020</w:t>
            </w:r>
          </w:p>
        </w:tc>
        <w:tc>
          <w:tcPr>
            <w:tcW w:w="3230" w:type="dxa"/>
            <w:noWrap/>
            <w:vAlign w:val="bottom"/>
            <w:hideMark/>
          </w:tcPr>
          <w:p w14:paraId="6E0CDAA9" w14:textId="7595C891"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{"citationID":"a27uhmr0cm1","properties":{"unsorted":false,"formattedCitation":"(Hendriks et al., 2020)","plainCitation":"(Hendriks et al., 2020)","noteIndex":0},"citationItems":[{"id":2,"uris":["http://zotero.org/users/17280223/items/YNWWAMA9"],"itemData":{"id":2,"type":"article-journal","abstract":"Background Given the role of childhood aggressive behavior (AGG) in everyday child development, precise and accurate measurement is critical in clinical practice and research. This study aims to quantify agreement among widely used measures of childhood AGG regarding item content, clinical concordance, correlation, and underlying genetic construct. Methods We analyzed data from 1254 Dutch twin pairs (age 8–10 years, 51.1% boys) from a general population sample for whom both parents completed the A-TAC, CBCL, and SDQ at the same occasion. Results There was substantial variation in item content among AGG measures, ranging from .00 (i.e., mutually exclusive) to .50 (moderate agreement). Clinical concordance (i.e., do the same children score above a clinical threshold among AGG measures) was very weak to moderate with estimates ranging between .01 and .43 for mother-reports and between .12 and .42 for father-reports. Correlations among scales were weak to strong, ranging from .32 to .70 for mother-reports and from .32 to .64 for father-reports. We found weak to very strong genetic correlations among the measures, with estimates between .65 and .84 for mother-reports and between .30 and .87 for father-reports. Conclusions Our results demonstrated that degree of agreement between measures of AGG depends on the type (i.e., item content, clinical concordance, correlation, genetic correlation) of agreement considered. Because agreement was higher for correlations compared to clinical concordance (i.e., above or below a clinical cutoff), we propose the use of continuous scores to assess AGG, especially for combining data with different measures. Although item content can be different and agreement among observed measures may not be high, the genetic correlations indicate that the underlying genetic liability for childhood AGG is consistent across measures.","container-title":"Journal of Child Psychology and Psychiatry","DOI":"10.1111/jcpp.13218","ISSN":"1469-7610","issue":"12","language":"en","license":"© 2020 The Authors. Journal of Child Psychology and Psychiatry published by John Wiley &amp; Sons Ltd on behalf of Association for Child and Adolescent Mental Health.","page":"1328–1338","title":"Content, diagnostic, correlational, and genetic similarities between common measures of childhood aggressive behaviors and related psychiatric traits","volume":"61","author":[{"family":"Hendriks","given":"Anne M."},{"family":"Ip","given":"Hill F."},{"family":"Nivard","given":"Michel G."},{"family":"Finkenauer","given":"Catrin"},{"family":"Van Beijsterveldt","given":"Catharina E.M."},{"family":"Bartels","given":"Meike"},{"family":"Boomsma","given":"Dorret I."}],"issued":{"date-parts":[["2020"]]}}}],"schema":"https://github.com/citation-style-language/schema/raw/master/csl-citation.json"}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(Hendriks et al., 2020)</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7E2D8811"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 xml:space="preserve">Childhood aggressive </w:t>
            </w:r>
            <w:proofErr w:type="spellStart"/>
            <w:r w:rsidRPr="002608EA">
              <w:rPr>
                <w:rFonts w:ascii="Aptos Narrow" w:eastAsia="Times New Roman" w:hAnsi="Aptos Narrow" w:cs="Times New Roman"/>
                <w:color w:val="000000"/>
                <w:kern w:val="0"/>
                <w:lang w:val="en-CH" w:eastAsia="en-CH"/>
                <w14:ligatures w14:val="none"/>
              </w:rPr>
              <w:t>behaviors</w:t>
            </w:r>
            <w:proofErr w:type="spellEnd"/>
          </w:p>
        </w:tc>
        <w:tc>
          <w:tcPr>
            <w:tcW w:w="2000" w:type="dxa"/>
            <w:gridSpan w:val="2"/>
            <w:noWrap/>
            <w:vAlign w:val="bottom"/>
            <w:hideMark/>
          </w:tcPr>
          <w:p w14:paraId="33C9EBFD"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3</w:t>
            </w:r>
          </w:p>
        </w:tc>
      </w:tr>
      <w:tr w:rsidR="002608EA" w:rsidRPr="002608EA" w14:paraId="02D1E754" w14:textId="77777777" w:rsidTr="008C3829">
        <w:trPr>
          <w:trHeight w:val="288"/>
        </w:trPr>
        <w:tc>
          <w:tcPr>
            <w:tcW w:w="1727" w:type="dxa"/>
            <w:noWrap/>
            <w:vAlign w:val="bottom"/>
            <w:hideMark/>
          </w:tcPr>
          <w:p w14:paraId="13649627"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Castro2023</w:t>
            </w:r>
          </w:p>
        </w:tc>
        <w:tc>
          <w:tcPr>
            <w:tcW w:w="3230" w:type="dxa"/>
            <w:noWrap/>
            <w:vAlign w:val="bottom"/>
            <w:hideMark/>
          </w:tcPr>
          <w:p w14:paraId="14E11CAE" w14:textId="75C5BF8B"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{"citationID":"a10a2d655g7","properties":{"unsorted":false,"formattedCitation":"(Castro et al., 2023)","plainCitation":"(Castro et al., 2023)","noteIndex":0},"citationItems":[{"id":12,"uris":["http://zotero.org/users/17280223/items/HYU22Q6L"],"itemData":{"id":12,"type":"article-journal","abstract":"Clear operational definitions of constructs are necessary to ensure that research findings are meaningful and interpretable. In the field of aphasiology, aphasia is often defined to the effect of “aphasia is an acquired language disorder often due to brain injury that affects expressive and receptive language.” To contribute to our understanding of the construct of aphasia, we conducted a content analysis of six diagnostic aphasia tests: the Minnesota Test for the Differential Diagnosis of Aphasia, the Porch Index of Communicative Ability, the Boston Diagnostic Aphasia Examination, the Western Aphasia Battery, the Comprehensive Aphasia Test, and the Quick Aphasia Battery. These chosen tests have historical prominence, with several in regular clinical and research use today. We hypothesized that the content of the aphasia tests should be very similar since they all purport to identify and characterize (if present) aphasia, with recognition that there may be some subtle differences in test content stemming in large part to epistemological differences in the test makers’ views of aphasia. Instead, we found predominantly weak Jaccard indices, a similarity correlation coefficient, between test targets. Only five test targets were found in all six aphasia tests: auditory comprehension of words and sentences, repetition of words, confrontation naming of nouns, and reading comprehension of words. The qualitative and quantitative results suggest that the content across aphasia tests may be more disparate than expected. We conclude by discussing the implication of our results for the field, including the importance of updating, if necessary, the operational definition of aphasia through conversation with a broad audience of interested and affected people.","container-title":"Cortex","DOI":"10.1016/j.cortex.2023.05.005","ISSN":"0010-9452","page":"19–32","title":"Defining aphasia: Content analysis of six aphasia diagnostic batteries","title-short":"Defining aphasia","volume":"166","author":[{"family":"Castro","given":"Nichol"},{"family":"Hula","given":"William D."},{"family":"Ashaie","given":"Sameer A."}],"issued":{"date-parts":[["2023",9]]}}}],"schema":"https://github.com/citation-style-language/schema/raw/master/csl-citation.json"}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(Castro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B15EFC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Aphasia</w:t>
            </w:r>
          </w:p>
        </w:tc>
        <w:tc>
          <w:tcPr>
            <w:tcW w:w="2000" w:type="dxa"/>
            <w:gridSpan w:val="2"/>
            <w:noWrap/>
            <w:vAlign w:val="bottom"/>
            <w:hideMark/>
          </w:tcPr>
          <w:p w14:paraId="339C00A7"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6</w:t>
            </w:r>
          </w:p>
        </w:tc>
      </w:tr>
      <w:tr w:rsidR="002608EA" w:rsidRPr="002608EA" w14:paraId="2FAF0A47" w14:textId="77777777" w:rsidTr="008C3829">
        <w:trPr>
          <w:trHeight w:val="288"/>
        </w:trPr>
        <w:tc>
          <w:tcPr>
            <w:tcW w:w="1727" w:type="dxa"/>
            <w:noWrap/>
            <w:vAlign w:val="bottom"/>
            <w:hideMark/>
          </w:tcPr>
          <w:p w14:paraId="49A44121"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Backhaus2022</w:t>
            </w:r>
          </w:p>
        </w:tc>
        <w:tc>
          <w:tcPr>
            <w:tcW w:w="3230" w:type="dxa"/>
            <w:noWrap/>
            <w:vAlign w:val="bottom"/>
            <w:hideMark/>
          </w:tcPr>
          <w:p w14:paraId="3D6370FF" w14:textId="133ADD12"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{"citationID":"a1454dh6b7l","properties":{"unsorted":false,"formattedCitation":"(Backhaus et al., 2022)","plainCitation":"(Backhaus et al., 2022)","noteIndex":0},"citationItems":[{"id":64,"uris":["http://zotero.org/users/17280223/items/AU46M44Z"],"itemData":{"id":64,"type":"article-journal","abstract":"Child maltreatment and harsh parenting both include harmful actions by parents toward children that are physical (e.g., spanking, slapping) or emotional (e.g., threatening, yelling). The distinction between these two constructs, in meaning and measurement, is often unclear, leading to inconsistent research and policy. This study systematically identified, reviewed, and compared parent-reported child maltreatment (N = 7) and harsh parenting (N = 18) instruments. The overlap in parenting behaviors was 73%. All physical behaviors that were measured in harsh parenting instruments (e.g., spanking, beating up) were also measured in child maltreatment instruments. Unique physical behaviors measured in maltreatment instruments include twisting body parts and choking. All emotional behaviors in maltreatment instruments were included in harsh parenting instruments, and vice versa. Our findings suggest similar, but not identical, operationalizations of child maltreatment and harsh parenting. Our findings can help guide discussions on definitions, operationalizations, and their consequences for research on violence against children.","container-title":"Trauma, Violence, &amp; Abuse","DOI":"10.1177/15248380221134290","ISSN":"1524-8380","language":"en","page":"15248380221134290","title":"Different Instruments, Same Content? A Systematic Comparison of Child Maltreatment and Harsh Parenting Instruments","title-short":"Different Instruments, Same Content?","author":[{"family":"Backhaus","given":"Sophia"},{"family":"Leijten","given":"Patty"},{"family":"Meinck","given":"Franziska"},{"family":"Gardner","given":"Frances"}],"issued":{"date-parts":[["2022",11]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(Backhaus et al.,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2AF2C798"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child maltreatment + harsh parenting</w:t>
            </w:r>
          </w:p>
        </w:tc>
        <w:tc>
          <w:tcPr>
            <w:tcW w:w="2000" w:type="dxa"/>
            <w:gridSpan w:val="2"/>
            <w:noWrap/>
            <w:vAlign w:val="bottom"/>
            <w:hideMark/>
          </w:tcPr>
          <w:p w14:paraId="3EDFEDB5"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25</w:t>
            </w:r>
          </w:p>
        </w:tc>
      </w:tr>
      <w:tr w:rsidR="002608EA" w:rsidRPr="002608EA" w14:paraId="6B10C91B" w14:textId="77777777" w:rsidTr="008C3829">
        <w:trPr>
          <w:trHeight w:val="288"/>
        </w:trPr>
        <w:tc>
          <w:tcPr>
            <w:tcW w:w="1727" w:type="dxa"/>
            <w:noWrap/>
            <w:vAlign w:val="bottom"/>
            <w:hideMark/>
          </w:tcPr>
          <w:p w14:paraId="692A113E"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Ong2023</w:t>
            </w:r>
          </w:p>
        </w:tc>
        <w:tc>
          <w:tcPr>
            <w:tcW w:w="3230" w:type="dxa"/>
            <w:noWrap/>
            <w:vAlign w:val="bottom"/>
            <w:hideMark/>
          </w:tcPr>
          <w:p w14:paraId="0DE4745B" w14:textId="0D81CC1E"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{"citationID":"a1matsd76lb","properties":{"unsorted":false,"formattedCitation":"(Ong et al., 2023)","plainCitation":"(Ong et al., 2023)","noteIndex":0},"citationItems":[{"id":92,"uris":["http://zotero.org/users/17280223/items/7NL66DXC"],"itemData":{"id":92,"type":"document","abstract":"Psychological inflexibility and flexibility are central to the model of acceptance and commitment therapy (ACT). As such, it is critical to assess these constructs accurately and reliably to provide robust tests of ACT theory. One measurement aspect to consider is the content covered by scales purported to assess the same construct. The present study provides a description of content included in nine psychological flexibility and inflexibility scales and evaluates the degree of content overlap across scales using the Jaccard Index. Overall, we found that the scales overwhelmingly focused on internal experiences (78.5% of items), with the most common type being emotions/feelings (41.1%) and thoughts (28.2%). In addition, the Jaccard Index indicated very weak overlap with respect to item content, suggesting that the constructs of psychological flexibility and inflexibility are measured inconsistently, compromising our ability to pool data from different studies. The Comprehensive Assessment of ACT Processes (CompACT) and Multidimensional Psychological Flexibility Inventory (MPFI) had the highest mean overlap scores. Despite broad consensus, the lack of overlap when considering precise categories and item content underscores the need to clarify definitions of psychological flexibility and inflexibility for measurement and practice greater transparency when reporting on study measures.","DOI":"10.31234/osf.io/wur26","language":"en","license":"https://creativecommons.org/licenses/by/4.0/legalcode","title":"Examining Item Content Across Nine Psychological (In)flexibility Scales: What Do They Measure?","title-short":"Examining Item Content Across Nine Psychological (In)flexibility Scales","URL":"https://osf.io/wur26","author":[{"family":"Ong","given":"Clarissa W."},{"family":"Skolnik","given":"Alexa"},{"family":"Johnson","given":"Hannah M"},{"family":"Lee","given":"Eric"}],"accessed":{"date-parts":[["2024",9,30]]},"issued":{"date-parts":[["2023",7]]}}}],"schema":"https://github.com/citation-style-language/schema/raw/master/csl-citation.json"}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(Ong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0509211"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Psychological Flexibility</w:t>
            </w:r>
          </w:p>
        </w:tc>
        <w:tc>
          <w:tcPr>
            <w:tcW w:w="2000" w:type="dxa"/>
            <w:gridSpan w:val="2"/>
            <w:noWrap/>
            <w:vAlign w:val="bottom"/>
            <w:hideMark/>
          </w:tcPr>
          <w:p w14:paraId="7E0042D4"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9</w:t>
            </w:r>
          </w:p>
        </w:tc>
      </w:tr>
      <w:tr w:rsidR="002608EA" w:rsidRPr="002608EA" w14:paraId="45482CF6" w14:textId="77777777" w:rsidTr="008C3829">
        <w:trPr>
          <w:trHeight w:val="288"/>
        </w:trPr>
        <w:tc>
          <w:tcPr>
            <w:tcW w:w="1727" w:type="dxa"/>
            <w:noWrap/>
            <w:vAlign w:val="bottom"/>
            <w:hideMark/>
          </w:tcPr>
          <w:p w14:paraId="7E00080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Martin2022</w:t>
            </w:r>
          </w:p>
        </w:tc>
        <w:tc>
          <w:tcPr>
            <w:tcW w:w="3230" w:type="dxa"/>
            <w:noWrap/>
            <w:vAlign w:val="bottom"/>
            <w:hideMark/>
          </w:tcPr>
          <w:p w14:paraId="6240815B" w14:textId="22691CF1"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{"citationID":"a1rklprm9ea","properties":{"unsorted":false,"formattedCitation":"(Martin et al., 2022)","plainCitation":"(Martin et al., 2022)","noteIndex":0},"citationItems":[{"id":45,"uris":["http://zotero.org/users/17280223/items/2CLA6YPN"],"itemData":{"id":45,"type":"article-journal","abstract":"Objective To evaluate empirically the degree of content overlap between four self-report measures of fear of childbirth (FoC) identified as ‘best in class’ by a recent review.Background FoC and tokophobia is an area of increasing clinical concern and has been linked to poor maternal and neonatal outcomes. Clinical pathways have been established to improve care and interventions for FoC however, ambiguity and inconsistency remain regarding the most appropriate assessment measures.Method A multi-rater and consensus content analysis was undertaken to determine the degree of overlap between four ‘best in class’ measures of FoC/tokophobia.Results The Slade-Pais expectations of childbirth scale (SPECS) was found to be the preferred measure in terms of symptom overlap of the tools evaluated, however, the overall level of overlap among these measures was weak.Conclusion Limitations inherent to the current battery of preferred measures of FoC suggests both the desirability and urgency to develop a theoretically-grounded, psychometrically robust and accurate FoC assessment measure. Current measures of FoC are not interchangeable.","container-title":"Journal of Reproductive and Infant Psychology","DOI":"10.1080/02646838.2020.1861226","ISSN":"0264-6838","issue":"4","page":"329–341","PMID":"33350320","title":"Fear of childbirth measurement: appraisal of the content overlap of four instruments","title-short":"Fear of childbirth measurement","volume":"40","author":[{"family":"Martin","given":"Colin"},{"family":"Jones","given":"Catriona"},{"family":"Marshall","given":"Claire A."},{"family":"Huang","given":"Chao"},{"family":"Reeve","given":"Joanne"},{"family":"Fleming","given":"Mick P."},{"family":"König","given":"Julia"},{"family":"Jomeen","given":"Julie"}],"issued":{"date-parts":[["2022",7]]}}}],"schema":"https://github.com/citation-style-language/schema/raw/master/csl-citation.json"}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(Martin et al.,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5FAF5C4B"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Fear of Childbirth</w:t>
            </w:r>
          </w:p>
        </w:tc>
        <w:tc>
          <w:tcPr>
            <w:tcW w:w="2000" w:type="dxa"/>
            <w:gridSpan w:val="2"/>
            <w:noWrap/>
            <w:vAlign w:val="bottom"/>
            <w:hideMark/>
          </w:tcPr>
          <w:p w14:paraId="65749A16"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4</w:t>
            </w:r>
          </w:p>
        </w:tc>
      </w:tr>
      <w:tr w:rsidR="002608EA" w:rsidRPr="002608EA" w14:paraId="694C8EB3" w14:textId="77777777" w:rsidTr="008C3829">
        <w:trPr>
          <w:trHeight w:val="288"/>
        </w:trPr>
        <w:tc>
          <w:tcPr>
            <w:tcW w:w="1727" w:type="dxa"/>
            <w:noWrap/>
            <w:vAlign w:val="bottom"/>
            <w:hideMark/>
          </w:tcPr>
          <w:p w14:paraId="7CF1B39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Peipert2022</w:t>
            </w:r>
          </w:p>
        </w:tc>
        <w:tc>
          <w:tcPr>
            <w:tcW w:w="3230" w:type="dxa"/>
            <w:noWrap/>
            <w:vAlign w:val="bottom"/>
            <w:hideMark/>
          </w:tcPr>
          <w:p w14:paraId="5F832947" w14:textId="6A3D5375"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{"citationID":"a2lqv4lo5gc","properties":{"unsorted":false,"formattedCitation":"(Peipert et al., 2022)","plainCitation":"(Peipert et al., 2022)","noteIndex":0},"citationItems":[{"id":43,"uris":["http://zotero.org/users/17280223/items/NRLW68YE"],"itemData":{"id":43,"type":"report","abstract":"Purpose: Quality of life (QOL) refers broadly to the assessment of well-being, life satisfaction, and psychosocial functioning. Depression, a leading cause of disability worldwide, is associated with lower QOL. However, QOL literature presents varying definitions of the concept with no consensus on the best definition or conceptual model. As measurement-based care initiatives and patient-reported outcomes have become a standard for quality care, the number of QOL assessments has increased. It is unclear how much heterogeneity there is in the measurement of QOL across instruments. The aim of the present study was to quantitatively and qualitatively describe item content overlap among QOL measures commonly used in depression research. Methods: We identified 10 QOL measures from a recent meta-analysis and quantified the degree of item content overlap by calculating the Jaccard Indices across measures, a similarity coefficient for binary data. We coded overlap using two approaches: one defined content overlap as involving any similarly worded items (e.g., “down” and “blue”), and a second defined content overlap as using exactly the same word or root (e.g., “anxiety” and “anxious”). We also employed a mixed methods approach to code all items into broader themes. Results: Both approaches yielded low levels of item content overlap (M1=0.14, SD1=0.12; M2=0.07, SD2=0.08), reflecting substantial heterogeneity among common measures of QOL used in depression. Conclusion: Popular measures of QOL assess very different content, raising the possibility that outcomes may not be reproducible across scales. Future work should explore the relations among content assessed in measures of QOL.","DOI":"10.31234/osf.io/3s6y8","genre":"preprint","language":"en","publisher":"PsyArXiv","title":"Heterogeneity in item content of quality of life assessments used in depression research","URL":"https://osf.io/3s6y8","author":[{"family":"Peipert","given":"Allison"},{"family":"Adams","given":"Sydney"},{"family":"Lorenzo-Luaces","given":"Lorenzo"}],"accessed":{"date-parts":[["2023",8,30]]},"issued":{"date-parts":[["2022",5]]}}}],"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w:t>
            </w:r>
            <w:proofErr w:type="spellStart"/>
            <w:r w:rsidR="001A1DB3" w:rsidRPr="001A1DB3">
              <w:rPr>
                <w:rFonts w:ascii="Aptos Narrow" w:hAnsi="Aptos Narrow" w:cs="Times New Roman"/>
                <w:kern w:val="0"/>
              </w:rPr>
              <w:t>Peipert</w:t>
            </w:r>
            <w:proofErr w:type="spellEnd"/>
            <w:r w:rsidR="001A1DB3" w:rsidRPr="001A1DB3">
              <w:rPr>
                <w:rFonts w:ascii="Aptos Narrow" w:hAnsi="Aptos Narrow" w:cs="Times New Roman"/>
                <w:kern w:val="0"/>
              </w:rPr>
              <w:t xml:space="preserve"> et al.,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5D3740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Quality of Life</w:t>
            </w:r>
          </w:p>
        </w:tc>
        <w:tc>
          <w:tcPr>
            <w:tcW w:w="2000" w:type="dxa"/>
            <w:gridSpan w:val="2"/>
            <w:noWrap/>
            <w:vAlign w:val="bottom"/>
            <w:hideMark/>
          </w:tcPr>
          <w:p w14:paraId="5C169485"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10</w:t>
            </w:r>
          </w:p>
        </w:tc>
      </w:tr>
      <w:tr w:rsidR="002608EA" w:rsidRPr="002608EA" w14:paraId="18EBF8DC" w14:textId="77777777" w:rsidTr="008C3829">
        <w:trPr>
          <w:trHeight w:val="288"/>
        </w:trPr>
        <w:tc>
          <w:tcPr>
            <w:tcW w:w="1727" w:type="dxa"/>
            <w:noWrap/>
            <w:vAlign w:val="bottom"/>
            <w:hideMark/>
          </w:tcPr>
          <w:p w14:paraId="390B67C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Chrobak2021</w:t>
            </w:r>
          </w:p>
        </w:tc>
        <w:tc>
          <w:tcPr>
            <w:tcW w:w="3230" w:type="dxa"/>
            <w:noWrap/>
            <w:vAlign w:val="bottom"/>
            <w:hideMark/>
          </w:tcPr>
          <w:p w14:paraId="059A3091" w14:textId="3366CD18"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{"citationID":"a2kks6t3ep","properties":{"unsorted":false,"formattedCitation":"(Chrobak et al., 2021)","plainCitation":"(Chrobak et al., 2021)","noteIndex":0},"citationItems":[{"id":20,"uris":["http://zotero.org/users/17280223/items/9HLBDSKL"],"itemData":{"id":20,"type":"article-journal","abstract":"Introduction Neurological soft signs (NSS) are described as subtle, non-localizable neurological abnormalities that cannot be related to impairment of a specific brain region or are not believed to be typical for any specific neurological disease. Crucial issue concerning research on NSS are the instruments with which they are assessed, since the results and the conclusions of the studies are mediated by the characteristics of such instruments. There is common, silent and unverified assumption that NSS rating scales may be used as interchangeable measure of the same phenomenon. Aim To investigate the differences in item content and the interchangeability of commonly used NSS scales. Methods A content analysis was carried out to determine symptom overlap among the chosen seven most often used scales using the Jaccard index (0 = no overlap, 1 = full overlap) according to the methodology of Fried 2017. Results 71 NSSs were distinguished from 167 items used in 7 above mentioned instruments. Mean overlap among all scales is low (0.27), overlap among specific scales ranges from 0.1 to 0.5. Conclusions The diversity of NSS in analyzed tools causes the low overlap between scales, leading to uncertainty as to whether they measure the same phenomena. This limits the reproducibility of studies and impedes the possibility of unifying the knowledge stemming from existing data. We argue that the non-localizable nature of NSS is yet to be examined.","container-title":"Journal of Psychiatric Research","DOI":"10.1016/j.jpsychires.2021.04.020","ISSN":"0022-3956","page":"404–412","title":"How soft are neurological soft signs? Content overlap analysis of 71 symptoms among seven most commonly used neurological soft signs scales","title-short":"How soft are neurological soft signs?","volume":"138","author":[{"family":"Chrobak","given":"Adrian Andrzej"},{"family":"Krupa","given":"Anna"},{"family":"Dudek","given":"Dominika"},{"family":"Siwek","given":"Marcin"}],"issued":{"date-parts":[["2021",6]]}}}],"schema":"https://github.com/citation-style-language/schema/raw/master/csl-citation.json"}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(Chrobak et al., 2021)</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745DF47"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Neurological soft signs</w:t>
            </w:r>
          </w:p>
        </w:tc>
        <w:tc>
          <w:tcPr>
            <w:tcW w:w="2000" w:type="dxa"/>
            <w:gridSpan w:val="2"/>
            <w:noWrap/>
            <w:vAlign w:val="bottom"/>
            <w:hideMark/>
          </w:tcPr>
          <w:p w14:paraId="1E936DE7"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3AA49174" w14:textId="77777777" w:rsidTr="008C3829">
        <w:trPr>
          <w:trHeight w:val="288"/>
        </w:trPr>
        <w:tc>
          <w:tcPr>
            <w:tcW w:w="1727" w:type="dxa"/>
            <w:noWrap/>
            <w:vAlign w:val="bottom"/>
            <w:hideMark/>
          </w:tcPr>
          <w:p w14:paraId="2FB6BD68"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Charvet2022</w:t>
            </w:r>
          </w:p>
        </w:tc>
        <w:tc>
          <w:tcPr>
            <w:tcW w:w="3230" w:type="dxa"/>
            <w:noWrap/>
            <w:vAlign w:val="bottom"/>
            <w:hideMark/>
          </w:tcPr>
          <w:p w14:paraId="108CFC13" w14:textId="09F4E591"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{"citationID":"a22198fc9u4","properties":{"unsorted":false,"formattedCitation":"(Charvet et al., 2022)","plainCitation":"(Charvet et al., 2022)","noteIndex":0},"citationItems":[{"id":9,"uris":["http://zotero.org/users/17280223/items/375XZSAT"],"itemData":{"id":9,"type":"article-journal","abstract":"Question Although mental pain is present in many mental disorders and is a predictor of suicide, it is rarely investigated in research or treated in care. A valid tool to measure it is a necessary first step towards better understanding, predicting and ultimately relieving this pain. Study selection and analysis Following the Preferred Reporting Items for Systematic Reviews and Meta-Analyses guidelines, we performed a systematic review to identify all published standardised measures of mental pain. We used qualitative content analysis to evaluate the similarity of each measure, quantified via Jaccard Index scores ranging from no similarity (0) to full similarity (1). Finally, using the Consensus-based Standards for the selection of health Measurement INstruments (COSMIN) methodology, we evaluated each measure’s development (assessing 35 features), its content validity (31 features) and if the latter was rated at least adequate, its other psychometric properties. Findings We identified 10 self-reported scales of mental pain in 2658 screened studies relying on diverse definitions of this construct. The highest average similarity coefficient for any given measure was 0.24, indicative of weak similarity (individual pairwise coefficients from 0 to 0.5). Little to no information was provided regarding the development and the content validity of all 10 scales. Therefore, their development and content validity were rated ‘inadequate’ or ‘doubtful’. Conclusions and clinical implications There is not enough evidence of validity to recommend using one measure over others in research or clinical practice. Heterogeneous use of disparate measures across studies limits comparison and combination of their results in meta-analyses. Development by all stakeholders (especially patients) of a consensual patient-reported measure for mental pain is needed. PROSPERO registration number CRD42021242679.","container-title":"BMJ Ment Health","DOI":"10.1136/ebmental-2021-300350","ISSN":"1362-0347, 2755-9734","issue":"4","language":"en","license":"© Author(s) (or their employer(s)) 2022. No commercial re-use. See rights and permissions. Published by BMJ.","page":"e4–e4","PMID":"35902215","title":"How to measure mental pain: a systematic review assessing measures of mental pain","title-short":"How to measure mental pain","volume":"25","author":[{"family":"Charvet","given":"Camille"},{"family":"Boutron","given":"Isabelle"},{"family":"Morvan","given":"Yannick"},{"family":"Berre","given":"Catherine Le"},{"family":"Touboul","given":"Suzanne"},{"family":"Gaillard","given":"Raphaël"},{"family":"Fried","given":"Eiko"},{"family":"Chevance","given":"Astrid"}],"issued":{"date-parts":[["2022",11]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(Charvet et al.,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BAF2EB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Mental Pain</w:t>
            </w:r>
          </w:p>
        </w:tc>
        <w:tc>
          <w:tcPr>
            <w:tcW w:w="2000" w:type="dxa"/>
            <w:gridSpan w:val="2"/>
            <w:noWrap/>
            <w:vAlign w:val="bottom"/>
            <w:hideMark/>
          </w:tcPr>
          <w:p w14:paraId="5A9FAC5F"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10</w:t>
            </w:r>
          </w:p>
        </w:tc>
      </w:tr>
      <w:tr w:rsidR="002608EA" w:rsidRPr="002608EA" w14:paraId="71926772" w14:textId="77777777" w:rsidTr="008C3829">
        <w:trPr>
          <w:trHeight w:val="288"/>
        </w:trPr>
        <w:tc>
          <w:tcPr>
            <w:tcW w:w="1727" w:type="dxa"/>
            <w:noWrap/>
            <w:vAlign w:val="bottom"/>
            <w:hideMark/>
          </w:tcPr>
          <w:p w14:paraId="566CD9EB"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Ribotta2021</w:t>
            </w:r>
          </w:p>
        </w:tc>
        <w:tc>
          <w:tcPr>
            <w:tcW w:w="3230" w:type="dxa"/>
            <w:noWrap/>
            <w:vAlign w:val="bottom"/>
            <w:hideMark/>
          </w:tcPr>
          <w:p w14:paraId="28F0F0DA" w14:textId="748E6D2F"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{"citationID":"a8jiup948b","properties":{"unsorted":false,"formattedCitation":"(Ribotta et al., 2021)","plainCitation":"(Ribotta et al., 2021)","noteIndex":0},"citationItems":[{"id":56,"uris":["http://zotero.org/users/17280223/items/XNXHGMXB"],"itemData":{"id":56,"type":"document","abstract":"Central to interventions to improve the quality of romantic relationships is its measurement. Yet, to what degree is the concept of relationship quality well-defined, and, importantly, well-measured? In the present article, the authors conducted a comprehensive search of instruments measuring relationship quality in ProQuest, Web of Science, and Scopus finding a total of 599 scales, with 26 meeting our definition of romantic relationship quality. When the authors investigated the 26 scales’ overlap of item-content, they identified 25 distinct categories among 754 items (with our database of items on the OSF: https://osf.io/v964p/). The mean overlap between scales was weak (Jaccard Index correlation coefficient = 0.39), indicating that these scales were very heterogeneous. The authors then assessed to what extent researchers reported internal validity in 43 scale development-validation articles. They found that Cronbach’s Alpha was most often reported (in 91% of the articles). Other aspects were reported far less often, with 55% reporting exploratory factor analyses, 26% reporting confirmatory factor analyses, 23% reporting test-retest reliability, 7% reporting measurement invariance. The heterogeneity of measures and lack of reported general validity of romantic relationship quality points to the need for concept-driven work on the assessment of romantic relationship quality.","DOI":"10.31234/osf.io/w32dc","language":"en-us","publisher":"PsyArXiv","title":"Lack of Construct Validity and Item-Content Overlap in the Assessment of Romantic Relationship Quality","URL":"https://psyarxiv.com/w32dc/","author":[{"family":"Ribotta","given":"Blandine"},{"family":"Silan","given":"Miguel Alejandro"},{"family":"Dujols","given":"Olivier"},{"family":"Bellemin","given":"Ronan"},{"family":"IJzerman","given":"Hans"}],"accessed":{"date-parts":[["2022",10,26]]},"issued":{"date-parts":[["2021",12]]}}}],"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w:t>
            </w:r>
            <w:proofErr w:type="spellStart"/>
            <w:r w:rsidR="001A1DB3" w:rsidRPr="001A1DB3">
              <w:rPr>
                <w:rFonts w:ascii="Aptos Narrow" w:hAnsi="Aptos Narrow" w:cs="Times New Roman"/>
                <w:kern w:val="0"/>
              </w:rPr>
              <w:t>Ribotta</w:t>
            </w:r>
            <w:proofErr w:type="spellEnd"/>
            <w:r w:rsidR="001A1DB3" w:rsidRPr="001A1DB3">
              <w:rPr>
                <w:rFonts w:ascii="Aptos Narrow" w:hAnsi="Aptos Narrow" w:cs="Times New Roman"/>
                <w:kern w:val="0"/>
              </w:rPr>
              <w:t xml:space="preserve"> et al., 2021)</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3E54A4ED"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Romantic relationship quality</w:t>
            </w:r>
          </w:p>
        </w:tc>
        <w:tc>
          <w:tcPr>
            <w:tcW w:w="2000" w:type="dxa"/>
            <w:gridSpan w:val="2"/>
            <w:noWrap/>
            <w:vAlign w:val="bottom"/>
            <w:hideMark/>
          </w:tcPr>
          <w:p w14:paraId="5047E7BF"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26</w:t>
            </w:r>
          </w:p>
        </w:tc>
      </w:tr>
      <w:tr w:rsidR="002608EA" w:rsidRPr="002608EA" w14:paraId="0962E3E2" w14:textId="77777777" w:rsidTr="008C3829">
        <w:trPr>
          <w:trHeight w:val="288"/>
        </w:trPr>
        <w:tc>
          <w:tcPr>
            <w:tcW w:w="1727" w:type="dxa"/>
            <w:noWrap/>
            <w:vAlign w:val="bottom"/>
            <w:hideMark/>
          </w:tcPr>
          <w:p w14:paraId="1897712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Skogestad2019</w:t>
            </w:r>
          </w:p>
        </w:tc>
        <w:tc>
          <w:tcPr>
            <w:tcW w:w="3230" w:type="dxa"/>
            <w:noWrap/>
            <w:vAlign w:val="bottom"/>
            <w:hideMark/>
          </w:tcPr>
          <w:p w14:paraId="04DDD9CA" w14:textId="7E07310A"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{"citationID":"a1hneluebkl","properties":{"unsorted":false,"formattedCitation":"(Skogestad et al., 2019)","plainCitation":"(Skogestad et al., 2019)","noteIndex":0},"citationItems":[{"id":36,"uris":["http://zotero.org/users/17280223/items/EYHHVHHQ"],"itemData":{"id":36,"type":"article-journal","abstract":"Introduction Post-stroke fatigue (PSF) is a highly prevalent and disabling condition. A major obstacle in PSF research is the lack of consensus on how to assess and diagnose fatigue after stroke. A wide variety of patient reported outcome measures (PROMs) are currently being used, none of which are developed specifically for stroke patients. The objectives of this study are to evaluate content validity in individual fatigue PROMs, and to identify similarities and differences through cross-comparison of PROMs. Methods We used a novel mixed-methods approach to evaluate content validity in fatigue PROMs. First, we performed a qualitative content analysis of items in eleven fatigue PROMs used in stroke populations, and then we used descriptive statistics and a similarity coefficient to investigate similarities and differences across instruments. Results The analysis of 156 items in eleven PROMs revealed 83 different items each representing a distinct attribute of fatigue. The results show that currently used fatigue PROMs omit important PSF-specific items, do not take into account the multidimensional nature of PSF and lack content overlap. Summary The wide variety of items and lack of overlap between fatigue PROMs illuminates the need for researchers to report why a specific PROM was used. PROMs that capture the specific experiences of patients with PSF are also needed to advance research on PSF and its etiology and treatment.","container-title":"Journal of Psychosomatic Research","DOI":"10.1016/j.jpsychores.2019.109759","ISSN":"0022-3999","page":"109759","title":"Lack of content overlap and essential dimensions – A review of measures used for post-stroke fatigue","volume":"124","author":[{"family":"Skogestad","given":"Ingrid Johansen"},{"family":"Kirkevold","given":"Marit"},{"family":"Indredavik","given":"Bent"},{"family":"Gay","given":"Caryl L."},{"family":"Lerdal","given":"Anners"}],"issued":{"date-parts":[["2019",9]]}}}],"schema":"https://github.com/citation-style-language/schema/raw/master/csl-citation.json"}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w:t>
            </w:r>
            <w:proofErr w:type="spellStart"/>
            <w:r w:rsidR="001A1DB3" w:rsidRPr="001A1DB3">
              <w:rPr>
                <w:rFonts w:ascii="Aptos Narrow" w:hAnsi="Aptos Narrow" w:cs="Times New Roman"/>
                <w:kern w:val="0"/>
              </w:rPr>
              <w:t>Skogestad</w:t>
            </w:r>
            <w:proofErr w:type="spellEnd"/>
            <w:r w:rsidR="001A1DB3" w:rsidRPr="001A1DB3">
              <w:rPr>
                <w:rFonts w:ascii="Aptos Narrow" w:hAnsi="Aptos Narrow" w:cs="Times New Roman"/>
                <w:kern w:val="0"/>
              </w:rPr>
              <w:t xml:space="preserve"> et al., 2019)</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DF8D95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Post-Stroke fatigue</w:t>
            </w:r>
          </w:p>
        </w:tc>
        <w:tc>
          <w:tcPr>
            <w:tcW w:w="2000" w:type="dxa"/>
            <w:gridSpan w:val="2"/>
            <w:noWrap/>
            <w:vAlign w:val="bottom"/>
            <w:hideMark/>
          </w:tcPr>
          <w:p w14:paraId="5EB60ECE"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11</w:t>
            </w:r>
          </w:p>
        </w:tc>
      </w:tr>
      <w:tr w:rsidR="002608EA" w:rsidRPr="002608EA" w14:paraId="0D3E4DB1" w14:textId="77777777" w:rsidTr="008C3829">
        <w:trPr>
          <w:trHeight w:val="288"/>
        </w:trPr>
        <w:tc>
          <w:tcPr>
            <w:tcW w:w="1727" w:type="dxa"/>
            <w:noWrap/>
            <w:vAlign w:val="bottom"/>
            <w:hideMark/>
          </w:tcPr>
          <w:p w14:paraId="31CD0FE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Christensen2024</w:t>
            </w:r>
          </w:p>
        </w:tc>
        <w:tc>
          <w:tcPr>
            <w:tcW w:w="3230" w:type="dxa"/>
            <w:noWrap/>
            <w:vAlign w:val="bottom"/>
            <w:hideMark/>
          </w:tcPr>
          <w:p w14:paraId="22E89AC4" w14:textId="21D4E00B"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{"citationID":"a29vu657e8j","properties":{"unsorted":false,"formattedCitation":"(Christensen Pacella et al., 2024)","plainCitation":"(Christensen Pacella et al., 2024)","noteIndex":0},"citationItems":[{"id":94,"uris":["http://zotero.org/users/17280223/items/2S3FB93W"],"itemData":{"id":94,"type":"article-journal","abstract":"This study evaluated symptoms assessed in common measures of eating disorder pathology and tested overlap to evaluate the extent to which measures may be interchangeable. Six measures were included: Bulimia Test-Revised, Eating Attitudes Test-26, Eating Disorder Diagnostic Scale, Eating Disorder Exa …","container-title":"Assessment","DOI":"10.1177/10731911241238084","language":"en","title":"Low Overlap and High Heterogeneity Across Common Measures of Eating Disorder Pathology: A Content Analysis","title-short":"Low Overlap and High Heterogeneity Across Common Measures of Eating Disorder Pathology","URL":"https://pubmed.ncbi.nlm.nih.gov/38519835/","author":[{"family":"Christensen Pacella","given":"K. A."},{"family":"Wossen","given":"L."},{"family":"Hagan","given":"K. E."}],"accessed":{"date-parts":[["2024",9,30]]},"issued":{"date-parts":[["2024"]]}}}],"schema":"https://github.com/citation-style-language/schema/raw/master/csl-citation.json"}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(Christensen Pacella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5086165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Eating disorder pathology</w:t>
            </w:r>
          </w:p>
        </w:tc>
        <w:tc>
          <w:tcPr>
            <w:tcW w:w="2000" w:type="dxa"/>
            <w:gridSpan w:val="2"/>
            <w:noWrap/>
            <w:vAlign w:val="bottom"/>
            <w:hideMark/>
          </w:tcPr>
          <w:p w14:paraId="4314BA5D"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6</w:t>
            </w:r>
          </w:p>
        </w:tc>
      </w:tr>
      <w:tr w:rsidR="002608EA" w:rsidRPr="002608EA" w14:paraId="37D3AB9B" w14:textId="77777777" w:rsidTr="008C3829">
        <w:trPr>
          <w:trHeight w:val="288"/>
        </w:trPr>
        <w:tc>
          <w:tcPr>
            <w:tcW w:w="1727" w:type="dxa"/>
            <w:noWrap/>
            <w:vAlign w:val="bottom"/>
            <w:hideMark/>
          </w:tcPr>
          <w:p w14:paraId="2A3732DA"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Black2023</w:t>
            </w:r>
          </w:p>
        </w:tc>
        <w:tc>
          <w:tcPr>
            <w:tcW w:w="3230" w:type="dxa"/>
            <w:noWrap/>
            <w:vAlign w:val="bottom"/>
            <w:hideMark/>
          </w:tcPr>
          <w:p w14:paraId="22A6ADD6" w14:textId="1D150374"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{"citationID":"a2lthahf03g","properties":{"unsorted":false,"formattedCitation":"(Black et al., 2023)","plainCitation":"(Black et al., 2023)","noteIndex":0},"citationItems":[{"id":1,"uris":["http://zotero.org/users/17280223/items/PGUPRK5N"],"itemData":{"id":1,"type":"article-journal","abstract":"Background: Adolescent mental health is a major concern and brief general selfreport measures can facilitate insight into intervention response and epidemiology via large samples. However, measures' relative content and psychometrics are unclear. Method: A systematic search of systematic reviews was conducted to identify relevant measures. We searched PsycINFO, MEDLINE, EMBASE, COSMIN, Web of Science, and Google Scholar. Theoretical domains were described, and item content was coded and analysed, including via the Jaccard index to determine measure similarity. Psychometric properties were extracted and rated using the COSMIN system. Results: We identified 22 measures from 19 reviews, which considered general mental health (GMH) (positive and negative aspects together), life satisfaction, quality of life (mental health subscales only), symptoms, and wellbeing. Measures were often classified inconsistently within domains at the review level. Only 25 unique indicators were found and several indicators were found across the majority of measures and domains. Most measure pairs had low Jaccard indexes, but 6.06% of measure pairs had \\textgreater50% similarity (most across two domains). Measures consistently tapped mostly emotional content but tended to show thematic heterogeneity (included more than one of emotional, cognitive, behavioural, physical and social themes). Psychometric quality was generally low. Conclusions: Brief adolescent GMH measures have not been developed to sufficient standards, likely limiting robust inferences. Researchers and practitioners should attend carefully to specific items included, particularly when deploying multiple measures. Key considerations, more promising measures, and future directions are highlighted.","container-title":"JCPP Advances","DOI":"10.1002/jcv2.12125","ISSN":"2692-9384, 2692-9384","issue":"1","language":"en","page":"e12125","title":"Measuring general mental health in early</w:instrText>
            </w:r>
            <w:r w:rsidR="001A1DB3">
              <w:rPr>
                <w:rFonts w:ascii="Cambria Math" w:eastAsia="Times New Roman" w:hAnsi="Cambria Math" w:cs="Cambria Math"/>
                <w:color w:val="000000"/>
                <w:kern w:val="0"/>
                <w:lang w:val="en-CH" w:eastAsia="en-CH"/>
                <w14:ligatures w14:val="none"/>
              </w:rPr>
              <w:instrText>‐</w:instrText>
            </w:r>
            <w:r w:rsidR="001A1DB3">
              <w:rPr>
                <w:rFonts w:ascii="Aptos Narrow" w:eastAsia="Times New Roman" w:hAnsi="Aptos Narrow" w:cs="Times New Roman"/>
                <w:color w:val="000000"/>
                <w:kern w:val="0"/>
                <w:lang w:val="en-CH" w:eastAsia="en-CH"/>
                <w14:ligatures w14:val="none"/>
              </w:rPr>
              <w:instrText>mid adolescence: A systematic meta</w:instrText>
            </w:r>
            <w:r w:rsidR="001A1DB3">
              <w:rPr>
                <w:rFonts w:ascii="Cambria Math" w:eastAsia="Times New Roman" w:hAnsi="Cambria Math" w:cs="Cambria Math"/>
                <w:color w:val="000000"/>
                <w:kern w:val="0"/>
                <w:lang w:val="en-CH" w:eastAsia="en-CH"/>
                <w14:ligatures w14:val="none"/>
              </w:rPr>
              <w:instrText>‐</w:instrText>
            </w:r>
            <w:r w:rsidR="001A1DB3">
              <w:rPr>
                <w:rFonts w:ascii="Aptos Narrow" w:eastAsia="Times New Roman" w:hAnsi="Aptos Narrow" w:cs="Times New Roman"/>
                <w:color w:val="000000"/>
                <w:kern w:val="0"/>
                <w:lang w:val="en-CH" w:eastAsia="en-CH"/>
                <w14:ligatures w14:val="none"/>
              </w:rPr>
              <w:instrText>review of content and psychometrics","title-short":"Measuring general mental health in early</w:instrText>
            </w:r>
            <w:r w:rsidR="001A1DB3">
              <w:rPr>
                <w:rFonts w:ascii="Cambria Math" w:eastAsia="Times New Roman" w:hAnsi="Cambria Math" w:cs="Cambria Math"/>
                <w:color w:val="000000"/>
                <w:kern w:val="0"/>
                <w:lang w:val="en-CH" w:eastAsia="en-CH"/>
                <w14:ligatures w14:val="none"/>
              </w:rPr>
              <w:instrText>‐</w:instrText>
            </w:r>
            <w:r w:rsidR="001A1DB3">
              <w:rPr>
                <w:rFonts w:ascii="Aptos Narrow" w:eastAsia="Times New Roman" w:hAnsi="Aptos Narrow" w:cs="Times New Roman"/>
                <w:color w:val="000000"/>
                <w:kern w:val="0"/>
                <w:lang w:val="en-CH" w:eastAsia="en-CH"/>
                <w14:ligatures w14:val="none"/>
              </w:rPr>
              <w:instrText xml:space="preserve">mid adolescence","volume":"3","author":[{"family":"Black","given":"Louise"},{"family":"Panayiotou","given":"Margarita"},{"family":"Humphrey","given":"Neil"}],"issued":{"date-parts":[["2023",3]]}}}],"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(Black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6F67C00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General mental health</w:t>
            </w:r>
          </w:p>
        </w:tc>
        <w:tc>
          <w:tcPr>
            <w:tcW w:w="2000" w:type="dxa"/>
            <w:gridSpan w:val="2"/>
            <w:noWrap/>
            <w:vAlign w:val="bottom"/>
            <w:hideMark/>
          </w:tcPr>
          <w:p w14:paraId="7A3E01B0"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22</w:t>
            </w:r>
          </w:p>
        </w:tc>
      </w:tr>
      <w:tr w:rsidR="002608EA" w:rsidRPr="002608EA" w14:paraId="16E8459A" w14:textId="77777777" w:rsidTr="008C3829">
        <w:trPr>
          <w:trHeight w:val="288"/>
        </w:trPr>
        <w:tc>
          <w:tcPr>
            <w:tcW w:w="1727" w:type="dxa"/>
            <w:noWrap/>
            <w:vAlign w:val="bottom"/>
            <w:hideMark/>
          </w:tcPr>
          <w:p w14:paraId="4E6B3E1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Karhulahti2023</w:t>
            </w:r>
          </w:p>
        </w:tc>
        <w:tc>
          <w:tcPr>
            <w:tcW w:w="3230" w:type="dxa"/>
            <w:noWrap/>
            <w:vAlign w:val="bottom"/>
            <w:hideMark/>
          </w:tcPr>
          <w:p w14:paraId="0339B799" w14:textId="2AE8ABCC"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sidR="001A1DB3">
              <w:rPr>
                <w:rFonts w:ascii="Aptos Narrow" w:eastAsia="Times New Roman" w:hAnsi="Aptos Narrow" w:cs="Times New Roman"/>
                <w:color w:val="000000"/>
                <w:kern w:val="0"/>
                <w:lang w:val="en-CH" w:eastAsia="en-CH"/>
                <w14:ligatures w14:val="none"/>
              </w:rPr>
              <w:instrText xml:space="preserve"> ADDIN ZOTERO_ITEM CSL_CITATION {"citationID":"a1v7oqklfk1","properties":{"unsorted":false,"formattedCitation":"(Karhulahti et al., 2023)","plainCitation":"(Karhulahti et al., 2023)","noteIndex":0},"citationItems":[{"id":38,"uris":["http://zotero.org/users/17280223/items/C59TD5QX"],"itemData":{"id":38,"type":"article-journal","abstract":"Numerous instruments have been developed to measure gaming-related health problems based on “internet gaming disorder” (IGD) in the third section of the Diagnostic and Statistical Manual of Mental Disorders (5th ed.) and “gaming disorder” (GD) in the International Classification of Diseases (11th rev.). However, the criteria in the manuals tend to be operationalized in numerous diverse ways, which can make screening outcomes incomparable. A content validity analysis is needed to reassess the relationships between the diagnostic criteria and the items that operationalize them. The IGD and GD criteria were divided into sematic components. A qualitative content validity analysis was carried out for all items employed by the 17 instruments that claim to measure either construct by their criteria in English. In all but one instrument, the operationalizations did not include all criterion components. There were two main reasons found for this: the components had simply been left out or had been alternatively modified into other components. Criteria that were vaguely described in the manuals were sources of lower content validity items. The study implies that many of the problems in IGD and GD measurement derive from criteria operationalization and original manual descriptions. The conclusion provides practical recommendations that researchers can apply to improve the content validity of their measurement.","container-title":"Assessment","DOI":"10.1177/10731911211055435","ISSN":"1073-1911","issue":"2","language":"en","page":"402–413","title":"Measuring Internet Gaming Disorder and Gaming Disorder: A Qualitative Content Validity Analysis of Validated Scales","title-short":"Measuring Internet Gaming Disorder and Gaming Disorder","volume":"30","author":[{"family":"Karhulahti","given":"Veli-Matti"},{"family":"Martončik","given":"Marcel"},{"family":"Adamkovič","given":"Matúš"}],"issued":{"date-parts":[["2023",3]]}}}],"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001A1DB3" w:rsidRPr="001A1DB3">
              <w:rPr>
                <w:rFonts w:ascii="Aptos Narrow" w:hAnsi="Aptos Narrow" w:cs="Times New Roman"/>
                <w:kern w:val="0"/>
              </w:rPr>
              <w:t>(</w:t>
            </w:r>
            <w:proofErr w:type="spellStart"/>
            <w:r w:rsidR="001A1DB3" w:rsidRPr="001A1DB3">
              <w:rPr>
                <w:rFonts w:ascii="Aptos Narrow" w:hAnsi="Aptos Narrow" w:cs="Times New Roman"/>
                <w:kern w:val="0"/>
              </w:rPr>
              <w:t>Karhulahti</w:t>
            </w:r>
            <w:proofErr w:type="spellEnd"/>
            <w:r w:rsidR="001A1DB3" w:rsidRPr="001A1DB3">
              <w:rPr>
                <w:rFonts w:ascii="Aptos Narrow" w:hAnsi="Aptos Narrow" w:cs="Times New Roman"/>
                <w:kern w:val="0"/>
              </w:rPr>
              <w:t xml:space="preserve">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584527B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Internet gaming disorder</w:t>
            </w:r>
          </w:p>
        </w:tc>
        <w:tc>
          <w:tcPr>
            <w:tcW w:w="2000" w:type="dxa"/>
            <w:gridSpan w:val="2"/>
            <w:noWrap/>
            <w:vAlign w:val="bottom"/>
            <w:hideMark/>
          </w:tcPr>
          <w:p w14:paraId="7012A8F2"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17</w:t>
            </w:r>
          </w:p>
        </w:tc>
      </w:tr>
      <w:tr w:rsidR="002608EA" w:rsidRPr="002608EA" w14:paraId="69F3B7EA" w14:textId="77777777" w:rsidTr="008C3829">
        <w:trPr>
          <w:trHeight w:val="288"/>
        </w:trPr>
        <w:tc>
          <w:tcPr>
            <w:tcW w:w="1727" w:type="dxa"/>
            <w:noWrap/>
            <w:vAlign w:val="bottom"/>
            <w:hideMark/>
          </w:tcPr>
          <w:p w14:paraId="67C2D7D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Bunaciu2024</w:t>
            </w:r>
          </w:p>
        </w:tc>
        <w:tc>
          <w:tcPr>
            <w:tcW w:w="3230" w:type="dxa"/>
            <w:noWrap/>
            <w:vAlign w:val="bottom"/>
            <w:hideMark/>
          </w:tcPr>
          <w:p w14:paraId="38DE79F1" w14:textId="62FDC763"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{"citationID":"aorihen1uf","properties":{"unsorted":false,"formattedCitation":"(Bunaciu et al., 2024)","plainCitation":"(Bunaciu et al., 2024)","noteIndex":0},"citationItems":[{"id":98,"uris":["http://zotero.org/users/17280223/items/UUCA3S6R"],"itemData":{"id":98,"type":"article-journal","abstract":"Recovery capital theory provides a biopsychosocial framework for identifying and measuring strengths and barriers that can be targeted to support recovery from alcohol and drug addiction. This systematic review analyzed and synthesized all quantitative approaches that have measured recovery capital since 2016. Three databases were searched to identify studies published from 2016 to 2023. Eligible studies explicitly stated they measured recovery capital in participants recovering from alcohol and/or drug addiction. Studies focusing on other forms of addiction were excluded. Sixty-nine studies met the inclusion criteria. Forty-six studies used one of the ten identified recovery capital questionnaires, and twenty-five studies used a measurement approach other than one of the ten recovery capital questionnaires. The ten recovery capital questionnaires are primarily developed for adult populations across clinical and community recovery settings, and between them measure 41 separate recovery capital constructs. They are generally considered valid and reliable measures of recovery capital. Nevertheless, a strong evidence base on the psychometric properties across diverse populations and settings still needs to be established for these questionnaires. The development of recovery capital questionnaires has been a significant advance in the field of addiction recovery, in alignment with the emerging recovery-oriented approach to addiction recovery care. Additionally, the non-recovery capital questionnaire-based approaches to recovery capital measurement have an important place in the field. They could be used alongside recovery capital questionnaires to test theory, and in contexts where the application of the questionnaires is not feasible, such as analyses of data from online recovery forums.","container-title":"Addiction Research &amp; Theory","DOI":"10.1080/16066359.2023.2245323","ISSN":"1606-6359","issue":"3","page":"225–236","title":"Measuring recovery capital for people recovering from alcohol and drug addiction: a systematic review","title-short":"Measuring recovery capital for people recovering from alcohol and drug addiction","volume":"32","author":[{"family":"Bunaciu","given":"Adela"},{"family":"Bliuc","given":"Ana-Maria"},{"family":"Best","given":"David"},{"family":"Hennessy","given":"Emily A."},{"family":"Belanger","given":"Matthew J."},{"family":"Benwell","given":"Christopher S. Y."}],"issued":{"date-parts":[["2024",5]]}}}],"schema":"https://github.com/citation-style-language/schema/raw/master/csl-citation.json"}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w:t>
            </w:r>
            <w:proofErr w:type="spellStart"/>
            <w:r w:rsidRPr="001A1DB3">
              <w:rPr>
                <w:rFonts w:ascii="Aptos Narrow" w:hAnsi="Aptos Narrow" w:cs="Times New Roman"/>
                <w:kern w:val="0"/>
              </w:rPr>
              <w:t>Bunaciu</w:t>
            </w:r>
            <w:proofErr w:type="spellEnd"/>
            <w:r w:rsidRPr="001A1DB3">
              <w:rPr>
                <w:rFonts w:ascii="Aptos Narrow" w:hAnsi="Aptos Narrow" w:cs="Times New Roman"/>
                <w:kern w:val="0"/>
              </w:rPr>
              <w:t xml:space="preserve">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9F8E68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Recovery capital</w:t>
            </w:r>
          </w:p>
        </w:tc>
        <w:tc>
          <w:tcPr>
            <w:tcW w:w="2000" w:type="dxa"/>
            <w:gridSpan w:val="2"/>
            <w:noWrap/>
            <w:vAlign w:val="bottom"/>
            <w:hideMark/>
          </w:tcPr>
          <w:p w14:paraId="6CB15416"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10</w:t>
            </w:r>
          </w:p>
        </w:tc>
      </w:tr>
      <w:tr w:rsidR="002608EA" w:rsidRPr="002608EA" w14:paraId="1A2894FB" w14:textId="77777777" w:rsidTr="008C3829">
        <w:trPr>
          <w:trHeight w:val="288"/>
        </w:trPr>
        <w:tc>
          <w:tcPr>
            <w:tcW w:w="1727" w:type="dxa"/>
            <w:noWrap/>
            <w:vAlign w:val="bottom"/>
            <w:hideMark/>
          </w:tcPr>
          <w:p w14:paraId="45E389D0"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Linton2016</w:t>
            </w:r>
          </w:p>
        </w:tc>
        <w:tc>
          <w:tcPr>
            <w:tcW w:w="3230" w:type="dxa"/>
            <w:noWrap/>
            <w:vAlign w:val="bottom"/>
            <w:hideMark/>
          </w:tcPr>
          <w:p w14:paraId="452AC96D" w14:textId="2ACE0753"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{"citationID":"a1cv95t5ft","properties":{"unsorted":false,"formattedCitation":"(Linton et al., 2016)","plainCitation":"(Linton et al., 2016)","noteIndex":0},"citationItems":[{"id":89,"uris":["http://zotero.org/users/17280223/items/9VE5Q3WH"],"itemData":{"id":89,"type":"article-journal","abstract":"Objective Investigators within many disciplines are using measures of well-being, but it is not always clear what they are measuring, or which instruments may best meet their objectives. The aims of this review were to: systematically identify well-being instruments, explore the variety of well-being dimensions within instruments and describe how the production of instruments has developed over time. Design Systematic searches, thematic analysis and narrative synthesis were undertaken. Data sources MEDLINE, EMBASE, EconLit, PsycINFO, Cochrane Library and CINAHL from 1993 to 2014 complemented by web searches and expert consultations through 2015. Eligibility criteria Instruments were selected for review if they were designed for adults (≥18 years old), generic (ie, non-disease or context specific) and available in an English version. Results A total of 99 measures of well-being were included, and 196 dimensions of well-being were identified within them. Dimensions clustered around 6 key thematic domains: mental well-being, social well-being, physical well-being, spiritual well-being, activities and functioning, and personal circumstances. Authors were rarely explicit about how existing theories had influenced the design of their tools; however, the 2 most referenced theories were Diener's model of subjective well-being and the WHO definition of health. The period between 1990 and 1999 produced the greatest number of newly developed well-being instruments (n=27). An illustration of the dimensions identified and the instruments that measure them is provided within a thematic framework of well-being. Conclusions This review provides researchers with an organised toolkit of instruments, dimensions and an accompanying glossary. The striking variability between instruments supports the need to pay close attention to what is being assessed under the umbrella of ‘well-being’ measurement.","DOI":"10.1136/bmjopen-2015-010641","language":"en","license":"Published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http://creativecommons.org/licenses/by-nc/4.0/","title":"Review of 99 self-report measures for assessing well-being in adults: exploring dimensions of well-being and developments over time","title-short":"Review of 99 self-report measures for assessing well-being in adults","URL":"https://bmjopen.bmj.com/content/6/7/e010641","author":[{"family":"Linton","given":"Myles-Jay"},{"family":"Dieppe","given":"Paul"},{"family":"Medina-Lara","given":"Antonieta"}],"accessed":{"date-parts":[["2024",9,26]]},"issued":{"date-parts":[["2016",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(Linton et al., 2016)</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57E44C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Well-being</w:t>
            </w:r>
          </w:p>
        </w:tc>
        <w:tc>
          <w:tcPr>
            <w:tcW w:w="2000" w:type="dxa"/>
            <w:gridSpan w:val="2"/>
            <w:noWrap/>
            <w:vAlign w:val="bottom"/>
            <w:hideMark/>
          </w:tcPr>
          <w:p w14:paraId="2821222B"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99</w:t>
            </w:r>
          </w:p>
        </w:tc>
      </w:tr>
      <w:tr w:rsidR="002608EA" w:rsidRPr="002608EA" w14:paraId="22D24BD5" w14:textId="77777777" w:rsidTr="008C3829">
        <w:trPr>
          <w:trHeight w:val="288"/>
        </w:trPr>
        <w:tc>
          <w:tcPr>
            <w:tcW w:w="1727" w:type="dxa"/>
            <w:noWrap/>
            <w:vAlign w:val="bottom"/>
            <w:hideMark/>
          </w:tcPr>
          <w:p w14:paraId="21E80DFE"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Gauld2023</w:t>
            </w:r>
          </w:p>
        </w:tc>
        <w:tc>
          <w:tcPr>
            <w:tcW w:w="3230" w:type="dxa"/>
            <w:noWrap/>
            <w:vAlign w:val="bottom"/>
            <w:hideMark/>
          </w:tcPr>
          <w:p w14:paraId="5E6D9493" w14:textId="15B9953B"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{"citationID":"a27jnp1hive","properties":{"unsorted":false,"formattedCitation":"(Gauld et al., 2023)","plainCitation":"(Gauld et al., 2023)","noteIndex":0},"citationItems":[{"id":6,"uris":["http://zotero.org/users/17280223/items/FT35WN4V"],"itemData":{"id":6,"type":"article-journal","abstract":"Sleep disorders are defined on the basis of diagnostic criteria presented in medical classifications. However, no consensus has emerged on the exact list of operational symptoms that should be systematically investigated in the field of sleep medicine. We propose a systematic analysis of sleep symptoms that figure in a set of self-reported multiple sleep disorder screening questionnaires for adult populations, to identify the content overlap of symptoms that probe the presence of central sleep symptoms, and to highlight the potential level of heterogeneity among sleep disorder questionnaires. The method comprises three steps: (i) the selection of self-reported multiple sleep disorder screening questionnaires; (ii) item extraction and selection; (iii) the extraction of symptoms from items. Frequency of sleep symptoms and content overlap (Jaccard Index) are analyzed. We extracted 469 items that provide 60 different symptoms from 12 questionnaires. Insomnia, somnolence, and sleep-related breathing symptoms were found in all the questionnaires. The mean overlap among all questionnaires evaluated with the Jaccard Index is 0.44, i.e., moderate similarity. Despite limitations related to the selection of questionnaires and the symptom extraction and harmonization, this study underlines the need to standardize sleep symptom contents for sleep medicine in order to enhance the practicability, reliability, and validity of sleep disorder diagnoses.","container-title":"Journal of Clinical Medicine","DOI":"10.3390/jcm12030852","ISSN":"2077-0383","issue":"3","language":"en","license":"http://creativecommons.org/licenses/by/3.0/","page":"852","title":"Systematic Item Content and Overlap Analysis of Self-Reported Multiple Sleep Disorder Screening Questionnaires in Adults","volume":"12","author":[{"family":"Gauld","given":"Christophe"},{"family":"Martin","given":"Vincent P."},{"family":"Richaud","given":"Alexandre"},{"family":"Baillieul","given":"Sébastien"},{"family":"Vicente","given":"Lucie"},{"family":"Perromat","given":"Jean-Lorrain"},{"family":"Zreik","given":"Issa"},{"family":"Taillard","given":"Jacques"},{"family":"Geoffroy","given":"Pierre Alexis"},{"family":"Lopez","given":"Régis"},{"family":"Micoulaud-Franchi","given":"Jean-Arthur"}],"issued":{"date-parts":[["2023",1]]}}}],"schema":"https://github.com/citation-style-language/schema/raw/master/csl-citation.json"}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(Gauld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2CE9BA4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Sleep disorder</w:t>
            </w:r>
          </w:p>
        </w:tc>
        <w:tc>
          <w:tcPr>
            <w:tcW w:w="2000" w:type="dxa"/>
            <w:gridSpan w:val="2"/>
            <w:noWrap/>
            <w:vAlign w:val="bottom"/>
            <w:hideMark/>
          </w:tcPr>
          <w:p w14:paraId="1D9CC8DB"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12</w:t>
            </w:r>
          </w:p>
        </w:tc>
      </w:tr>
      <w:tr w:rsidR="002608EA" w:rsidRPr="002608EA" w14:paraId="144DACE3" w14:textId="77777777" w:rsidTr="008C3829">
        <w:trPr>
          <w:trHeight w:val="288"/>
        </w:trPr>
        <w:tc>
          <w:tcPr>
            <w:tcW w:w="1727" w:type="dxa"/>
            <w:noWrap/>
            <w:vAlign w:val="bottom"/>
            <w:hideMark/>
          </w:tcPr>
          <w:p w14:paraId="78B3EEC9"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Fried2017</w:t>
            </w:r>
          </w:p>
        </w:tc>
        <w:tc>
          <w:tcPr>
            <w:tcW w:w="3230" w:type="dxa"/>
            <w:noWrap/>
            <w:vAlign w:val="bottom"/>
            <w:hideMark/>
          </w:tcPr>
          <w:p w14:paraId="29DC8F01" w14:textId="254DD560"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{"citationID":"ap619gq3ui","properties":{"unsorted":false,"formattedCitation":"(Fried, 2017)","plainCitation":"(Fried, 2017)","noteIndex":0},"citationItems":[{"id":58,"uris":["http://zotero.org/users/17280223/items/D9MAHLRI"],"itemData":{"id":58,"type":"article-journal","abstract":"Background: Depression severity is assessed in numerous research disciplines, ranging from the social sciences to genetics, and used as a dependent variable, predictor, covariate, or to enroll participants. The routine practice is to assess depression severity with one particular depression scale, and draw conclusions about depression in general, relying on the assumption that scales are interchangeable measures of depression. The present paper investigates to which degree 7 common depression scales di</w:instrText>
            </w:r>
            <w:r>
              <w:rPr>
                <w:rFonts w:ascii="Arial" w:eastAsia="Times New Roman" w:hAnsi="Arial" w:cs="Arial"/>
                <w:color w:val="000000"/>
                <w:kern w:val="0"/>
                <w:lang w:val="en-CH" w:eastAsia="en-CH"/>
                <w14:ligatures w14:val="none"/>
              </w:rPr>
              <w:instrText>ﬀ</w:instrText>
            </w:r>
            <w:r>
              <w:rPr>
                <w:rFonts w:ascii="Aptos Narrow" w:eastAsia="Times New Roman" w:hAnsi="Aptos Narrow" w:cs="Times New Roman"/>
                <w:color w:val="000000"/>
                <w:kern w:val="0"/>
                <w:lang w:val="en-CH" w:eastAsia="en-CH"/>
                <w14:ligatures w14:val="none"/>
              </w:rPr>
              <w:instrText>er in their item content and generalizability. Methods: A content analysis is carried out to determine symptom overlap among the 7 scales via the Jaccard index (0=no overlap, 1=full overlap). Per scale, rates of idiosyncratic symptoms, and rates of speciﬁc vs. compound symptoms, are computed. Results: The 7 instruments encompass 52 disparate symptoms. Mean overlap among all scales is low (0.36), mean overlap of each scale with all others ranges from 0.27 to 0.40, overlap among individual scales from 0.26 to 0.61. Symptoms feature across a mean of 3 scales, 40% of the symptoms appear in only a single scale, 12% across all instruments. Scales di</w:instrText>
            </w:r>
            <w:r>
              <w:rPr>
                <w:rFonts w:ascii="Arial" w:eastAsia="Times New Roman" w:hAnsi="Arial" w:cs="Arial"/>
                <w:color w:val="000000"/>
                <w:kern w:val="0"/>
                <w:lang w:val="en-CH" w:eastAsia="en-CH"/>
                <w14:ligatures w14:val="none"/>
              </w:rPr>
              <w:instrText>ﬀ</w:instrText>
            </w:r>
            <w:r>
              <w:rPr>
                <w:rFonts w:ascii="Aptos Narrow" w:eastAsia="Times New Roman" w:hAnsi="Aptos Narrow" w:cs="Times New Roman"/>
                <w:color w:val="000000"/>
                <w:kern w:val="0"/>
                <w:lang w:val="en-CH" w:eastAsia="en-CH"/>
                <w14:ligatures w14:val="none"/>
              </w:rPr>
              <w:instrText>er regarding their rates of idiosyncratic symptoms (0</w:instrText>
            </w:r>
            <w:r>
              <w:rPr>
                <w:rFonts w:ascii="Aptos Narrow" w:eastAsia="Times New Roman" w:hAnsi="Aptos Narrow" w:cs="Aptos Narrow"/>
                <w:color w:val="000000"/>
                <w:kern w:val="0"/>
                <w:lang w:val="en-CH" w:eastAsia="en-CH"/>
                <w14:ligatures w14:val="none"/>
              </w:rPr>
              <w:instrText>–</w:instrText>
            </w:r>
            <w:r>
              <w:rPr>
                <w:rFonts w:ascii="Aptos Narrow" w:eastAsia="Times New Roman" w:hAnsi="Aptos Narrow" w:cs="Times New Roman"/>
                <w:color w:val="000000"/>
                <w:kern w:val="0"/>
                <w:lang w:val="en-CH" w:eastAsia="en-CH"/>
                <w14:ligatures w14:val="none"/>
              </w:rPr>
              <w:instrText>33%) and compound symptoms (22–90%). Limitations: Future studies analyzing more and di</w:instrText>
            </w:r>
            <w:r>
              <w:rPr>
                <w:rFonts w:ascii="Arial" w:eastAsia="Times New Roman" w:hAnsi="Arial" w:cs="Arial"/>
                <w:color w:val="000000"/>
                <w:kern w:val="0"/>
                <w:lang w:val="en-CH" w:eastAsia="en-CH"/>
                <w14:ligatures w14:val="none"/>
              </w:rPr>
              <w:instrText>ﬀ</w:instrText>
            </w:r>
            <w:r>
              <w:rPr>
                <w:rFonts w:ascii="Aptos Narrow" w:eastAsia="Times New Roman" w:hAnsi="Aptos Narrow" w:cs="Times New Roman"/>
                <w:color w:val="000000"/>
                <w:kern w:val="0"/>
                <w:lang w:val="en-CH" w:eastAsia="en-CH"/>
                <w14:ligatures w14:val="none"/>
              </w:rPr>
              <w:instrText xml:space="preserve">erent scales will be required to obtain a better estimate of the number of depression symptoms; the present content analysis was carried out conservatively and likely underestimates heterogeneity across the 7 scales. Conclusion: The substantial heterogeneity of the depressive syndrome and low overlap among scales may lead to research results idiosyncratic to particular scales used, posing a threat to the replicability and generalizability of depression research. Implications and future research opportunities are discussed.","container-title":"Journal of Affective Disorders","DOI":"10.1016/j.jad.2016.10.019","ISSN":"01650327","language":"en","page":"191–197","title":"The 52 symptoms of major depression: Lack of content overlap among seven common depression scales","title-short":"The 52 symptoms of major depression","volume":"208","author":[{"family":"Fried","given":"Eiko I."}],"issued":{"date-parts":[["2017",1]]}}}],"schema":"https://github.com/citation-style-language/schema/raw/master/csl-citation.json"}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(Fried, 2017)</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D66E81E"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Major depression disorder</w:t>
            </w:r>
          </w:p>
        </w:tc>
        <w:tc>
          <w:tcPr>
            <w:tcW w:w="2000" w:type="dxa"/>
            <w:gridSpan w:val="2"/>
            <w:noWrap/>
            <w:vAlign w:val="bottom"/>
            <w:hideMark/>
          </w:tcPr>
          <w:p w14:paraId="3FE376B4"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44D1505E" w14:textId="77777777" w:rsidTr="008C3829">
        <w:trPr>
          <w:trHeight w:val="288"/>
        </w:trPr>
        <w:tc>
          <w:tcPr>
            <w:tcW w:w="1727" w:type="dxa"/>
            <w:noWrap/>
            <w:vAlign w:val="bottom"/>
            <w:hideMark/>
          </w:tcPr>
          <w:p w14:paraId="02EE3D9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Bernardin2023</w:t>
            </w:r>
          </w:p>
        </w:tc>
        <w:tc>
          <w:tcPr>
            <w:tcW w:w="3230" w:type="dxa"/>
            <w:noWrap/>
            <w:vAlign w:val="bottom"/>
            <w:hideMark/>
          </w:tcPr>
          <w:p w14:paraId="08BE458B" w14:textId="177A4C9A"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{"citationID":"advj7hup89","properties":{"unsorted":false,"formattedCitation":"(Bernardin et al., 2023)","plainCitation":"(Bernardin et al., 2023)","noteIndex":0},"citationItems":[{"id":103,"uris":["http://zotero.org/users/17280223/items/EARY7HN8"],"itemData":{"id":103,"type":"article-journal","abstract":"The Clinical High Risk for psychosis (CHR) is a heterogeneous condition with multiple symptoms. CHR screening is challenging in routine care, as a wide variety of questionnaires exists. We propose to explore the extent to which these questionnaires differ or overlap in item content. We performed a systematic and quantitative analysis of item content in a set of widely-used CHR screening questionnaires. Items were extracted from questionnaires and reworded according to the Structured Interview for Psychosis-Risk Syndromes (SIPS). Then, symptoms were generated from individual items. The Jaccard Index was calculated to assess content overlap. The 14 analysed questionnaires were composed of 347 items, from which 198 symptoms were generated and, in turn, collapsed into 68 distinct symptoms. Positive symptoms were the most commonly represented. The overall overlap across questionnaires showed weak similarity (Jaccard = 0.19±0.50). CHR screening questionnaires might evaluate the same broad clinical construct, but have different scopes within that construct, and may be more or less comprehensive than one another. Clinicians and researchers should be mindful of the specific features of each instrument for optimal CHR screening.","container-title":"Psychiatry Research","DOI":"10.1016/j.psychres.2023.115592","ISSN":"0165-1781","page":"115592","title":"The 68 symptoms of the clinical high risk for psychosis: Low similarity among fourteen screening questionnaires","title-short":"The 68 symptoms of the clinical high risk for psychosis","volume":"330","author":[{"family":"Bernardin","given":"Florent"},{"family":"Gauld","given":"Christophe"},{"family":"Martin","given":"Vincent P."},{"family":"Laprévote","given":"Vincent"},{"family":"Dondé","given":"Clément"}],"issued":{"date-parts":[["2023",12]]}}}],"schema":"https://github.com/citation-style-language/schema/raw/master/csl-citation.json"}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(Bernardin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67E9E00"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Clinical High Risk (CHR) for psychosis</w:t>
            </w:r>
          </w:p>
        </w:tc>
        <w:tc>
          <w:tcPr>
            <w:tcW w:w="2000" w:type="dxa"/>
            <w:gridSpan w:val="2"/>
            <w:noWrap/>
            <w:vAlign w:val="bottom"/>
            <w:hideMark/>
          </w:tcPr>
          <w:p w14:paraId="42800875"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14</w:t>
            </w:r>
          </w:p>
        </w:tc>
      </w:tr>
      <w:tr w:rsidR="002608EA" w:rsidRPr="002608EA" w14:paraId="2175C500" w14:textId="77777777" w:rsidTr="008C3829">
        <w:trPr>
          <w:trHeight w:val="288"/>
        </w:trPr>
        <w:tc>
          <w:tcPr>
            <w:tcW w:w="1727" w:type="dxa"/>
            <w:noWrap/>
            <w:vAlign w:val="bottom"/>
            <w:hideMark/>
          </w:tcPr>
          <w:p w14:paraId="2D04ED4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Koppold2023</w:t>
            </w:r>
          </w:p>
        </w:tc>
        <w:tc>
          <w:tcPr>
            <w:tcW w:w="3230" w:type="dxa"/>
            <w:noWrap/>
            <w:vAlign w:val="bottom"/>
            <w:hideMark/>
          </w:tcPr>
          <w:p w14:paraId="310EBEEA" w14:textId="057ADE0C"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{"citationID":"a1v9bvahu0q","properties":{"unsorted":false,"formattedCitation":"(Koppold et al., 2023)","plainCitation":"(Koppold et al., 2023)","noteIndex":0},"citationItems":[{"id":48,"uris":["http://zotero.org/users/17280223/items/RFV95P49"],"itemData":{"id":48,"type":"document","abstract":"The assessment of early childhood adversity (ACE) is crucial for understanding the impact of aversive events on child development. However, the heterogeneity of assessment tools poses challenges to precision and similarity of measures, and hence interchangeability. In this study, we conducted two separate item-level content analyses of in total 34 questionnaires on early childhood adversity. These include 13 recently recommended questionnaires based on strong psychometric properties. In addition, as a comparison whether these even make it into use, we identified 24 questionnaires through a systematic literature search in an exemplary translationally relevant research field (threat and reward learning). Only, three questionnaires were overlapping across both content analyses, resulting in 34 questionnaires. We identified substantial heterogeneity in the questionnaires and operationalization of ACEs, with limited overlap in ACE exposure types covered by different questionnaires. Specifically, the item-based content analysis of the recommended questionnaires revealed 50 distinct exposure types and a moderate mean overlap (M = 0.28, range: 0.16 - 0.37). For the questionnaires used in the exemplary research field, we identified 40 distinct exposure types and similar mean overlap (M = 0.29, range: 0.19 0.36). Furthermore, we observed considerable differences in structural properties across all included questionnaires such as number of items or response formats hampering comparability. We discuss implications on the comparability of results and the interpretation and integration of the existing literature and provide recommendations for future research. In sum, the substantial heterogeneity in the assessment and operationalization of ACE emphasizes their urgent need for methodological solutions to promote comparability, replicability and foster cumulative knowledge generation on this important topic.","DOI":"10.5281/ZENODO.7966818","language":"en","license":"Creative Commons Attribution 4.0 International, Open Access","publisher":"Zenodo","title":"The many faces of early life adversity - Content overlap in validated assessment instruments as well as in fear and reward learning research","URL":"https://zenodo.org/record/7966818","author":[{"family":"Koppold","given":"Alina"},{"family":"Ruge","given":"Julia"},{"family":"Hecker","given":"Tobias"},{"family":"Lonsdorf","given":"Tina B."}],"accessed":{"date-parts":[["2023",8,30]]},"issued":{"date-parts":[["2023",5]]}}}],"schema":"https://github.com/citation-style-language/schema/raw/master/csl-citation.json"}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w:t>
            </w:r>
            <w:proofErr w:type="spellStart"/>
            <w:r w:rsidRPr="001A1DB3">
              <w:rPr>
                <w:rFonts w:ascii="Aptos Narrow" w:hAnsi="Aptos Narrow" w:cs="Times New Roman"/>
                <w:kern w:val="0"/>
              </w:rPr>
              <w:t>Koppold</w:t>
            </w:r>
            <w:proofErr w:type="spellEnd"/>
            <w:r w:rsidRPr="001A1DB3">
              <w:rPr>
                <w:rFonts w:ascii="Aptos Narrow" w:hAnsi="Aptos Narrow" w:cs="Times New Roman"/>
                <w:kern w:val="0"/>
              </w:rPr>
              <w:t xml:space="preserve"> et al.,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DBEEADB"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Early Childhood Adversity</w:t>
            </w:r>
          </w:p>
        </w:tc>
        <w:tc>
          <w:tcPr>
            <w:tcW w:w="2000" w:type="dxa"/>
            <w:gridSpan w:val="2"/>
            <w:noWrap/>
            <w:vAlign w:val="bottom"/>
            <w:hideMark/>
          </w:tcPr>
          <w:p w14:paraId="404490DA"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22</w:t>
            </w:r>
          </w:p>
        </w:tc>
      </w:tr>
      <w:tr w:rsidR="002608EA" w:rsidRPr="002608EA" w14:paraId="6F86DC5B" w14:textId="77777777" w:rsidTr="008C3829">
        <w:trPr>
          <w:trHeight w:val="288"/>
        </w:trPr>
        <w:tc>
          <w:tcPr>
            <w:tcW w:w="1727" w:type="dxa"/>
            <w:noWrap/>
            <w:vAlign w:val="bottom"/>
            <w:hideMark/>
          </w:tcPr>
          <w:p w14:paraId="3E13679E"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Wall2022</w:t>
            </w:r>
          </w:p>
        </w:tc>
        <w:tc>
          <w:tcPr>
            <w:tcW w:w="3230" w:type="dxa"/>
            <w:noWrap/>
            <w:vAlign w:val="bottom"/>
            <w:hideMark/>
          </w:tcPr>
          <w:p w14:paraId="097AF158" w14:textId="7D62DC2E"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{"citationID":"a2c5mii4ckn","properties":{"unsorted":false,"formattedCitation":"(Wall &amp; Lee, 2022)","plainCitation":"(Wall &amp; Lee, 2022)","noteIndex":0},"citationItems":[{"id":29,"uris":["http://zotero.org/users/17280223/items/7TFBEDBG"],"itemData":{"id":29,"type":"article-journal","abstract":"Anxiety is a common experience and component of the human condition, but as a construct it is difficult to define and anxiety scales vary in which aspects are emphasized. In the present study, we analyzed and quantified the content overlap of self-report instruments used to measure non-specific or global anxiety. Categorization of the 313 items across thirteen commonly used anxiety scales resulted in 60 disparate categories that spanned a wide variety of symptoms. Mean overlap between all of the selected scales was generally low. On average, only 30.9.% of all symptoms were captured by any given measure. Results indicate that the scales are heterogenous in the content that they measure. Therefore, anxiety-related scales should not be assumed to be interchangeable and careful consideration should be taken when selecting measures.","container-title":"Journal of Psychopathology and Behavioral Assessment","DOI":"10.1007/s10862-022-09973-9","ISSN":"1573-3505","issue":"4","language":"en","page":"1148–1157","title":"What do Anxiety Scales Really Measure? An Item Content Analysis of Self-Report Measures of Anxiety","title-short":"What do Anxiety Scales Really Measure?","volume":"44","author":[{"family":"Wall","given":"Andy D."},{"family":"Lee","given":"Eric B."}],"issued":{"date-parts":[["2022",12]]}}}],"schema":"https://github.com/citation-style-language/schema/raw/master/csl-citation.json"}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(Wall &amp; Lee, 2022)</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C89616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Anxiety</w:t>
            </w:r>
          </w:p>
        </w:tc>
        <w:tc>
          <w:tcPr>
            <w:tcW w:w="2000" w:type="dxa"/>
            <w:gridSpan w:val="2"/>
            <w:noWrap/>
            <w:vAlign w:val="bottom"/>
            <w:hideMark/>
          </w:tcPr>
          <w:p w14:paraId="4D69D114"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13</w:t>
            </w:r>
          </w:p>
        </w:tc>
      </w:tr>
      <w:tr w:rsidR="002608EA" w:rsidRPr="002608EA" w14:paraId="19E71F6B" w14:textId="77777777" w:rsidTr="008C3829">
        <w:trPr>
          <w:trHeight w:val="288"/>
        </w:trPr>
        <w:tc>
          <w:tcPr>
            <w:tcW w:w="1727" w:type="dxa"/>
            <w:noWrap/>
            <w:vAlign w:val="bottom"/>
            <w:hideMark/>
          </w:tcPr>
          <w:p w14:paraId="23C08513"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Karstoft2023</w:t>
            </w:r>
          </w:p>
        </w:tc>
        <w:tc>
          <w:tcPr>
            <w:tcW w:w="3230" w:type="dxa"/>
            <w:noWrap/>
            <w:vAlign w:val="bottom"/>
            <w:hideMark/>
          </w:tcPr>
          <w:p w14:paraId="2BBDE0AD" w14:textId="1DD27C0F"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{"citationID":"a1te2s05mtt","properties":{"unsorted":false,"formattedCitation":"(Karstoft &amp; Armour, 2023)","plainCitation":"(Karstoft &amp; Armour, 2023)","noteIndex":0},"citationItems":[{"id":52,"uris":["http://zotero.org/users/17280223/items/7W3JNJXN"],"itemData":{"id":52,"type":"article-journal","abstract":"The accurate definition and assessment of trauma exposure is the foundation for replicable studies of mental health problems following trauma exposure. However, scales developed to assess trauma exposure might vary widely in terms of item content; overlap; and specifications of trauma intensity, frequency, duration, and timing. We compared eight frequently used self-report measures of trauma exposure to address content overlap and measurement heterogeneity. Combined, these measures assess 44 disparate exposures. Mean overlap across scales was moderate (M = 0.41, range: 0.25–0.48 across scales). Pairwise overlap between scales ranged from .19 to .59. We found 18 exposures (40.9%) that were included in one scale and three exposures (6.8%) that were included in all eight scales. Four of the included scales assess trauma frequency, five assess intensity or perceived danger, two assess duration, and four assess timing. The implications of measurement heterogeneity for clinical research as well as for comparability and replication of trauma-related research are discussed.","container-title":"Journal of Traumatic Stress","DOI":"10.1002/jts.22880","ISSN":"1573-6598","issue":"1","language":"en","license":"© 2022 ReedGroup Ltd. Journal of Traumatic Stress published by Wiley Periodicals LLC on behalf of International Society for Traumatic Stress Studies.","page":"71–82","title":"What we talk about when we talk about trauma: Content overlap and heterogeneity in the assessment of trauma exposure","title-short":"What we talk about when we talk about trauma","volume":"36","author":[{"family":"Karstoft","given":"Karen-Inge"},{"family":"Armour","given":"Chérie"}],"issued":{"date-parts":[["2023"]]}}}],"schema":"https://github.com/citation-style-language/schema/raw/master/csl-citation.json"}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(Karstoft &amp; Armour, 2023)</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2E611E39"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trauma exposure</w:t>
            </w:r>
          </w:p>
        </w:tc>
        <w:tc>
          <w:tcPr>
            <w:tcW w:w="2000" w:type="dxa"/>
            <w:gridSpan w:val="2"/>
            <w:noWrap/>
            <w:vAlign w:val="bottom"/>
            <w:hideMark/>
          </w:tcPr>
          <w:p w14:paraId="5ED12E39"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8</w:t>
            </w:r>
          </w:p>
        </w:tc>
      </w:tr>
      <w:tr w:rsidR="002608EA" w:rsidRPr="002608EA" w14:paraId="08ED5589" w14:textId="77777777" w:rsidTr="008C3829">
        <w:trPr>
          <w:trHeight w:val="288"/>
        </w:trPr>
        <w:tc>
          <w:tcPr>
            <w:tcW w:w="1727" w:type="dxa"/>
            <w:noWrap/>
            <w:vAlign w:val="bottom"/>
            <w:hideMark/>
          </w:tcPr>
          <w:p w14:paraId="52AD1620"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Elklit2024</w:t>
            </w:r>
          </w:p>
        </w:tc>
        <w:tc>
          <w:tcPr>
            <w:tcW w:w="3230" w:type="dxa"/>
            <w:noWrap/>
            <w:vAlign w:val="bottom"/>
            <w:hideMark/>
          </w:tcPr>
          <w:p w14:paraId="5536A3B0" w14:textId="5CC68854"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{"citationID":"aq4sv5bm4i","properties":{"unsorted":false,"formattedCitation":"(Elklit et al., 2024)","plainCitation":"(Elklit et al., 2024)","noteIndex":0},"citationItems":[{"id":149,"uris":["http://zotero.org/users/17280223/items/RXZ9VTNA"],"itemData":{"id":149,"type":"article-journal","abstract":"Background: International research has established that children and adolescents are at high risk for being exposed to violence. A systematic review published in 2023 recommended six child and adolescent self-report violence against children (VAC) measures, based on their psychometric properties, in a systematic COnsensus-based Standards for the selection of health Measurement INstruments (COSMIN) review. However, the degree of overlap and heterogeneity was not part of the analysis.\nObjective: To compare the six measures with respect to item overlap and differences concerning specification of exposure dimensions.\nMethod: A content analysis of the original 174 items resulted in a reduction to 38 unique items. These items were organized visually in a co-occurrence circle using an adapted version of Fried’s R code. Furthermore, a pairwise comparison of event lists was performed using the Jaccard index.\nResults: There was a modest overlap among the six measures. Only one item was present in all six measures, only two items were present in four measures, and 78% of the items were present in just one or two measures. The overall overlap between the six measures was 25%.\nConclusions: The lack of overlap among measures reflects a heterogeneity of definitions and purposes. It also impedes progress in research, as comparisons between various studies are difficult to make in a valid and reliable way. The lack of consensus also delays efficient political initiatives, because solid, consensual knowledge about the prevalence of VAC does not exist.","container-title":"European Journal of Psychotraumatology","DOI":"10.1080/20008066.2024.2392414","ISSN":"2000-8066","issue":"1","journalAbbreviation":"European Journal of Psychotraumatology","language":"en","page":"2392414","source":"DOI.org (Crossref)","title":"Is there consensus on child violence exposure measures? A study of six recommended instruments","title-short":"Is there consensus on child violence exposure measures?","volume":"15","author":[{"family":"Elklit","given":"Ask"},{"family":"Petterson","given":"Morten"},{"family":"Petersen","given":"Amalie Salbøg"},{"family":"Nielsen","given":"Tine"}],"issued":{"date-parts":[["2024",12,31]]}}}],"schema":"https://github.com/citation-style-language/schema/raw/master/csl-citation.json"}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(Elklit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2C327D8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child violence exposure</w:t>
            </w:r>
          </w:p>
        </w:tc>
        <w:tc>
          <w:tcPr>
            <w:tcW w:w="2000" w:type="dxa"/>
            <w:gridSpan w:val="2"/>
            <w:noWrap/>
            <w:vAlign w:val="bottom"/>
            <w:hideMark/>
          </w:tcPr>
          <w:p w14:paraId="2805FDFB"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6</w:t>
            </w:r>
          </w:p>
        </w:tc>
      </w:tr>
      <w:tr w:rsidR="002608EA" w:rsidRPr="002608EA" w14:paraId="25C9ABA9" w14:textId="77777777" w:rsidTr="008C3829">
        <w:trPr>
          <w:trHeight w:val="288"/>
        </w:trPr>
        <w:tc>
          <w:tcPr>
            <w:tcW w:w="1727" w:type="dxa"/>
            <w:noWrap/>
            <w:vAlign w:val="bottom"/>
            <w:hideMark/>
          </w:tcPr>
          <w:p w14:paraId="13F729F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lastRenderedPageBreak/>
              <w:t>Lampe2024</w:t>
            </w:r>
          </w:p>
        </w:tc>
        <w:tc>
          <w:tcPr>
            <w:tcW w:w="3230" w:type="dxa"/>
            <w:noWrap/>
            <w:vAlign w:val="bottom"/>
            <w:hideMark/>
          </w:tcPr>
          <w:p w14:paraId="0C1176E5" w14:textId="01BD5FF5"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{"citationID":"a2pkn7g5dtc","properties":{"unsorted":false,"formattedCitation":"(Lampe et al., 2024)","plainCitation":"(Lampe et al., 2024)","noteIndex":0},"citationItems":[{"id":153,"uris":["http://zotero.org/users/17280223/items/BZG49L88"],"itemData":{"id":153,"type":"article-journal","abstract":"Objective.—Although exercise is generally considered healthy, many individuals engage in maladaptive exercise (e.g., compulsive in nature). Several definitions of maladaptive exercise exist, leading to multiple, varied assessment tools; assuming homogeneity across these assessments contributes to low consensus in etiological models.","container-title":"International Journal of Eating Disorders","DOI":"10.1002/eat.24127","ISSN":"0276-3478, 1098-108X","issue":"3","journalAbbreviation":"Intl J Eating Disorders","language":"en","page":"558-567","source":"DOI.org (Crossref)","title":"Working out measurement overlap in the assessment of maladaptive exercise","volume":"57","author":[{"family":"Lampe","given":"Elizabeth W."},{"family":"Schaumberg","given":"Katherine"},{"family":"Kolar","given":"David"},{"family":"Coniglio","given":"Kathryn"},{"family":"Cooper","given":"Marita"},{"family":"Chapa","given":"Danielle A. N."},{"family":"Gorrell","given":"Sasha"}],"issued":{"date-parts":[["2024",3]]}}}],"schema":"https://github.com/citation-style-language/schema/raw/master/csl-citation.json"}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(Lampe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50AEF55"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maladaptive exercise</w:t>
            </w:r>
          </w:p>
        </w:tc>
        <w:tc>
          <w:tcPr>
            <w:tcW w:w="2000" w:type="dxa"/>
            <w:gridSpan w:val="2"/>
            <w:noWrap/>
            <w:vAlign w:val="bottom"/>
            <w:hideMark/>
          </w:tcPr>
          <w:p w14:paraId="5F8C55EF"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11</w:t>
            </w:r>
          </w:p>
        </w:tc>
      </w:tr>
      <w:tr w:rsidR="002608EA" w:rsidRPr="002608EA" w14:paraId="35A0B270" w14:textId="77777777" w:rsidTr="008C3829">
        <w:trPr>
          <w:trHeight w:val="288"/>
        </w:trPr>
        <w:tc>
          <w:tcPr>
            <w:tcW w:w="1727" w:type="dxa"/>
            <w:noWrap/>
            <w:vAlign w:val="bottom"/>
            <w:hideMark/>
          </w:tcPr>
          <w:p w14:paraId="44CB3335"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Klooster2024</w:t>
            </w:r>
          </w:p>
        </w:tc>
        <w:tc>
          <w:tcPr>
            <w:tcW w:w="3230" w:type="dxa"/>
            <w:noWrap/>
            <w:vAlign w:val="bottom"/>
            <w:hideMark/>
          </w:tcPr>
          <w:p w14:paraId="427856AA" w14:textId="0630E529"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{"citationID":"aaghmocqro","properties":{"unsorted":false,"formattedCitation":"(Ten Klooster et al., 2024)","plainCitation":"(Ten Klooster et al., 2024)","noteIndex":0},"citationItems":[{"id":151,"uris":["http://zotero.org/users/17280223/items/NBE8YU9T"],"itemData":{"id":151,"type":"article-journal","abstract":"Objectives: Central pain mechanisms may be prominent in a considerable subset of rheumatology patients with persistent pain. Several selfreport instruments have been used in previous research to infer the presence and severity of central sensitization (CS) that stem from different definitions or approaches of CS. The current study aimed to evaluate and quantify the overlap of actual symptoms measured among self-report measures of CS in rheumatology.\nMethods: We used Fried’s (2017) comprehensive systematic approach to analyse the content of five commonly used or typical self-report measures (Generalized Pain Questionnaire, Pain Sensitivity Questionnaire, Central Sensitization Inventory, Central Aspects of Pain in the Knee scale and the painDETECT) used in rheumatology research and to visualize and quantify the overlap in symptoms measured.\nResults: The five instruments together measured 39 different symptoms, most of which could be grouped into nociplastic pain manifestations (7 symptoms), neuropathic pain qualities (5 symptoms), and psychosomatic symptoms and emotional distress (25 symptoms). Most symptoms (74.4%) were unique to a single instrument. Thermal allodynia was the most frequently measured symptom across the different instruments, assessed in four of the measures. Average content overlap was very low and ranged from no overlap at all to moderate overlap (Jaccard index¼ 0.43) between pairs of instruments.\nConclusion: There is high heterogeneity and limited overlap in the content of self-report measures used to infer central pain sensitization. This may lead to results that are specific to the particular instrument and may limit the generalizability and comparability of study findings in rheumatology research.","container-title":"Rheumatology Advances in Practice","DOI":"10.1093/rap/rkae108","ISSN":"2514-1775","issue":"3","language":"en","license":"https://creativecommons.org/licenses/by/4.0/","page":"rkae108","source":"DOI.org (Crossref)","title":"Limited content overlap between commonly used self-report instruments for central (pain) sensitization in rheumatology","volume":"8","author":[{"family":"Ten Klooster","given":"Peter M"},{"family":"Simoes","given":"Jorge P"},{"family":"Vonkeman","given":"Harald E"}],"issued":{"date-parts":[["2024",6,7]]}}}],"schema":"https://github.com/citation-style-language/schema/raw/master/csl-citation.json"}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(Ten Klooster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DA18C81"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central pain sensitization</w:t>
            </w:r>
          </w:p>
        </w:tc>
        <w:tc>
          <w:tcPr>
            <w:tcW w:w="2000" w:type="dxa"/>
            <w:gridSpan w:val="2"/>
            <w:noWrap/>
            <w:vAlign w:val="bottom"/>
            <w:hideMark/>
          </w:tcPr>
          <w:p w14:paraId="5997F50C"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5</w:t>
            </w:r>
          </w:p>
        </w:tc>
      </w:tr>
      <w:tr w:rsidR="002608EA" w:rsidRPr="002608EA" w14:paraId="6FBBD113" w14:textId="77777777" w:rsidTr="008C3829">
        <w:trPr>
          <w:trHeight w:val="288"/>
        </w:trPr>
        <w:tc>
          <w:tcPr>
            <w:tcW w:w="1727" w:type="dxa"/>
            <w:noWrap/>
            <w:vAlign w:val="bottom"/>
            <w:hideMark/>
          </w:tcPr>
          <w:p w14:paraId="70EA4DC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Vial2019</w:t>
            </w:r>
          </w:p>
        </w:tc>
        <w:tc>
          <w:tcPr>
            <w:tcW w:w="3230" w:type="dxa"/>
            <w:noWrap/>
            <w:vAlign w:val="bottom"/>
            <w:hideMark/>
          </w:tcPr>
          <w:p w14:paraId="67B78684" w14:textId="342B2A6D"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{"citationID":"ai7str8khh","properties":{"unsorted":false,"formattedCitation":"(Vial et al., 2020)","plainCitation":"(Vial et al., 2020)","noteIndex":0},"citationItems":[{"id":144,"uris":["http://zotero.org/users/17280223/items/YZ2V5R7K"],"itemData":{"id":144,"type":"article-journal","abstract":"This review aimed to compare child safety assessment instruments, which are used by child welfare professionals to determine whether a child is in immediate danger, and subsequently, whether immediate action is required to stop or prevent serious harm to the child. We searched electronic databases for articles discussing child safety assessment in the broadest possible sense, after which child safety assessment instruments were identified by searching the full-text of relevant articles. In total, the search yielded 11 child safety assessment instruments that met the inclusion criteria. Six of these instruments were developed independently and thus included in the comparison, whereas the other five were variations of the Structured Decision Making model. The results of the comparison revealed a number of immediate child safety aspects that are measured in most safety assessment instruments, such as sexual abuse, neglect, physical abuse, domestic violence, refusing access to the child by caregivers, a caregiver’s substance abuse impairing capacity to supervise, protect, or care for the child, and describing and/or acting towards the child in a predominantly negative manner. This implies that these aspects may be content-valid even though the quality of the included instruments needs to be evaluated further. Remarkable was that most instruments and manuals do not define “immediate”, even though this aspect is central to (immediate) child safety which these instruments aim to assess. Further research on safety assessment instruments is essential, as most instruments are only practice-based. The next important step is to develop practice and evidence-based instruments.","container-title":"Children and Youth Services Review","DOI":"10.1016/j.childyouth.2019.104555","ISSN":"01907409","journalAbbreviation":"Children and Youth Services Review","language":"en","page":"104555","source":"DOI.org (Crossref)","title":"Safety assessment in child welfare: A comparison of instruments","title-short":"Safety assessment in child welfare","volume":"108","author":[{"family":"Vial","given":"Annemiek"},{"family":"Assink","given":"Mark"},{"family":"Stams","given":"Geert Jan J.M."},{"family":"Van Der Put","given":"Claudia"}],"issued":{"date-parts":[["2020",1]]}}}],"schema":"https://github.com/citation-style-language/schema/raw/master/csl-citation.json"}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(Vial et al., 2020)</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6B05617"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child safety</w:t>
            </w:r>
          </w:p>
        </w:tc>
        <w:tc>
          <w:tcPr>
            <w:tcW w:w="2000" w:type="dxa"/>
            <w:gridSpan w:val="2"/>
            <w:noWrap/>
            <w:vAlign w:val="bottom"/>
            <w:hideMark/>
          </w:tcPr>
          <w:p w14:paraId="35E3658E"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58AB1B99" w14:textId="77777777" w:rsidTr="008C3829">
        <w:trPr>
          <w:trHeight w:val="288"/>
        </w:trPr>
        <w:tc>
          <w:tcPr>
            <w:tcW w:w="1727" w:type="dxa"/>
            <w:noWrap/>
            <w:vAlign w:val="bottom"/>
            <w:hideMark/>
          </w:tcPr>
          <w:p w14:paraId="1350B39A"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Deericks2025</w:t>
            </w:r>
          </w:p>
        </w:tc>
        <w:tc>
          <w:tcPr>
            <w:tcW w:w="3230" w:type="dxa"/>
            <w:noWrap/>
            <w:vAlign w:val="bottom"/>
            <w:hideMark/>
          </w:tcPr>
          <w:p w14:paraId="1A06CB6D" w14:textId="72E2C1AD"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{"citationID":"agod6naff4","properties":{"unsorted":false,"formattedCitation":"(Deericks et al., 2025)","plainCitation":"(Deericks et al., 2025)","noteIndex":0},"citationItems":[{"id":163,"uris":["http://zotero.org/users/17280223/items/K5S4JD9W"],"itemData":{"id":163,"type":"article-journal","abstract":"Objectives: Adverse childhood experiences can negatively affect a child’s emotions, behaviors, academic performance, and self-regulation abilities. Trauma-informed education practice consists of a variety of techniques that recognize the impact of trauma on individuals and aims to create a supportive environment for those who have faced adverse experiences in their early years. This literature review analyzed the current literature on the implementation of trauma-informed approaches in schools and their potential influence on students who have encountered childhood trauma.\nMethods: Articles published between 1982 and 2024 discussing traumainformed education practices for students with childhood trauma were included in this search. The search strategy involved using keywords such as “childhood trauma” and “trauma-informed classrooms.” The articles selected for this review primarily comprised systematic reviews, literature reviews, and mixed-methods study designs while abstract-only articles were excluded.\nResults: Students who have experienced trauma may show symptoms resembling ADHD, conduct disorder, ODD, reactive attachment, disinhibited social engagement, and/or acute stress disorders in the classroom. Those who have gone through adverse childhood experiences are more prone to being suspended or expelled, achieving lower academic performance, facing a higher risk of language delays, and being placed in special education. Due to the challenging behaviors occasionally exhibited by children, educators may employ a disciplinary approach in their interactions which may overlook a child’s complex history. For an intervention to be considered a trauma-informed school approach, the teachers who took part in a trauma-informed program showed improved ability to handle defiant behavior without immediately resorting to traditional disciplinary measures.\nConclusions: Teacher training programs focused on trauma-informed practices have the potential to significantly benefit students with childhood trauma by creating empathetic learning environments. Integrating a wholeschool, trauma-informed approach into educational settings increases educators’ awareness. It improves their self-efficacy in meeting the needs of trauma-affected students, ultimately leading to positive outcomes.","container-title":"Journal of the American Academy of Child &amp; Adolescent Psychiatry","DOI":"10.1016/j.jaac.2025.08.453","ISSN":"08908567","issue":"10","journalAbbreviation":"Journal of the American Academy of Child &amp; Adolescent Psychiatry","language":"en","page":"S297","source":"DOI.org (Crossref)","title":"5.68 Trauma Measures Are Not Interchangeable: Item Content Analysis of Scales Used to Screen or Assess Trauma and PTSD","title-short":"5.68 Trauma Measures Are Not Interchangeable","volume":"64","author":[{"family":"Deericks","given":"Halle A."},{"family":"McClellan","given":"Marissa B."},{"family":"Sabgir","given":"Charles"},{"family":"Youngstrom","given":"Eric A."},{"family":"Baggs","given":"Jeremy J."}],"issued":{"date-parts":[["2025",10]]}}}],"schema":"https://github.com/citation-style-language/schema/raw/master/csl-citation.json"}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w:t>
            </w:r>
            <w:proofErr w:type="spellStart"/>
            <w:r w:rsidRPr="001A1DB3">
              <w:rPr>
                <w:rFonts w:ascii="Aptos Narrow" w:hAnsi="Aptos Narrow" w:cs="Times New Roman"/>
                <w:kern w:val="0"/>
              </w:rPr>
              <w:t>Deericks</w:t>
            </w:r>
            <w:proofErr w:type="spellEnd"/>
            <w:r w:rsidRPr="001A1DB3">
              <w:rPr>
                <w:rFonts w:ascii="Aptos Narrow" w:hAnsi="Aptos Narrow" w:cs="Times New Roman"/>
                <w:kern w:val="0"/>
              </w:rPr>
              <w:t xml:space="preserve"> et al., 2025)</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1B6DC15"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PTSD</w:t>
            </w:r>
          </w:p>
        </w:tc>
        <w:tc>
          <w:tcPr>
            <w:tcW w:w="2000" w:type="dxa"/>
            <w:gridSpan w:val="2"/>
            <w:noWrap/>
            <w:vAlign w:val="bottom"/>
            <w:hideMark/>
          </w:tcPr>
          <w:p w14:paraId="2F25D00C"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9</w:t>
            </w:r>
          </w:p>
        </w:tc>
      </w:tr>
      <w:tr w:rsidR="002608EA" w:rsidRPr="002608EA" w14:paraId="1385CE70" w14:textId="77777777" w:rsidTr="008C3829">
        <w:trPr>
          <w:trHeight w:val="288"/>
        </w:trPr>
        <w:tc>
          <w:tcPr>
            <w:tcW w:w="1727" w:type="dxa"/>
            <w:noWrap/>
            <w:vAlign w:val="bottom"/>
            <w:hideMark/>
          </w:tcPr>
          <w:p w14:paraId="374EA21C"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Gauld2024</w:t>
            </w:r>
          </w:p>
        </w:tc>
        <w:tc>
          <w:tcPr>
            <w:tcW w:w="3230" w:type="dxa"/>
            <w:noWrap/>
            <w:vAlign w:val="bottom"/>
            <w:hideMark/>
          </w:tcPr>
          <w:p w14:paraId="5EADEABB" w14:textId="107E7742"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{"citationID":"ag0gkrbltu","properties":{"unsorted":false,"formattedCitation":"(Gauld et al., 2024)","plainCitation":"(Gauld et al., 2024)","noteIndex":0},"citationItems":[{"id":165,"uris":["http://zotero.org/users/17280223/items/DUAZJBAW"],"itemData":{"id":165,"type":"article-journal","abstract":"Methods: We conducted an item content analysis of 11 OSA screening questionnaires validated in adult populations and characterized their overlap using a 4-step approach: (1) selection of OSA screening questionnaires, (2) item extraction and selection, (3) extraction of symptoms from items, and (4) assessment of content overlap with the Jaccard index (from 0, no overlap, to 1, full overlap).\nResults: We extracted 72 items that provided 25 distinct symptoms from 11 selected OSA questionnaires. The overlap between them was weak (mean Jaccard index: 0.224; ranging from 0.138 to 0.329). All questionnaires contained symptoms of the “OSA symptom” dimension (eg, snoring or witnessed apneas). The STOP-BANG (0.329) and the Berlin (0.280) questionnaires exhibited the highest overlap content. Ten symptoms (40%) were investigated in only 1 questionnaire.\nConclusions: The heterogeneity of content and the low overlap across these questionnaires reflect the challenges of screening OSA. The different OSA questionnaires potentially capture varying aspects of the disorder, with the risk of biased results in studies. Suggestions are made for better OSA screening and refinement of clinical OSA phenotypes.","container-title":"Journal of Clinical Sleep Medicine","DOI":"10.5664/jcsm.11086","ISSN":"1550-9389, 1550-9397","issue":"7","journalAbbreviation":"Journal of Clinical Sleep Medicine","language":"en","page":"1105-1117","source":"DOI.org (Crossref)","title":"Symptom content analysis of OSA questionnaires: time to identify and improve relevance of diversity of OSA symptoms?","title-short":"Symptom content analysis of OSA questionnaires","volume":"20","author":[{"family":"Gauld","given":"Christophe"},{"family":"Baillieul","given":"Sébastien"},{"family":"Martin","given":"Vincent P."},{"family":"Richaud","given":"Alexandre"},{"family":"Lopez","given":"Régis"},{"family":"Pelou","given":"Marie"},{"family":"Abi-Saab","given":"Poeiti"},{"family":"Coelho","given":"Julien"},{"family":"Philip","given":"Pierre"},{"family":"Pépin","given":"Jean Louis"},{"family":"Micoulaud-Franchi","given":"Jean-Arthur"}],"issued":{"date-parts":[["2024",7]]}}}],"schema":"https://github.com/citation-style-language/schema/raw/master/csl-citation.json"}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(Gauld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5112EA9D"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 xml:space="preserve">obstructive sleep </w:t>
            </w:r>
            <w:proofErr w:type="spellStart"/>
            <w:r w:rsidRPr="002608EA">
              <w:rPr>
                <w:rFonts w:ascii="Aptos Narrow" w:eastAsia="Times New Roman" w:hAnsi="Aptos Narrow" w:cs="Times New Roman"/>
                <w:color w:val="000000"/>
                <w:kern w:val="0"/>
                <w:lang w:val="en-CH" w:eastAsia="en-CH"/>
                <w14:ligatures w14:val="none"/>
              </w:rPr>
              <w:t>apnea</w:t>
            </w:r>
            <w:proofErr w:type="spellEnd"/>
          </w:p>
        </w:tc>
        <w:tc>
          <w:tcPr>
            <w:tcW w:w="2000" w:type="dxa"/>
            <w:gridSpan w:val="2"/>
            <w:noWrap/>
            <w:vAlign w:val="bottom"/>
            <w:hideMark/>
          </w:tcPr>
          <w:p w14:paraId="5DBF6B57"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11</w:t>
            </w:r>
          </w:p>
        </w:tc>
      </w:tr>
      <w:tr w:rsidR="002608EA" w:rsidRPr="002608EA" w14:paraId="06628194" w14:textId="77777777" w:rsidTr="008C3829">
        <w:trPr>
          <w:trHeight w:val="288"/>
        </w:trPr>
        <w:tc>
          <w:tcPr>
            <w:tcW w:w="1727" w:type="dxa"/>
            <w:noWrap/>
            <w:vAlign w:val="bottom"/>
            <w:hideMark/>
          </w:tcPr>
          <w:p w14:paraId="0F4D4C6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Chrobak2024</w:t>
            </w:r>
          </w:p>
        </w:tc>
        <w:tc>
          <w:tcPr>
            <w:tcW w:w="3230" w:type="dxa"/>
            <w:noWrap/>
            <w:vAlign w:val="bottom"/>
            <w:hideMark/>
          </w:tcPr>
          <w:p w14:paraId="237890E4" w14:textId="35FB9870"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{"citationID":"a1os5i4eok5","properties":{"unsorted":false,"formattedCitation":"(Chrobak et al., 2024)","plainCitation":"(Chrobak et al., 2024)","noteIndex":0},"citationItems":[{"id":167,"uris":["http://zotero.org/users/17280223/items/UG5B8M8Q"],"itemData":{"id":167,"type":"article-journal","abstract":"Introduction Dystonia is a movement disorder characterized by sustained or intermittent muscle contractions. Cervical dystonia (CD) is the most common focal dystonia. There are several instruments assessing the symptoms of CD. However, different scales assess different features which may lead to poor patient evaluation. Aim The aim of the study was to evaluate the degree of overlap of most often used CD rating scales identified by the literature review.\nMethods A thorough search of the Medline database was conducted in September 2021. Then the frequency of each scale was calculated, and 7 most common scales were included in the content overlap analysis using Jaccard index (0 – no overlap, 1 – full overlap).\nResults Toronto Western Spasmodic Torticollis Rating Scale (TWSTRS), Tsui score, Burke-Fahn-Marsden Dystonia Rating Scale (BFMDRS), Cervical Dystonia Impact Profile 58 (CDIP-58), Craniocervical Dystonia Questionnaire 24 (CDQ-24), Cervical Dystonia Severity Rating Scale (CDSS), Cervical Dystonia Severity Rating Scale (DDS) and The Dystonia NonMotor Symptoms Questionnaire (DNMSQuest) were the most common scales. 91 CD symptoms were distinguished from 134 items used in the scales. The mean overlap among all scales was 0.17. 52 (62%) symptoms were examined by more than one scale. The CIDP-58 captured the highest number of symptoms (63.0%), while the CDSS captured the lowest number (8.0%). None of the symptoms were examined by seven instruments.\nConclusions There was a very weak overlap among scales. High inconsistency between the scales may lead to highly different dystonia severity assessment in clinical practice. Thus, the instruments should be combined.","container-title":"Neurological Sciences","DOI":"10.1007/s10072-023-07157-1","ISSN":"1590-1874, 1590-3478","issue":"4","journalAbbreviation":"Neurol Sci","language":"en","page":"1507-1514","source":"DOI.org (Crossref)","title":"Content overlap of 91 dystonia symptoms among the seven most commonly used cervical dystonia scales","volume":"45","author":[{"family":"Chrobak","given":"Adrian Andrzej"},{"family":"Rusinek","given":"Jakub"},{"family":"Dec-Ćwiek","given":"Małgorzata"},{"family":"Porębska","given":"Karolina"},{"family":"Siwek","given":"Marcin"}],"issued":{"date-parts":[["2024",4]]}}}],"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(Chrobak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635B3844"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cervical dystonia</w:t>
            </w:r>
          </w:p>
        </w:tc>
        <w:tc>
          <w:tcPr>
            <w:tcW w:w="2000" w:type="dxa"/>
            <w:gridSpan w:val="2"/>
            <w:noWrap/>
            <w:vAlign w:val="bottom"/>
            <w:hideMark/>
          </w:tcPr>
          <w:p w14:paraId="3D8A86CF"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47D9E294" w14:textId="77777777" w:rsidTr="008C3829">
        <w:trPr>
          <w:trHeight w:val="288"/>
        </w:trPr>
        <w:tc>
          <w:tcPr>
            <w:tcW w:w="1727" w:type="dxa"/>
            <w:noWrap/>
            <w:vAlign w:val="bottom"/>
            <w:hideMark/>
          </w:tcPr>
          <w:p w14:paraId="0C11BE18"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Leung2025</w:t>
            </w:r>
          </w:p>
        </w:tc>
        <w:tc>
          <w:tcPr>
            <w:tcW w:w="3230" w:type="dxa"/>
            <w:noWrap/>
            <w:vAlign w:val="bottom"/>
            <w:hideMark/>
          </w:tcPr>
          <w:p w14:paraId="1FB66275" w14:textId="38BF82D9"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{"citationID":"a23au02jpcd","properties":{"unsorted":false,"formattedCitation":"(Leung &amp; Molnar, 2024)","plainCitation":"(Leung &amp; Molnar, 2024)","noteIndex":0},"citationItems":[{"id":169,"uris":["http://zotero.org/users/17280223/items/83D37GME"],"itemData":{"id":169,"type":"article","abstract":"Purpose: A variety of assessment tools (e.g. questionnaires) measure the type and degree of bilingualism in children in both research and clinical settings. Although these tools are often assumed to evaluate the same constructs and be interchangeable, this may not be the case, as indicated by other recent reviews. This review critically evaluated existing measures of child bilingualism, focusing on item-content overlap, measure development, and pragmatic quality.\nMethod: A database and manual search identified studies on child bilingualism measure development, which were then appraised using the Psychometric and Pragmatic Evidence Rating Scale and the Consensus-based Standards for the Selection of Health Measurement Instruments.\nResult: Analysis across the six identified measures showed weak between-measure content overlap, with less than one quarter of items shared on average, suggesting they assess different constructs. Ratings indicated varied pragmatic quality, especially in assessor burden (training, interpretation). Consensus-based Standards for the Selection of Health Measurement Instruments evaluations also highlighted shortcomings in measure design and development.\nConclusion: The findings underscore the need for improved content validity and better pragmatic criteria for the clinical use of these tools. We offer recommendations for measure selection dependent on use case (e.g. setting-specific needs) and suggestions for future bilingualism measure development, prioritising a pragmatic approach.","DOI":"10.1101/2024.10.30.24316440","language":"en","license":"http://creativecommons.org/licenses/by-nd/4.0/","publisher":"Rehabilitation Medicine and Physical Therapy","source":"DOI.org (Crossref)","title":"Bilingualism measures in children: A critical review of content overlap, development, and pragmatic quality","title-short":"Bilingualism measures in children","URL":"http://medrxiv.org/lookup/doi/10.1101/2024.10.30.24316440","author":[{"family":"Leung","given":"Kai Ian"},{"family":"Molnar","given":"Monika"}],"accessed":{"date-parts":[["2025",12,12]]},"issued":{"date-parts":[["2024",11,1]]}}}],"schema":"https://github.com/citation-style-language/schema/raw/master/csl-citation.json"}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(Leung &amp; Molnar,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32EBDDC6"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bilingualism in children</w:t>
            </w:r>
          </w:p>
        </w:tc>
        <w:tc>
          <w:tcPr>
            <w:tcW w:w="2000" w:type="dxa"/>
            <w:gridSpan w:val="2"/>
            <w:noWrap/>
            <w:vAlign w:val="bottom"/>
            <w:hideMark/>
          </w:tcPr>
          <w:p w14:paraId="1DA7C268"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6</w:t>
            </w:r>
          </w:p>
        </w:tc>
      </w:tr>
      <w:tr w:rsidR="002608EA" w:rsidRPr="002608EA" w14:paraId="7D2F6FFF" w14:textId="77777777" w:rsidTr="008C3829">
        <w:trPr>
          <w:trHeight w:val="288"/>
        </w:trPr>
        <w:tc>
          <w:tcPr>
            <w:tcW w:w="1727" w:type="dxa"/>
            <w:noWrap/>
            <w:vAlign w:val="bottom"/>
            <w:hideMark/>
          </w:tcPr>
          <w:p w14:paraId="0CD61698"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Lindert2025</w:t>
            </w:r>
          </w:p>
        </w:tc>
        <w:tc>
          <w:tcPr>
            <w:tcW w:w="3230" w:type="dxa"/>
            <w:noWrap/>
            <w:vAlign w:val="bottom"/>
            <w:hideMark/>
          </w:tcPr>
          <w:p w14:paraId="0C2D7BFF" w14:textId="698E8736"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{"citationID":"a2qe64q885h","properties":{"unsorted":false,"formattedCitation":"(Lindert et al., 2025)","plainCitation":"(Lindert et al., 2025)","noteIndex":0},"citationItems":[{"id":198,"uris":["http://zotero.org/users/17280223/items/IIZJW5JD"],"itemData":{"id":198,"type":"article-journal","abstract":"Background:\n              Despite increasing research on substance use among migrants and refugees, little attention has been paid to the instruments assessing substance use in these populations. This systematic review examines the suitability of substance use instruments for use in migrant and refugee populations and the quality of the instruments.\n            \n            \n              Methods:\n              A systematic search of the electronic databases PubMed, Web of Science, PsychINFO, and EMBASE was performed. Articles were eligible if they assessed substance use among refugees using a standardized instrument. Instrument properties were assessed using a standardized checklist, and the measurement properties were evaluated according to Terwee’s criteria.\n            \n            \n              Results:\n              In total, n</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2654 studies were retrieved. Of those, we included n</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55 studies. The most frequently used instrument was the Alcohol Disorder Identification Test (n</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20, 36.4%) followed by the CAGE/CAGE4M and the Mini International Neuropsychiatric Interview (n</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7 studies each, 12.7%). Out of 24 instruments, 18 (75%) were developed in English. Content validity, cross-cultural validity, and criterion validity were unreported for most instruments (n</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13, 54.2%). None of the instruments were developed with input from refugees. Completion time of the instruments ranged from 1 to 120</w:instrText>
            </w:r>
            <w:r>
              <w:rPr>
                <w:rFonts w:ascii="Arial" w:eastAsia="Times New Roman" w:hAnsi="Arial" w:cs="Arial"/>
                <w:color w:val="000000"/>
                <w:kern w:val="0"/>
                <w:lang w:val="en-CH" w:eastAsia="en-CH"/>
                <w14:ligatures w14:val="none"/>
              </w:rPr>
              <w:instrText> </w:instrText>
            </w:r>
            <w:r>
              <w:rPr>
                <w:rFonts w:ascii="Aptos Narrow" w:eastAsia="Times New Roman" w:hAnsi="Aptos Narrow" w:cs="Times New Roman"/>
                <w:color w:val="000000"/>
                <w:kern w:val="0"/>
                <w:lang w:val="en-CH" w:eastAsia="en-CH"/>
                <w14:ligatures w14:val="none"/>
              </w:rPr>
              <w:instrText xml:space="preserve">minutes. Psychometric properties were either not assessed in refugees or were moderate.\n            \n            \n              Conclusion:\n              None of the assessed instruments met all the psychometric criteria sufficiently. Therefore, it will be necessary to develop a rationale for instruments to better fit the needs of diverse groups of migrants and refugees. Accordingly, these instruments fitted to specific groups will allow for better measurement of substance use, diagnosis, and monitoring of treatment.","container-title":"Substance Use &amp; Addiction Journal","DOI":"10.1177/29767342251348146","ISSN":"2976-7342, 2976-7350","issue":"4","journalAbbreviation":"Substance Use &amp; Addiction Journal","language":"en","page":"1070-1088","source":"DOI.org (Crossref)","title":"Measuring Substance Use in Refugees: A Systematic Review of Assessment Instruments","title-short":"Measuring Substance Use in Refugees","volume":"46","author":[{"family":"Lindert","given":"Jutta"},{"family":"Behr","given":"Kim-Julian"},{"family":"Arndt","given":"Sarah"},{"family":"Jakubauskiene","given":"Marija"},{"family":"Bain","given":"Paul A."},{"family":"Milin","given":"Sascha"},{"family":"Schuh","given":"Lisa Marie"},{"family":"Schäfer","given":"Ingo"}],"issued":{"date-parts":[["2025",10]]}}}],"schema":"https://github.com/citation-style-language/schema/raw/master/csl-citation.json"}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(Lindert et al., 2025)</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47FA90A5"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 xml:space="preserve">Substance Use in Refugees </w:t>
            </w:r>
          </w:p>
        </w:tc>
        <w:tc>
          <w:tcPr>
            <w:tcW w:w="2000" w:type="dxa"/>
            <w:gridSpan w:val="2"/>
            <w:noWrap/>
            <w:vAlign w:val="bottom"/>
            <w:hideMark/>
          </w:tcPr>
          <w:p w14:paraId="728BEDD1"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24</w:t>
            </w:r>
          </w:p>
        </w:tc>
      </w:tr>
      <w:tr w:rsidR="002608EA" w:rsidRPr="002608EA" w14:paraId="2B9FABAE" w14:textId="77777777" w:rsidTr="008C3829">
        <w:trPr>
          <w:trHeight w:val="288"/>
        </w:trPr>
        <w:tc>
          <w:tcPr>
            <w:tcW w:w="1727" w:type="dxa"/>
            <w:noWrap/>
            <w:vAlign w:val="bottom"/>
            <w:hideMark/>
          </w:tcPr>
          <w:p w14:paraId="1FE87A4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Dass2024</w:t>
            </w:r>
          </w:p>
        </w:tc>
        <w:tc>
          <w:tcPr>
            <w:tcW w:w="3230" w:type="dxa"/>
            <w:noWrap/>
            <w:vAlign w:val="bottom"/>
            <w:hideMark/>
          </w:tcPr>
          <w:p w14:paraId="34A6E9C1" w14:textId="46255905"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{"citationID":"au9bk5q8nq","properties":{"unsorted":false,"formattedCitation":"(Dass et al., 2024)","plainCitation":"(Dass et al., 2024)","noteIndex":0},"citationItems":[{"id":177,"uris":["http://zotero.org/users/17280223/items/MIBUKBC3"],"itemData":{"id":177,"type":"article-journal","abstract":"Bilingualism is a multifaceted experience that researchers have examined using various questionnaires to gain insights and characterize the experience. However, there are several issues related to questionnaire choice. To address this, we applied CONTENT OVERLAP ANALYSIS to seven prevalent bilingualism questionnaires, assessing their affinity. We found little overlap in these questionnaires; most had fewer than 15% of items in common, suggesting they capture different aspects of the bilingual experience and provide complementary rather than redundant data for researchers. Our investigation highlights the importance of choosing a bilingualism assessment tool to carefully fit research questions and sample language experiences.","container-title":"Bilingualism: Language and Cognition","DOI":"10.1017/S1366728923000767","ISSN":"1366-7289, 1469-1841","issue":"4","journalAbbreviation":"Bilingualism","language":"en","page":"744-750","source":"DOI.org (Crossref)","title":"A Content Overlap Analysis of bilingualism questionnaires: Considering diversity","title-short":"A Content Overlap Analysis of bilingualism questionnaires","volume":"27","author":[{"family":"Dass","given":"Ronessa"},{"family":"Smirnova-Godoy","given":"Irina"},{"family":"McColl","given":"Olivia"},{"family":"Grundy","given":"John G."},{"family":"Luk","given":"Gigi"},{"family":"Anderson","given":"John A. E."}],"issued":{"date-parts":[["2024",8]]}}}],"schema":"https://github.com/citation-style-language/schema/raw/master/csl-citation.json"}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(Dass et al., 2024)</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0262584D"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bilingualism</w:t>
            </w:r>
          </w:p>
        </w:tc>
        <w:tc>
          <w:tcPr>
            <w:tcW w:w="2000" w:type="dxa"/>
            <w:gridSpan w:val="2"/>
            <w:noWrap/>
            <w:vAlign w:val="bottom"/>
            <w:hideMark/>
          </w:tcPr>
          <w:p w14:paraId="11E22485"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7</w:t>
            </w:r>
          </w:p>
        </w:tc>
      </w:tr>
      <w:tr w:rsidR="002608EA" w:rsidRPr="002608EA" w14:paraId="69A753D9" w14:textId="77777777" w:rsidTr="008C3829">
        <w:trPr>
          <w:trHeight w:val="288"/>
        </w:trPr>
        <w:tc>
          <w:tcPr>
            <w:tcW w:w="1727" w:type="dxa"/>
            <w:noWrap/>
            <w:vAlign w:val="bottom"/>
            <w:hideMark/>
          </w:tcPr>
          <w:p w14:paraId="278A06E2"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Newson2020</w:t>
            </w:r>
          </w:p>
        </w:tc>
        <w:tc>
          <w:tcPr>
            <w:tcW w:w="3230" w:type="dxa"/>
            <w:noWrap/>
            <w:vAlign w:val="bottom"/>
            <w:hideMark/>
          </w:tcPr>
          <w:p w14:paraId="7536C951" w14:textId="07384EE8"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{"citationID":"a1teve7cdqs","properties":{"unsorted":false,"formattedCitation":"(Newson et al., 2020)","plainCitation":"(Newson et al., 2020)","noteIndex":0},"citationItems":[{"id":161,"uris":["http://zotero.org/users/17280223/items/DX9M7FCD"],"itemData":{"id":161,"type":"article-journal","abstract":"Across the landscape of mental health research and diagnosis, there is a diverse range of questionnaires and interviews available for use by clinicians and researchers to determine patient treatment plans or investigate internal and external etiologies. Although individually, these tools have each been assessed for their validity and reliability, there is little research examining the consistency between them in terms of what symptoms they assess, and how they assess those symptoms. Here, we provide an analysis of 126 different questionnaires and interviews commonly used to diagnose and screen for 10 different disorder types including depression, anxiety, obsessive compulsive disorder (OCD), posttraumatic stress disorder (PTSD), attention deﬁcit/hyperactivity disorder (ADHD), autism spectrum disorder (ASD), addiction, bipolar disorder, eating disorder, and schizophrenia, as well as comparator questionnaires and interviews that offer an all-in-one cross-disorder assessment of mental health. We demonstrate substantial inconsistency in the inclusion and emphasis of symptoms assessed within disorders as well as considerable symptom overlap across disorder-speciﬁc tools. Within the same disorder, similarity scores across assessment tools ranged from 29% for assessment of bipolar disorder to a maximum of 58% for OCD. Furthermore, when looking across disorders, 60% of symptoms were assessed in at least half of all disorders illustrating the extensive overlap in symptom proﬁles between disorder-speciﬁc assessment tools. Biases in assessment toward emotional, cognitive, physical or behavioral symptoms were also observed, further adding to the heterogeneity across assessments. Analysis of other characteristics such as the time period over which symptoms were assessed, as well as whether there was a focus toward frequency, severity or duration of symptoms also varied substantially across assessment tools. The consequence of this inconsistent and heterogeneous assessment landscape is that it hinders clinical diagnosis and treatment and frustrates understanding of the social, environmental, and biological factors that contribute to mental health symptoms and disorders. Altogether, it underscores the need for standardized assessment tools that are more disorder agnostic and span the full spectrum of mental health symptoms to aid the understanding of underlying etiologies and the discovery of new treatments for psychiatric dysfunction.","container-title":"Frontiers in Psychiatry","DOI":"10.3389/fpsyt.2020.00076","ISSN":"1664-0640","journalAbbreviation":"Front. Psychiatry","language":"en","page":"76","source":"DOI.org (Crossref)","title":"The Heterogeneity of Mental Health Assessment","volume":"11","author":[{"family":"Newson","given":"Jennifer J."},{"family":"Hunter","given":"Daniel"},{"family":"Thiagarajan","given":"Tara C."}],"issued":{"date-parts":[["2020",2,27]]}}}],"schema":"https://github.com/citation-style-language/schema/raw/master/csl-citation.json"}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(Newson et al., 2020)</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51D611A0"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10 mental health disorders</w:t>
            </w:r>
          </w:p>
        </w:tc>
        <w:tc>
          <w:tcPr>
            <w:tcW w:w="2000" w:type="dxa"/>
            <w:gridSpan w:val="2"/>
            <w:noWrap/>
            <w:vAlign w:val="bottom"/>
            <w:hideMark/>
          </w:tcPr>
          <w:p w14:paraId="1C6F01DE"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126</w:t>
            </w:r>
          </w:p>
        </w:tc>
      </w:tr>
      <w:tr w:rsidR="002608EA" w:rsidRPr="002608EA" w14:paraId="3CBED238" w14:textId="77777777" w:rsidTr="008C3829">
        <w:trPr>
          <w:trHeight w:val="288"/>
        </w:trPr>
        <w:tc>
          <w:tcPr>
            <w:tcW w:w="1727" w:type="dxa"/>
            <w:noWrap/>
            <w:vAlign w:val="bottom"/>
            <w:hideMark/>
          </w:tcPr>
          <w:p w14:paraId="5348A07F"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Garcia2027</w:t>
            </w:r>
          </w:p>
        </w:tc>
        <w:tc>
          <w:tcPr>
            <w:tcW w:w="3230" w:type="dxa"/>
            <w:noWrap/>
            <w:vAlign w:val="bottom"/>
            <w:hideMark/>
          </w:tcPr>
          <w:p w14:paraId="2441FADC" w14:textId="382B3D61" w:rsidR="002608EA" w:rsidRPr="002608EA" w:rsidRDefault="001A1DB3" w:rsidP="002608EA">
            <w:pPr>
              <w:spacing w:after="0" w:line="240" w:lineRule="auto"/>
              <w:rPr>
                <w:rFonts w:ascii="Aptos Narrow" w:eastAsia="Times New Roman" w:hAnsi="Aptos Narrow" w:cs="Times New Roman"/>
                <w:color w:val="000000"/>
                <w:kern w:val="0"/>
                <w:lang w:val="en-CH" w:eastAsia="en-CH"/>
                <w14:ligatures w14:val="none"/>
              </w:rPr>
            </w:pPr>
            <w:r>
              <w:rPr>
                <w:rFonts w:ascii="Aptos Narrow" w:eastAsia="Times New Roman" w:hAnsi="Aptos Narrow" w:cs="Times New Roman"/>
                <w:color w:val="000000"/>
                <w:kern w:val="0"/>
                <w:lang w:val="en-CH" w:eastAsia="en-CH"/>
                <w14:ligatures w14:val="none"/>
              </w:rPr>
              <w:fldChar w:fldCharType="begin"/>
            </w:r>
            <w:r>
              <w:rPr>
                <w:rFonts w:ascii="Aptos Narrow" w:eastAsia="Times New Roman" w:hAnsi="Aptos Narrow" w:cs="Times New Roman"/>
                <w:color w:val="000000"/>
                <w:kern w:val="0"/>
                <w:lang w:val="en-CH" w:eastAsia="en-CH"/>
                <w14:ligatures w14:val="none"/>
              </w:rPr>
              <w:instrText xml:space="preserve"> ADDIN ZOTERO_ITEM CSL_CITATION {"citationID":"a2b0s66mjis","properties":{"unsorted":false,"formattedCitation":"(Garcia, 2027)","plainCitation":"(Garcia, 2027)","noteIndex":0},"citationItems":[{"id":190,"uris":["http://zotero.org/users/17280223/items/9ZM3BYPI"],"itemData":{"id":190,"type":"thesis","publisher":"University of Houston-Clear Lake","title":"What do we mean by ‘Safe’? content overlap in self-report measures of student-perceived safety at school","author":[{"family":"Garcia","given":"Marlaina"}],"issued":{"date-parts":[["2027"]]}}}],"schema":"https://github.com/citation-style-language/schema/raw/master/csl-citation.json"} </w:instrText>
            </w:r>
            <w:r>
              <w:rPr>
                <w:rFonts w:ascii="Aptos Narrow" w:eastAsia="Times New Roman" w:hAnsi="Aptos Narrow" w:cs="Times New Roman"/>
                <w:color w:val="000000"/>
                <w:kern w:val="0"/>
                <w:lang w:val="en-CH" w:eastAsia="en-CH"/>
                <w14:ligatures w14:val="none"/>
              </w:rPr>
              <w:fldChar w:fldCharType="separate"/>
            </w:r>
            <w:r w:rsidRPr="001A1DB3">
              <w:rPr>
                <w:rFonts w:ascii="Aptos Narrow" w:hAnsi="Aptos Narrow" w:cs="Times New Roman"/>
                <w:kern w:val="0"/>
              </w:rPr>
              <w:t>(Garcia, 2027)</w:t>
            </w:r>
            <w:r>
              <w:rPr>
                <w:rFonts w:ascii="Aptos Narrow" w:eastAsia="Times New Roman" w:hAnsi="Aptos Narrow" w:cs="Times New Roman"/>
                <w:color w:val="000000"/>
                <w:kern w:val="0"/>
                <w:lang w:val="en-CH" w:eastAsia="en-CH"/>
                <w14:ligatures w14:val="none"/>
              </w:rPr>
              <w:fldChar w:fldCharType="end"/>
            </w:r>
          </w:p>
        </w:tc>
        <w:tc>
          <w:tcPr>
            <w:tcW w:w="2090" w:type="dxa"/>
            <w:noWrap/>
            <w:vAlign w:val="bottom"/>
            <w:hideMark/>
          </w:tcPr>
          <w:p w14:paraId="124191C8" w14:textId="77777777" w:rsidR="002608EA" w:rsidRPr="002608EA" w:rsidRDefault="002608EA" w:rsidP="002608EA">
            <w:pPr>
              <w:spacing w:after="0" w:line="240" w:lineRule="auto"/>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perceived safety at school</w:t>
            </w:r>
          </w:p>
        </w:tc>
        <w:tc>
          <w:tcPr>
            <w:tcW w:w="2000" w:type="dxa"/>
            <w:gridSpan w:val="2"/>
            <w:noWrap/>
            <w:vAlign w:val="bottom"/>
            <w:hideMark/>
          </w:tcPr>
          <w:p w14:paraId="7882608C" w14:textId="77777777" w:rsidR="002608EA" w:rsidRPr="002608EA" w:rsidRDefault="002608EA" w:rsidP="002608EA">
            <w:pPr>
              <w:spacing w:after="0" w:line="240" w:lineRule="auto"/>
              <w:jc w:val="right"/>
              <w:rPr>
                <w:rFonts w:ascii="Aptos Narrow" w:eastAsia="Times New Roman" w:hAnsi="Aptos Narrow" w:cs="Times New Roman"/>
                <w:color w:val="000000"/>
                <w:kern w:val="0"/>
                <w:lang w:val="en-CH" w:eastAsia="en-CH"/>
                <w14:ligatures w14:val="none"/>
              </w:rPr>
            </w:pPr>
            <w:r w:rsidRPr="002608EA">
              <w:rPr>
                <w:rFonts w:ascii="Aptos Narrow" w:eastAsia="Times New Roman" w:hAnsi="Aptos Narrow" w:cs="Times New Roman"/>
                <w:color w:val="000000"/>
                <w:kern w:val="0"/>
                <w:lang w:val="en-CH" w:eastAsia="en-CH"/>
                <w14:ligatures w14:val="none"/>
              </w:rPr>
              <w:t>12</w:t>
            </w:r>
          </w:p>
        </w:tc>
      </w:tr>
    </w:tbl>
    <w:p w14:paraId="5A1F6DC8" w14:textId="77777777" w:rsidR="002608EA" w:rsidRDefault="002608EA">
      <w:pPr>
        <w:rPr>
          <w:lang w:val="en-GB"/>
        </w:rPr>
      </w:pPr>
    </w:p>
    <w:p w14:paraId="7F45A7A2" w14:textId="11927111" w:rsidR="001A1DB3" w:rsidRPr="001A1DB3" w:rsidRDefault="001A1DB3">
      <w:pPr>
        <w:rPr>
          <w:b/>
          <w:bCs/>
          <w:sz w:val="24"/>
          <w:szCs w:val="24"/>
          <w:lang w:val="de-CH"/>
        </w:rPr>
      </w:pPr>
      <w:r w:rsidRPr="001A1DB3">
        <w:rPr>
          <w:b/>
          <w:bCs/>
          <w:sz w:val="24"/>
          <w:szCs w:val="24"/>
          <w:lang w:val="de-CH"/>
        </w:rPr>
        <w:t>References</w:t>
      </w:r>
    </w:p>
    <w:p w14:paraId="44D79DA4" w14:textId="77777777" w:rsidR="001A1DB3" w:rsidRPr="001A1DB3" w:rsidRDefault="001A1DB3" w:rsidP="001A1DB3">
      <w:pPr>
        <w:pStyle w:val="Bibliography"/>
      </w:pPr>
      <w:r>
        <w:rPr>
          <w:lang w:val="en-GB"/>
        </w:rPr>
        <w:fldChar w:fldCharType="begin"/>
      </w:r>
      <w:r w:rsidRPr="001A1DB3">
        <w:rPr>
          <w:lang w:val="de-CH"/>
        </w:rPr>
        <w:instrText xml:space="preserve"> ADDIN ZOTERO_BIBL {"uncited":[],"omitted":[],"custom":[]} CSL_BIBLIOGRAPHY </w:instrText>
      </w:r>
      <w:r>
        <w:rPr>
          <w:lang w:val="en-GB"/>
        </w:rPr>
        <w:fldChar w:fldCharType="separate"/>
      </w:r>
      <w:r w:rsidRPr="001A1DB3">
        <w:t xml:space="preserve">Backhaus, S., </w:t>
      </w:r>
      <w:proofErr w:type="spellStart"/>
      <w:r w:rsidRPr="001A1DB3">
        <w:t>Leijten</w:t>
      </w:r>
      <w:proofErr w:type="spellEnd"/>
      <w:r w:rsidRPr="001A1DB3">
        <w:t xml:space="preserve">, P., Meinck, F., &amp; Gardner, F. (2022). Different Instruments, Same Content? A Systematic Comparison of Child Maltreatment and Harsh Parenting Instruments. </w:t>
      </w:r>
      <w:r w:rsidRPr="001A1DB3">
        <w:rPr>
          <w:i/>
          <w:iCs/>
        </w:rPr>
        <w:t>Trauma, Violence, &amp; Abuse</w:t>
      </w:r>
      <w:r w:rsidRPr="001A1DB3">
        <w:t>, 15248380221134290. https://doi.org/10.1177/15248380221134290</w:t>
      </w:r>
    </w:p>
    <w:p w14:paraId="1EC76663" w14:textId="77777777" w:rsidR="001A1DB3" w:rsidRPr="001A1DB3" w:rsidRDefault="001A1DB3" w:rsidP="001A1DB3">
      <w:pPr>
        <w:pStyle w:val="Bibliography"/>
      </w:pPr>
      <w:r w:rsidRPr="001A1DB3">
        <w:t xml:space="preserve">Bernardin, F., Gauld, C., Martin, V. P., </w:t>
      </w:r>
      <w:proofErr w:type="spellStart"/>
      <w:r w:rsidRPr="001A1DB3">
        <w:t>Laprévote</w:t>
      </w:r>
      <w:proofErr w:type="spellEnd"/>
      <w:r w:rsidRPr="001A1DB3">
        <w:t xml:space="preserve">, V., &amp; </w:t>
      </w:r>
      <w:proofErr w:type="spellStart"/>
      <w:r w:rsidRPr="001A1DB3">
        <w:t>Dondé</w:t>
      </w:r>
      <w:proofErr w:type="spellEnd"/>
      <w:r w:rsidRPr="001A1DB3">
        <w:t xml:space="preserve">, C. (2023). The 68 symptoms of the clinical high risk for psychosis: Low similarity among fourteen screening questionnaires. </w:t>
      </w:r>
      <w:r w:rsidRPr="001A1DB3">
        <w:rPr>
          <w:i/>
          <w:iCs/>
        </w:rPr>
        <w:t>Psychiatry Research</w:t>
      </w:r>
      <w:r w:rsidRPr="001A1DB3">
        <w:t xml:space="preserve">, </w:t>
      </w:r>
      <w:r w:rsidRPr="001A1DB3">
        <w:rPr>
          <w:i/>
          <w:iCs/>
        </w:rPr>
        <w:t>330</w:t>
      </w:r>
      <w:r w:rsidRPr="001A1DB3">
        <w:t>, 115592. https://doi.org/10.1016/j.psychres.2023.115592</w:t>
      </w:r>
    </w:p>
    <w:p w14:paraId="62AF9438" w14:textId="77777777" w:rsidR="001A1DB3" w:rsidRPr="001A1DB3" w:rsidRDefault="001A1DB3" w:rsidP="001A1DB3">
      <w:pPr>
        <w:pStyle w:val="Bibliography"/>
      </w:pPr>
      <w:r w:rsidRPr="001A1DB3">
        <w:t>Black, L., Panayiotou, M., &amp; Humphrey, N. (2023). Measuring general mental health in early</w:t>
      </w:r>
      <w:r w:rsidRPr="001A1DB3">
        <w:rPr>
          <w:rFonts w:ascii="Cambria Math" w:hAnsi="Cambria Math" w:cs="Cambria Math"/>
        </w:rPr>
        <w:t>‐</w:t>
      </w:r>
      <w:r w:rsidRPr="001A1DB3">
        <w:t>mid adolescence: A systematic meta</w:t>
      </w:r>
      <w:r w:rsidRPr="001A1DB3">
        <w:rPr>
          <w:rFonts w:ascii="Cambria Math" w:hAnsi="Cambria Math" w:cs="Cambria Math"/>
        </w:rPr>
        <w:t>‐</w:t>
      </w:r>
      <w:r w:rsidRPr="001A1DB3">
        <w:t xml:space="preserve">review of content and psychometrics. </w:t>
      </w:r>
      <w:r w:rsidRPr="001A1DB3">
        <w:rPr>
          <w:i/>
          <w:iCs/>
        </w:rPr>
        <w:t>JCPP Advances</w:t>
      </w:r>
      <w:r w:rsidRPr="001A1DB3">
        <w:t xml:space="preserve">, </w:t>
      </w:r>
      <w:r w:rsidRPr="001A1DB3">
        <w:rPr>
          <w:i/>
          <w:iCs/>
        </w:rPr>
        <w:t>3</w:t>
      </w:r>
      <w:r w:rsidRPr="001A1DB3">
        <w:t>(1), e12125. https://doi.org/10.1002/jcv2.12125</w:t>
      </w:r>
    </w:p>
    <w:p w14:paraId="04D6014A" w14:textId="77777777" w:rsidR="001A1DB3" w:rsidRPr="001A1DB3" w:rsidRDefault="001A1DB3" w:rsidP="001A1DB3">
      <w:pPr>
        <w:pStyle w:val="Bibliography"/>
      </w:pPr>
      <w:proofErr w:type="spellStart"/>
      <w:r w:rsidRPr="001A1DB3">
        <w:t>Bunaciu</w:t>
      </w:r>
      <w:proofErr w:type="spellEnd"/>
      <w:r w:rsidRPr="001A1DB3">
        <w:t xml:space="preserve">, A., </w:t>
      </w:r>
      <w:proofErr w:type="spellStart"/>
      <w:r w:rsidRPr="001A1DB3">
        <w:t>Bliuc</w:t>
      </w:r>
      <w:proofErr w:type="spellEnd"/>
      <w:r w:rsidRPr="001A1DB3">
        <w:t xml:space="preserve">, A.-M., Best, D., Hennessy, E. A., Belanger, M. J., &amp; Benwell, C. S. Y. (2024). Measuring recovery capital for people recovering from alcohol and drug addiction: A systematic review. </w:t>
      </w:r>
      <w:r w:rsidRPr="001A1DB3">
        <w:rPr>
          <w:i/>
          <w:iCs/>
        </w:rPr>
        <w:t>Addiction Research &amp; Theory</w:t>
      </w:r>
      <w:r w:rsidRPr="001A1DB3">
        <w:t xml:space="preserve">, </w:t>
      </w:r>
      <w:r w:rsidRPr="001A1DB3">
        <w:rPr>
          <w:i/>
          <w:iCs/>
        </w:rPr>
        <w:t>32</w:t>
      </w:r>
      <w:r w:rsidRPr="001A1DB3">
        <w:t>(3), 225–236. https://doi.org/10.1080/16066359.2023.2245323</w:t>
      </w:r>
    </w:p>
    <w:p w14:paraId="20FC184D" w14:textId="77777777" w:rsidR="001A1DB3" w:rsidRPr="001A1DB3" w:rsidRDefault="001A1DB3" w:rsidP="001A1DB3">
      <w:pPr>
        <w:pStyle w:val="Bibliography"/>
      </w:pPr>
      <w:r w:rsidRPr="001A1DB3">
        <w:t xml:space="preserve">Castro, N., Hula, W. D., &amp; </w:t>
      </w:r>
      <w:proofErr w:type="spellStart"/>
      <w:r w:rsidRPr="001A1DB3">
        <w:t>Ashaie</w:t>
      </w:r>
      <w:proofErr w:type="spellEnd"/>
      <w:r w:rsidRPr="001A1DB3">
        <w:t xml:space="preserve">, S. A. (2023). Defining aphasia: Content analysis of six aphasia diagnostic batteries. </w:t>
      </w:r>
      <w:r w:rsidRPr="001A1DB3">
        <w:rPr>
          <w:i/>
          <w:iCs/>
        </w:rPr>
        <w:t>Cortex</w:t>
      </w:r>
      <w:r w:rsidRPr="001A1DB3">
        <w:t xml:space="preserve">, </w:t>
      </w:r>
      <w:r w:rsidRPr="001A1DB3">
        <w:rPr>
          <w:i/>
          <w:iCs/>
        </w:rPr>
        <w:t>166</w:t>
      </w:r>
      <w:r w:rsidRPr="001A1DB3">
        <w:t>, 19–32. https://doi.org/10.1016/j.cortex.2023.05.005</w:t>
      </w:r>
    </w:p>
    <w:p w14:paraId="023D0018" w14:textId="77777777" w:rsidR="001A1DB3" w:rsidRPr="001A1DB3" w:rsidRDefault="001A1DB3" w:rsidP="001A1DB3">
      <w:pPr>
        <w:pStyle w:val="Bibliography"/>
      </w:pPr>
      <w:r w:rsidRPr="001A1DB3">
        <w:lastRenderedPageBreak/>
        <w:t xml:space="preserve">Charvet, C., </w:t>
      </w:r>
      <w:proofErr w:type="spellStart"/>
      <w:r w:rsidRPr="001A1DB3">
        <w:t>Boutron</w:t>
      </w:r>
      <w:proofErr w:type="spellEnd"/>
      <w:r w:rsidRPr="001A1DB3">
        <w:t xml:space="preserve">, I., Morvan, Y., Berre, C. L., </w:t>
      </w:r>
      <w:proofErr w:type="spellStart"/>
      <w:r w:rsidRPr="001A1DB3">
        <w:t>Touboul</w:t>
      </w:r>
      <w:proofErr w:type="spellEnd"/>
      <w:r w:rsidRPr="001A1DB3">
        <w:t xml:space="preserve">, S., Gaillard, R., Fried, E., &amp; </w:t>
      </w:r>
      <w:proofErr w:type="spellStart"/>
      <w:r w:rsidRPr="001A1DB3">
        <w:t>Chevance</w:t>
      </w:r>
      <w:proofErr w:type="spellEnd"/>
      <w:r w:rsidRPr="001A1DB3">
        <w:t xml:space="preserve">, A. (2022). How to measure mental pain: A systematic review assessing measures of mental pain. </w:t>
      </w:r>
      <w:r w:rsidRPr="001A1DB3">
        <w:rPr>
          <w:i/>
          <w:iCs/>
        </w:rPr>
        <w:t>BMJ Ment Health</w:t>
      </w:r>
      <w:r w:rsidRPr="001A1DB3">
        <w:t xml:space="preserve">, </w:t>
      </w:r>
      <w:r w:rsidRPr="001A1DB3">
        <w:rPr>
          <w:i/>
          <w:iCs/>
        </w:rPr>
        <w:t>25</w:t>
      </w:r>
      <w:r w:rsidRPr="001A1DB3">
        <w:t>(4), e4–e4. https://doi.org/10.1136/ebmental-2021-300350</w:t>
      </w:r>
    </w:p>
    <w:p w14:paraId="79393C15" w14:textId="77777777" w:rsidR="001A1DB3" w:rsidRPr="001A1DB3" w:rsidRDefault="001A1DB3" w:rsidP="001A1DB3">
      <w:pPr>
        <w:pStyle w:val="Bibliography"/>
      </w:pPr>
      <w:r w:rsidRPr="001A1DB3">
        <w:t xml:space="preserve">Christensen Pacella, K. A., Wossen, L., &amp; Hagan, K. E. (2024). Low Overlap and High Heterogeneity Across Common Measures of Eating Disorder Pathology: A Content Analysis. </w:t>
      </w:r>
      <w:r w:rsidRPr="001A1DB3">
        <w:rPr>
          <w:i/>
          <w:iCs/>
        </w:rPr>
        <w:t>Assessment</w:t>
      </w:r>
      <w:r w:rsidRPr="001A1DB3">
        <w:t>. https://doi.org/10.1177/10731911241238084</w:t>
      </w:r>
    </w:p>
    <w:p w14:paraId="23C2E7A5" w14:textId="77777777" w:rsidR="001A1DB3" w:rsidRPr="001A1DB3" w:rsidRDefault="001A1DB3" w:rsidP="001A1DB3">
      <w:pPr>
        <w:pStyle w:val="Bibliography"/>
      </w:pPr>
      <w:r w:rsidRPr="001A1DB3">
        <w:t xml:space="preserve">Chrobak, A. A., Krupa, A., Dudek, D., &amp; Siwek, M. (2021). How soft are neurological soft signs? Content overlap analysis of 71 symptoms among seven </w:t>
      </w:r>
      <w:proofErr w:type="gramStart"/>
      <w:r w:rsidRPr="001A1DB3">
        <w:t>most commonly used</w:t>
      </w:r>
      <w:proofErr w:type="gramEnd"/>
      <w:r w:rsidRPr="001A1DB3">
        <w:t xml:space="preserve"> neurological soft signs scales. </w:t>
      </w:r>
      <w:r w:rsidRPr="001A1DB3">
        <w:rPr>
          <w:i/>
          <w:iCs/>
        </w:rPr>
        <w:t>Journal of Psychiatric Research</w:t>
      </w:r>
      <w:r w:rsidRPr="001A1DB3">
        <w:t xml:space="preserve">, </w:t>
      </w:r>
      <w:r w:rsidRPr="001A1DB3">
        <w:rPr>
          <w:i/>
          <w:iCs/>
        </w:rPr>
        <w:t>138</w:t>
      </w:r>
      <w:r w:rsidRPr="001A1DB3">
        <w:t>, 404–412. https://doi.org/10.1016/j.jpsychires.2021.04.020</w:t>
      </w:r>
    </w:p>
    <w:p w14:paraId="073D72A5" w14:textId="77777777" w:rsidR="001A1DB3" w:rsidRPr="001A1DB3" w:rsidRDefault="001A1DB3" w:rsidP="001A1DB3">
      <w:pPr>
        <w:pStyle w:val="Bibliography"/>
      </w:pPr>
      <w:r w:rsidRPr="001A1DB3">
        <w:t>Chrobak, A. A., Rusinek, J., Dec-</w:t>
      </w:r>
      <w:proofErr w:type="spellStart"/>
      <w:r w:rsidRPr="001A1DB3">
        <w:t>Ćwiek</w:t>
      </w:r>
      <w:proofErr w:type="spellEnd"/>
      <w:r w:rsidRPr="001A1DB3">
        <w:t xml:space="preserve">, M., </w:t>
      </w:r>
      <w:proofErr w:type="spellStart"/>
      <w:r w:rsidRPr="001A1DB3">
        <w:t>Porębska</w:t>
      </w:r>
      <w:proofErr w:type="spellEnd"/>
      <w:r w:rsidRPr="001A1DB3">
        <w:t xml:space="preserve">, K., &amp; Siwek, M. (2024). Content overlap of 91 dystonia symptoms among the seven </w:t>
      </w:r>
      <w:proofErr w:type="gramStart"/>
      <w:r w:rsidRPr="001A1DB3">
        <w:t>most commonly used</w:t>
      </w:r>
      <w:proofErr w:type="gramEnd"/>
      <w:r w:rsidRPr="001A1DB3">
        <w:t xml:space="preserve"> cervical dystonia scales. </w:t>
      </w:r>
      <w:r w:rsidRPr="001A1DB3">
        <w:rPr>
          <w:i/>
          <w:iCs/>
        </w:rPr>
        <w:t>Neurological Sciences</w:t>
      </w:r>
      <w:r w:rsidRPr="001A1DB3">
        <w:t xml:space="preserve">, </w:t>
      </w:r>
      <w:r w:rsidRPr="001A1DB3">
        <w:rPr>
          <w:i/>
          <w:iCs/>
        </w:rPr>
        <w:t>45</w:t>
      </w:r>
      <w:r w:rsidRPr="001A1DB3">
        <w:t>(4), 1507–1514. https://doi.org/10.1007/s10072-023-07157-1</w:t>
      </w:r>
    </w:p>
    <w:p w14:paraId="5B63E547" w14:textId="77777777" w:rsidR="001A1DB3" w:rsidRPr="001A1DB3" w:rsidRDefault="001A1DB3" w:rsidP="001A1DB3">
      <w:pPr>
        <w:pStyle w:val="Bibliography"/>
      </w:pPr>
      <w:r w:rsidRPr="001A1DB3">
        <w:t xml:space="preserve">Chrobak, A. A., Siwek, M., Dudek, D., &amp; </w:t>
      </w:r>
      <w:proofErr w:type="spellStart"/>
      <w:r w:rsidRPr="001A1DB3">
        <w:t>Rybakowski</w:t>
      </w:r>
      <w:proofErr w:type="spellEnd"/>
      <w:r w:rsidRPr="001A1DB3">
        <w:t xml:space="preserve">, J. K. (2018). Content overlap analysis of 64 (hypo)mania symptoms among seven common rating scales. </w:t>
      </w:r>
      <w:r w:rsidRPr="001A1DB3">
        <w:rPr>
          <w:i/>
          <w:iCs/>
        </w:rPr>
        <w:t>International Journal of Methods in Psychiatric Research</w:t>
      </w:r>
      <w:r w:rsidRPr="001A1DB3">
        <w:t xml:space="preserve">, </w:t>
      </w:r>
      <w:r w:rsidRPr="001A1DB3">
        <w:rPr>
          <w:i/>
          <w:iCs/>
        </w:rPr>
        <w:t>27</w:t>
      </w:r>
      <w:r w:rsidRPr="001A1DB3">
        <w:t>(3), e1737. https://doi.org/10.1002/mpr.1737</w:t>
      </w:r>
    </w:p>
    <w:p w14:paraId="225FBD9F" w14:textId="77777777" w:rsidR="001A1DB3" w:rsidRPr="001A1DB3" w:rsidRDefault="001A1DB3" w:rsidP="001A1DB3">
      <w:pPr>
        <w:pStyle w:val="Bibliography"/>
      </w:pPr>
      <w:r w:rsidRPr="001A1DB3">
        <w:t xml:space="preserve">Dass, R., Smirnova-Godoy, I., McColl, O., Grundy, J. G., Luk, G., &amp; Anderson, J. A. E. (2024). A Content Overlap Analysis of bilingualism questionnaires: Considering diversity. </w:t>
      </w:r>
      <w:r w:rsidRPr="001A1DB3">
        <w:rPr>
          <w:i/>
          <w:iCs/>
        </w:rPr>
        <w:t>Bilingualism: Language and Cognition</w:t>
      </w:r>
      <w:r w:rsidRPr="001A1DB3">
        <w:t xml:space="preserve">, </w:t>
      </w:r>
      <w:r w:rsidRPr="001A1DB3">
        <w:rPr>
          <w:i/>
          <w:iCs/>
        </w:rPr>
        <w:t>27</w:t>
      </w:r>
      <w:r w:rsidRPr="001A1DB3">
        <w:t>(4), 744–750. https://doi.org/10.1017/S1366728923000767</w:t>
      </w:r>
    </w:p>
    <w:p w14:paraId="4DFA34A8" w14:textId="77777777" w:rsidR="001A1DB3" w:rsidRPr="001A1DB3" w:rsidRDefault="001A1DB3" w:rsidP="001A1DB3">
      <w:pPr>
        <w:pStyle w:val="Bibliography"/>
      </w:pPr>
      <w:proofErr w:type="spellStart"/>
      <w:r w:rsidRPr="001A1DB3">
        <w:t>Deericks</w:t>
      </w:r>
      <w:proofErr w:type="spellEnd"/>
      <w:r w:rsidRPr="001A1DB3">
        <w:t xml:space="preserve">, H. A., McClellan, M. B., </w:t>
      </w:r>
      <w:proofErr w:type="spellStart"/>
      <w:r w:rsidRPr="001A1DB3">
        <w:t>Sabgir</w:t>
      </w:r>
      <w:proofErr w:type="spellEnd"/>
      <w:r w:rsidRPr="001A1DB3">
        <w:t xml:space="preserve">, C., Youngstrom, E. A., &amp; Baggs, J. J. (2025). 5.68 Trauma Measures Are Not Interchangeable: Item Content Analysis of Scales Used to Screen or Assess Trauma and PTSD. </w:t>
      </w:r>
      <w:r w:rsidRPr="001A1DB3">
        <w:rPr>
          <w:i/>
          <w:iCs/>
        </w:rPr>
        <w:t>Journal of the American Academy of Child &amp; Adolescent Psychiatry</w:t>
      </w:r>
      <w:r w:rsidRPr="001A1DB3">
        <w:t xml:space="preserve">, </w:t>
      </w:r>
      <w:r w:rsidRPr="001A1DB3">
        <w:rPr>
          <w:i/>
          <w:iCs/>
        </w:rPr>
        <w:t>64</w:t>
      </w:r>
      <w:r w:rsidRPr="001A1DB3">
        <w:t>(10), S297. https://doi.org/10.1016/j.jaac.2025.08.453</w:t>
      </w:r>
    </w:p>
    <w:p w14:paraId="12C2FE34" w14:textId="77777777" w:rsidR="001A1DB3" w:rsidRPr="001A1DB3" w:rsidRDefault="001A1DB3" w:rsidP="001A1DB3">
      <w:pPr>
        <w:pStyle w:val="Bibliography"/>
      </w:pPr>
      <w:r w:rsidRPr="001A1DB3">
        <w:lastRenderedPageBreak/>
        <w:t xml:space="preserve">Elklit, A., Petterson, M., Petersen, A. S., &amp; Nielsen, T. (2024). Is there consensus on child violence exposure measures? A study of six recommended instruments. </w:t>
      </w:r>
      <w:r w:rsidRPr="001A1DB3">
        <w:rPr>
          <w:i/>
          <w:iCs/>
        </w:rPr>
        <w:t xml:space="preserve">European Journal of </w:t>
      </w:r>
      <w:proofErr w:type="spellStart"/>
      <w:r w:rsidRPr="001A1DB3">
        <w:rPr>
          <w:i/>
          <w:iCs/>
        </w:rPr>
        <w:t>Psychotraumatology</w:t>
      </w:r>
      <w:proofErr w:type="spellEnd"/>
      <w:r w:rsidRPr="001A1DB3">
        <w:t xml:space="preserve">, </w:t>
      </w:r>
      <w:r w:rsidRPr="001A1DB3">
        <w:rPr>
          <w:i/>
          <w:iCs/>
        </w:rPr>
        <w:t>15</w:t>
      </w:r>
      <w:r w:rsidRPr="001A1DB3">
        <w:t>(1), 2392414. https://doi.org/10.1080/20008066.2024.2392414</w:t>
      </w:r>
    </w:p>
    <w:p w14:paraId="5D9EDD51" w14:textId="77777777" w:rsidR="001A1DB3" w:rsidRPr="001A1DB3" w:rsidRDefault="001A1DB3" w:rsidP="001A1DB3">
      <w:pPr>
        <w:pStyle w:val="Bibliography"/>
      </w:pPr>
      <w:r w:rsidRPr="001A1DB3">
        <w:t xml:space="preserve">Fried, E. I. (2017). The 52 symptoms of major depression: Lack of content overlap among seven common depression scales. </w:t>
      </w:r>
      <w:r w:rsidRPr="001A1DB3">
        <w:rPr>
          <w:i/>
          <w:iCs/>
        </w:rPr>
        <w:t>Journal of Affective Disorders</w:t>
      </w:r>
      <w:r w:rsidRPr="001A1DB3">
        <w:t xml:space="preserve">, </w:t>
      </w:r>
      <w:r w:rsidRPr="001A1DB3">
        <w:rPr>
          <w:i/>
          <w:iCs/>
        </w:rPr>
        <w:t>208</w:t>
      </w:r>
      <w:r w:rsidRPr="001A1DB3">
        <w:t>, 191–197. https://doi.org/10.1016/j.jad.2016.10.019</w:t>
      </w:r>
    </w:p>
    <w:p w14:paraId="329D50C2" w14:textId="77777777" w:rsidR="001A1DB3" w:rsidRPr="001A1DB3" w:rsidRDefault="001A1DB3" w:rsidP="001A1DB3">
      <w:pPr>
        <w:pStyle w:val="Bibliography"/>
      </w:pPr>
      <w:r w:rsidRPr="001A1DB3">
        <w:t xml:space="preserve">Garcia, M. (2027). </w:t>
      </w:r>
      <w:r w:rsidRPr="001A1DB3">
        <w:rPr>
          <w:i/>
          <w:iCs/>
        </w:rPr>
        <w:t>What do we mean by ‘Safe’? Content overlap in self-report measures of student-perceived safety at school</w:t>
      </w:r>
      <w:r w:rsidRPr="001A1DB3">
        <w:t>. University of Houston-Clear Lake.</w:t>
      </w:r>
    </w:p>
    <w:p w14:paraId="582FDE45" w14:textId="77777777" w:rsidR="001A1DB3" w:rsidRPr="001A1DB3" w:rsidRDefault="001A1DB3" w:rsidP="001A1DB3">
      <w:pPr>
        <w:pStyle w:val="Bibliography"/>
      </w:pPr>
      <w:r w:rsidRPr="001A1DB3">
        <w:t xml:space="preserve">Gauld, C., </w:t>
      </w:r>
      <w:proofErr w:type="spellStart"/>
      <w:r w:rsidRPr="001A1DB3">
        <w:t>Baillieul</w:t>
      </w:r>
      <w:proofErr w:type="spellEnd"/>
      <w:r w:rsidRPr="001A1DB3">
        <w:t xml:space="preserve">, S., Martin, V. P., Richaud, A., Lopez, R., Pelou, M., Abi-Saab, P., Coelho, J., Philip, P., Pépin, J. L., &amp; Micoulaud-Franchi, J.-A. (2024). Symptom content analysis of OSA questionnaires: Time to identify and improve relevance of diversity of OSA symptoms? </w:t>
      </w:r>
      <w:r w:rsidRPr="001A1DB3">
        <w:rPr>
          <w:i/>
          <w:iCs/>
        </w:rPr>
        <w:t>Journal of Clinical Sleep Medicine</w:t>
      </w:r>
      <w:r w:rsidRPr="001A1DB3">
        <w:t xml:space="preserve">, </w:t>
      </w:r>
      <w:r w:rsidRPr="001A1DB3">
        <w:rPr>
          <w:i/>
          <w:iCs/>
        </w:rPr>
        <w:t>20</w:t>
      </w:r>
      <w:r w:rsidRPr="001A1DB3">
        <w:t>(7), 1105–1117. https://doi.org/10.5664/jcsm.11086</w:t>
      </w:r>
    </w:p>
    <w:p w14:paraId="3F6ED4F5" w14:textId="77777777" w:rsidR="001A1DB3" w:rsidRPr="001A1DB3" w:rsidRDefault="001A1DB3" w:rsidP="001A1DB3">
      <w:pPr>
        <w:pStyle w:val="Bibliography"/>
      </w:pPr>
      <w:r w:rsidRPr="001A1DB3">
        <w:t xml:space="preserve">Gauld, C., Martin, V. P., Richaud, A., </w:t>
      </w:r>
      <w:proofErr w:type="spellStart"/>
      <w:r w:rsidRPr="001A1DB3">
        <w:t>Baillieul</w:t>
      </w:r>
      <w:proofErr w:type="spellEnd"/>
      <w:r w:rsidRPr="001A1DB3">
        <w:t xml:space="preserve">, S., Vicente, L., </w:t>
      </w:r>
      <w:proofErr w:type="spellStart"/>
      <w:r w:rsidRPr="001A1DB3">
        <w:t>Perromat</w:t>
      </w:r>
      <w:proofErr w:type="spellEnd"/>
      <w:r w:rsidRPr="001A1DB3">
        <w:t xml:space="preserve">, J.-L., Zreik, I., </w:t>
      </w:r>
      <w:proofErr w:type="spellStart"/>
      <w:r w:rsidRPr="001A1DB3">
        <w:t>Taillard</w:t>
      </w:r>
      <w:proofErr w:type="spellEnd"/>
      <w:r w:rsidRPr="001A1DB3">
        <w:t xml:space="preserve">, J., Geoffroy, P. A., Lopez, R., &amp; Micoulaud-Franchi, J.-A. (2023). Systematic Item Content and Overlap Analysis of Self-Reported Multiple Sleep Disorder Screening Questionnaires in Adults. </w:t>
      </w:r>
      <w:r w:rsidRPr="001A1DB3">
        <w:rPr>
          <w:i/>
          <w:iCs/>
        </w:rPr>
        <w:t>Journal of Clinical Medicine</w:t>
      </w:r>
      <w:r w:rsidRPr="001A1DB3">
        <w:t xml:space="preserve">, </w:t>
      </w:r>
      <w:r w:rsidRPr="001A1DB3">
        <w:rPr>
          <w:i/>
          <w:iCs/>
        </w:rPr>
        <w:t>12</w:t>
      </w:r>
      <w:r w:rsidRPr="001A1DB3">
        <w:t>(3), 852. https://doi.org/10.3390/jcm12030852</w:t>
      </w:r>
    </w:p>
    <w:p w14:paraId="19EC9751" w14:textId="77777777" w:rsidR="001A1DB3" w:rsidRPr="001A1DB3" w:rsidRDefault="001A1DB3" w:rsidP="001A1DB3">
      <w:pPr>
        <w:pStyle w:val="Bibliography"/>
      </w:pPr>
      <w:r w:rsidRPr="001A1DB3">
        <w:t xml:space="preserve">Hendriks, A. M., Ip, H. F., Nivard, M. G., Finkenauer, C., Van Beijsterveldt, C. E. M., Bartels, M., &amp; Boomsma, D. I. (2020). Content, diagnostic, correlational, and genetic similarities between common measures of childhood aggressive </w:t>
      </w:r>
      <w:proofErr w:type="spellStart"/>
      <w:r w:rsidRPr="001A1DB3">
        <w:t>behaviors</w:t>
      </w:r>
      <w:proofErr w:type="spellEnd"/>
      <w:r w:rsidRPr="001A1DB3">
        <w:t xml:space="preserve"> and related psychiatric traits. </w:t>
      </w:r>
      <w:r w:rsidRPr="001A1DB3">
        <w:rPr>
          <w:i/>
          <w:iCs/>
        </w:rPr>
        <w:t>Journal of Child Psychology and Psychiatry</w:t>
      </w:r>
      <w:r w:rsidRPr="001A1DB3">
        <w:t xml:space="preserve">, </w:t>
      </w:r>
      <w:r w:rsidRPr="001A1DB3">
        <w:rPr>
          <w:i/>
          <w:iCs/>
        </w:rPr>
        <w:t>61</w:t>
      </w:r>
      <w:r w:rsidRPr="001A1DB3">
        <w:t>(12), 1328–1338. https://doi.org/10.1111/jcpp.13218</w:t>
      </w:r>
    </w:p>
    <w:p w14:paraId="2475CFE0" w14:textId="77777777" w:rsidR="001A1DB3" w:rsidRPr="001A1DB3" w:rsidRDefault="001A1DB3" w:rsidP="001A1DB3">
      <w:pPr>
        <w:pStyle w:val="Bibliography"/>
      </w:pPr>
      <w:proofErr w:type="spellStart"/>
      <w:r w:rsidRPr="001A1DB3">
        <w:lastRenderedPageBreak/>
        <w:t>Karhulahti</w:t>
      </w:r>
      <w:proofErr w:type="spellEnd"/>
      <w:r w:rsidRPr="001A1DB3">
        <w:t xml:space="preserve">, V.-M., </w:t>
      </w:r>
      <w:proofErr w:type="spellStart"/>
      <w:r w:rsidRPr="001A1DB3">
        <w:t>Martončik</w:t>
      </w:r>
      <w:proofErr w:type="spellEnd"/>
      <w:r w:rsidRPr="001A1DB3">
        <w:t xml:space="preserve">, M., &amp; </w:t>
      </w:r>
      <w:proofErr w:type="spellStart"/>
      <w:r w:rsidRPr="001A1DB3">
        <w:t>Adamkovič</w:t>
      </w:r>
      <w:proofErr w:type="spellEnd"/>
      <w:r w:rsidRPr="001A1DB3">
        <w:t xml:space="preserve">, M. (2023). Measuring Internet Gaming Disorder and Gaming Disorder: A Qualitative Content Validity Analysis of Validated Scales. </w:t>
      </w:r>
      <w:r w:rsidRPr="001A1DB3">
        <w:rPr>
          <w:i/>
          <w:iCs/>
        </w:rPr>
        <w:t>Assessment</w:t>
      </w:r>
      <w:r w:rsidRPr="001A1DB3">
        <w:t xml:space="preserve">, </w:t>
      </w:r>
      <w:r w:rsidRPr="001A1DB3">
        <w:rPr>
          <w:i/>
          <w:iCs/>
        </w:rPr>
        <w:t>30</w:t>
      </w:r>
      <w:r w:rsidRPr="001A1DB3">
        <w:t>(2), 402–413. https://doi.org/10.1177/10731911211055435</w:t>
      </w:r>
    </w:p>
    <w:p w14:paraId="56B488DC" w14:textId="77777777" w:rsidR="001A1DB3" w:rsidRPr="001A1DB3" w:rsidRDefault="001A1DB3" w:rsidP="001A1DB3">
      <w:pPr>
        <w:pStyle w:val="Bibliography"/>
      </w:pPr>
      <w:r w:rsidRPr="001A1DB3">
        <w:t xml:space="preserve">Karstoft, K.-I., &amp; Armour, C. (2023). What we talk about when we talk about trauma: Content overlap and heterogeneity in the assessment of trauma exposure. </w:t>
      </w:r>
      <w:r w:rsidRPr="001A1DB3">
        <w:rPr>
          <w:i/>
          <w:iCs/>
        </w:rPr>
        <w:t>Journal of Traumatic Stress</w:t>
      </w:r>
      <w:r w:rsidRPr="001A1DB3">
        <w:t xml:space="preserve">, </w:t>
      </w:r>
      <w:r w:rsidRPr="001A1DB3">
        <w:rPr>
          <w:i/>
          <w:iCs/>
        </w:rPr>
        <w:t>36</w:t>
      </w:r>
      <w:r w:rsidRPr="001A1DB3">
        <w:t>(1), 71–82. https://doi.org/10.1002/jts.22880</w:t>
      </w:r>
    </w:p>
    <w:p w14:paraId="66F33A82" w14:textId="77777777" w:rsidR="001A1DB3" w:rsidRPr="001A1DB3" w:rsidRDefault="001A1DB3" w:rsidP="001A1DB3">
      <w:pPr>
        <w:pStyle w:val="Bibliography"/>
      </w:pPr>
      <w:r w:rsidRPr="001A1DB3">
        <w:t xml:space="preserve">Kook, M., Clinger, J. W., Lee, E., Schneider, S. C., Storch, E. A., &amp; Guzick, A. G. (2024). A Content Analysis of Self-report Child Anxiety Measures. </w:t>
      </w:r>
      <w:r w:rsidRPr="001A1DB3">
        <w:rPr>
          <w:i/>
          <w:iCs/>
        </w:rPr>
        <w:t>Child Psychiatry &amp; Human Development</w:t>
      </w:r>
      <w:r w:rsidRPr="001A1DB3">
        <w:t xml:space="preserve">, </w:t>
      </w:r>
      <w:r w:rsidRPr="001A1DB3">
        <w:rPr>
          <w:i/>
          <w:iCs/>
        </w:rPr>
        <w:t>55</w:t>
      </w:r>
      <w:r w:rsidRPr="001A1DB3">
        <w:t>(4), 873–881. https://doi.org/10.1007/s10578-022-01455-z</w:t>
      </w:r>
    </w:p>
    <w:p w14:paraId="1C187E39" w14:textId="77777777" w:rsidR="001A1DB3" w:rsidRPr="001A1DB3" w:rsidRDefault="001A1DB3" w:rsidP="001A1DB3">
      <w:pPr>
        <w:pStyle w:val="Bibliography"/>
      </w:pPr>
      <w:proofErr w:type="spellStart"/>
      <w:r w:rsidRPr="001A1DB3">
        <w:t>Koppold</w:t>
      </w:r>
      <w:proofErr w:type="spellEnd"/>
      <w:r w:rsidRPr="001A1DB3">
        <w:t xml:space="preserve">, A., Ruge, J., Hecker, T., &amp; Lonsdorf, T. B. (2023, May). </w:t>
      </w:r>
      <w:r w:rsidRPr="001A1DB3">
        <w:rPr>
          <w:i/>
          <w:iCs/>
        </w:rPr>
        <w:t>The many faces of early life adversity—Content overlap in validated assessment instruments as well as in fear and reward learning research</w:t>
      </w:r>
      <w:r w:rsidRPr="001A1DB3">
        <w:t xml:space="preserve">. </w:t>
      </w:r>
      <w:proofErr w:type="spellStart"/>
      <w:r w:rsidRPr="001A1DB3">
        <w:t>Zenodo</w:t>
      </w:r>
      <w:proofErr w:type="spellEnd"/>
      <w:r w:rsidRPr="001A1DB3">
        <w:t>. https://doi.org/10.5281/ZENODO.7966818</w:t>
      </w:r>
    </w:p>
    <w:p w14:paraId="72AF00E2" w14:textId="77777777" w:rsidR="001A1DB3" w:rsidRPr="001A1DB3" w:rsidRDefault="001A1DB3" w:rsidP="001A1DB3">
      <w:pPr>
        <w:pStyle w:val="Bibliography"/>
      </w:pPr>
      <w:r w:rsidRPr="001A1DB3">
        <w:t xml:space="preserve">Lampe, E. W., Schaumberg, K., Kolar, D., Coniglio, K., Cooper, M., Chapa, D. A. N., &amp; Gorrell, S. (2024). Working out measurement </w:t>
      </w:r>
      <w:proofErr w:type="gramStart"/>
      <w:r w:rsidRPr="001A1DB3">
        <w:t>overlap</w:t>
      </w:r>
      <w:proofErr w:type="gramEnd"/>
      <w:r w:rsidRPr="001A1DB3">
        <w:t xml:space="preserve"> in the assessment of maladaptive exercise. </w:t>
      </w:r>
      <w:r w:rsidRPr="001A1DB3">
        <w:rPr>
          <w:i/>
          <w:iCs/>
        </w:rPr>
        <w:t>International Journal of Eating Disorders</w:t>
      </w:r>
      <w:r w:rsidRPr="001A1DB3">
        <w:t xml:space="preserve">, </w:t>
      </w:r>
      <w:r w:rsidRPr="001A1DB3">
        <w:rPr>
          <w:i/>
          <w:iCs/>
        </w:rPr>
        <w:t>57</w:t>
      </w:r>
      <w:r w:rsidRPr="001A1DB3">
        <w:t>(3), 558–567. https://doi.org/10.1002/eat.24127</w:t>
      </w:r>
    </w:p>
    <w:p w14:paraId="3EC1D670" w14:textId="77777777" w:rsidR="001A1DB3" w:rsidRPr="001A1DB3" w:rsidRDefault="001A1DB3" w:rsidP="001A1DB3">
      <w:pPr>
        <w:pStyle w:val="Bibliography"/>
      </w:pPr>
      <w:r w:rsidRPr="001A1DB3">
        <w:t xml:space="preserve">Leung, K. I., &amp; Molnar, M. (2024). </w:t>
      </w:r>
      <w:r w:rsidRPr="001A1DB3">
        <w:rPr>
          <w:i/>
          <w:iCs/>
        </w:rPr>
        <w:t>Bilingualism measures in children: A critical review of content overlap, development, and pragmatic quality</w:t>
      </w:r>
      <w:r w:rsidRPr="001A1DB3">
        <w:t>. Rehabilitation Medicine and Physical Therapy. https://doi.org/10.1101/2024.10.30.24316440</w:t>
      </w:r>
    </w:p>
    <w:p w14:paraId="2D4C55BD" w14:textId="77777777" w:rsidR="001A1DB3" w:rsidRPr="001A1DB3" w:rsidRDefault="001A1DB3" w:rsidP="001A1DB3">
      <w:pPr>
        <w:pStyle w:val="Bibliography"/>
      </w:pPr>
      <w:r w:rsidRPr="001A1DB3">
        <w:t xml:space="preserve">Lindert, J., Behr, K.-J., Arndt, S., </w:t>
      </w:r>
      <w:proofErr w:type="spellStart"/>
      <w:r w:rsidRPr="001A1DB3">
        <w:t>Jakubauskiene</w:t>
      </w:r>
      <w:proofErr w:type="spellEnd"/>
      <w:r w:rsidRPr="001A1DB3">
        <w:t xml:space="preserve">, M., Bain, P. A., Milin, S., Schuh, L. M., &amp; Schäfer, I. (2025). Measuring Substance Use in Refugees: A Systematic Review of Assessment Instruments. </w:t>
      </w:r>
      <w:r w:rsidRPr="001A1DB3">
        <w:rPr>
          <w:i/>
          <w:iCs/>
        </w:rPr>
        <w:t>Substance Use &amp; Addiction Journal</w:t>
      </w:r>
      <w:r w:rsidRPr="001A1DB3">
        <w:t xml:space="preserve">, </w:t>
      </w:r>
      <w:r w:rsidRPr="001A1DB3">
        <w:rPr>
          <w:i/>
          <w:iCs/>
        </w:rPr>
        <w:t>46</w:t>
      </w:r>
      <w:r w:rsidRPr="001A1DB3">
        <w:t>(4), 1070–1088. https://doi.org/10.1177/29767342251348146</w:t>
      </w:r>
    </w:p>
    <w:p w14:paraId="6481FF56" w14:textId="77777777" w:rsidR="001A1DB3" w:rsidRPr="001A1DB3" w:rsidRDefault="001A1DB3" w:rsidP="001A1DB3">
      <w:pPr>
        <w:pStyle w:val="Bibliography"/>
      </w:pPr>
      <w:r w:rsidRPr="001A1DB3">
        <w:t xml:space="preserve">Linton, M.-J., Dieppe, P., &amp; Medina-Lara, A. (2016). </w:t>
      </w:r>
      <w:r w:rsidRPr="001A1DB3">
        <w:rPr>
          <w:i/>
          <w:iCs/>
        </w:rPr>
        <w:t>Review of 99 self-report measures for assessing well-being in adults: Exploring dimensions of well-being and developments over time</w:t>
      </w:r>
      <w:r w:rsidRPr="001A1DB3">
        <w:t>. https://doi.org/10.1136/bmjopen-2015-010641</w:t>
      </w:r>
    </w:p>
    <w:p w14:paraId="6A2D719D" w14:textId="77777777" w:rsidR="001A1DB3" w:rsidRPr="001A1DB3" w:rsidRDefault="001A1DB3" w:rsidP="001A1DB3">
      <w:pPr>
        <w:pStyle w:val="Bibliography"/>
      </w:pPr>
      <w:r w:rsidRPr="001A1DB3">
        <w:lastRenderedPageBreak/>
        <w:t xml:space="preserve">Martin, C., Jones, C., Marshall, C. A., Huang, C., Reeve, J., Fleming, M. P., König, J., &amp; </w:t>
      </w:r>
      <w:proofErr w:type="spellStart"/>
      <w:r w:rsidRPr="001A1DB3">
        <w:t>Jomeen</w:t>
      </w:r>
      <w:proofErr w:type="spellEnd"/>
      <w:r w:rsidRPr="001A1DB3">
        <w:t xml:space="preserve">, J. (2022). Fear of childbirth measurement: Appraisal of the content overlap of four instruments. </w:t>
      </w:r>
      <w:r w:rsidRPr="001A1DB3">
        <w:rPr>
          <w:i/>
          <w:iCs/>
        </w:rPr>
        <w:t>Journal of Reproductive and Infant Psychology</w:t>
      </w:r>
      <w:r w:rsidRPr="001A1DB3">
        <w:t xml:space="preserve">, </w:t>
      </w:r>
      <w:r w:rsidRPr="001A1DB3">
        <w:rPr>
          <w:i/>
          <w:iCs/>
        </w:rPr>
        <w:t>40</w:t>
      </w:r>
      <w:r w:rsidRPr="001A1DB3">
        <w:t>(4), 329–341. https://doi.org/10.1080/02646838.2020.1861226</w:t>
      </w:r>
    </w:p>
    <w:p w14:paraId="6C6C7909" w14:textId="77777777" w:rsidR="001A1DB3" w:rsidRPr="001A1DB3" w:rsidRDefault="001A1DB3" w:rsidP="001A1DB3">
      <w:pPr>
        <w:pStyle w:val="Bibliography"/>
      </w:pPr>
      <w:r w:rsidRPr="001A1DB3">
        <w:t xml:space="preserve">Newson, J. J., Hunter, D., &amp; Thiagarajan, T. C. (2020). The Heterogeneity of Mental Health Assessment. </w:t>
      </w:r>
      <w:r w:rsidRPr="001A1DB3">
        <w:rPr>
          <w:i/>
          <w:iCs/>
        </w:rPr>
        <w:t>Frontiers in Psychiatry</w:t>
      </w:r>
      <w:r w:rsidRPr="001A1DB3">
        <w:t xml:space="preserve">, </w:t>
      </w:r>
      <w:r w:rsidRPr="001A1DB3">
        <w:rPr>
          <w:i/>
          <w:iCs/>
        </w:rPr>
        <w:t>11</w:t>
      </w:r>
      <w:r w:rsidRPr="001A1DB3">
        <w:t>, 76. https://doi.org/10.3389/fpsyt.2020.00076</w:t>
      </w:r>
    </w:p>
    <w:p w14:paraId="186C48C8" w14:textId="77777777" w:rsidR="001A1DB3" w:rsidRPr="001A1DB3" w:rsidRDefault="001A1DB3" w:rsidP="001A1DB3">
      <w:pPr>
        <w:pStyle w:val="Bibliography"/>
      </w:pPr>
      <w:r w:rsidRPr="001A1DB3">
        <w:t xml:space="preserve">Ong, C. W., Skolnik, A., Johnson, H. M., &amp; Lee, E. (2023, July). </w:t>
      </w:r>
      <w:r w:rsidRPr="001A1DB3">
        <w:rPr>
          <w:i/>
          <w:iCs/>
        </w:rPr>
        <w:t>Examining Item Content Across Nine Psychological (In)flexibility Scales: What Do They Measure?</w:t>
      </w:r>
      <w:r w:rsidRPr="001A1DB3">
        <w:t xml:space="preserve"> https://doi.org/10.31234/osf.io/wur26</w:t>
      </w:r>
    </w:p>
    <w:p w14:paraId="0D30D389" w14:textId="77777777" w:rsidR="001A1DB3" w:rsidRPr="001A1DB3" w:rsidRDefault="001A1DB3" w:rsidP="001A1DB3">
      <w:pPr>
        <w:pStyle w:val="Bibliography"/>
      </w:pPr>
      <w:r w:rsidRPr="001A1DB3">
        <w:t xml:space="preserve">Peipert, A., Adams, S., &amp; Lorenzo-Luaces, L. (2022). </w:t>
      </w:r>
      <w:r w:rsidRPr="001A1DB3">
        <w:rPr>
          <w:i/>
          <w:iCs/>
        </w:rPr>
        <w:t xml:space="preserve">Heterogeneity in item content of </w:t>
      </w:r>
      <w:proofErr w:type="gramStart"/>
      <w:r w:rsidRPr="001A1DB3">
        <w:rPr>
          <w:i/>
          <w:iCs/>
        </w:rPr>
        <w:t>quality of life</w:t>
      </w:r>
      <w:proofErr w:type="gramEnd"/>
      <w:r w:rsidRPr="001A1DB3">
        <w:rPr>
          <w:i/>
          <w:iCs/>
        </w:rPr>
        <w:t xml:space="preserve"> assessments used in depression research</w:t>
      </w:r>
      <w:r w:rsidRPr="001A1DB3">
        <w:t xml:space="preserve"> [Preprint]. </w:t>
      </w:r>
      <w:proofErr w:type="spellStart"/>
      <w:r w:rsidRPr="001A1DB3">
        <w:t>PsyArXiv</w:t>
      </w:r>
      <w:proofErr w:type="spellEnd"/>
      <w:r w:rsidRPr="001A1DB3">
        <w:t>. https://doi.org/10.31234/osf.io/3s6y8</w:t>
      </w:r>
    </w:p>
    <w:p w14:paraId="252FEF0F" w14:textId="77777777" w:rsidR="001A1DB3" w:rsidRPr="001A1DB3" w:rsidRDefault="001A1DB3" w:rsidP="001A1DB3">
      <w:pPr>
        <w:pStyle w:val="Bibliography"/>
      </w:pPr>
      <w:proofErr w:type="spellStart"/>
      <w:r w:rsidRPr="001A1DB3">
        <w:t>Ribotta</w:t>
      </w:r>
      <w:proofErr w:type="spellEnd"/>
      <w:r w:rsidRPr="001A1DB3">
        <w:t xml:space="preserve">, B., Silan, M. A., </w:t>
      </w:r>
      <w:proofErr w:type="spellStart"/>
      <w:r w:rsidRPr="001A1DB3">
        <w:t>Dujols</w:t>
      </w:r>
      <w:proofErr w:type="spellEnd"/>
      <w:r w:rsidRPr="001A1DB3">
        <w:t xml:space="preserve">, O., </w:t>
      </w:r>
      <w:proofErr w:type="spellStart"/>
      <w:r w:rsidRPr="001A1DB3">
        <w:t>Bellemin</w:t>
      </w:r>
      <w:proofErr w:type="spellEnd"/>
      <w:r w:rsidRPr="001A1DB3">
        <w:t xml:space="preserve">, R., &amp; </w:t>
      </w:r>
      <w:proofErr w:type="spellStart"/>
      <w:r w:rsidRPr="001A1DB3">
        <w:t>IJzerman</w:t>
      </w:r>
      <w:proofErr w:type="spellEnd"/>
      <w:r w:rsidRPr="001A1DB3">
        <w:t xml:space="preserve">, H. (2021, December). </w:t>
      </w:r>
      <w:r w:rsidRPr="001A1DB3">
        <w:rPr>
          <w:i/>
          <w:iCs/>
        </w:rPr>
        <w:t>Lack of Construct Validity and Item-Content Overlap in the Assessment of Romantic Relationship Quality</w:t>
      </w:r>
      <w:r w:rsidRPr="001A1DB3">
        <w:t xml:space="preserve">. </w:t>
      </w:r>
      <w:proofErr w:type="spellStart"/>
      <w:r w:rsidRPr="001A1DB3">
        <w:t>PsyArXiv</w:t>
      </w:r>
      <w:proofErr w:type="spellEnd"/>
      <w:r w:rsidRPr="001A1DB3">
        <w:t>. https://doi.org/10.31234/osf.io/w32dc</w:t>
      </w:r>
    </w:p>
    <w:p w14:paraId="3AF2E672" w14:textId="77777777" w:rsidR="001A1DB3" w:rsidRPr="001A1DB3" w:rsidRDefault="001A1DB3" w:rsidP="001A1DB3">
      <w:pPr>
        <w:pStyle w:val="Bibliography"/>
      </w:pPr>
      <w:proofErr w:type="spellStart"/>
      <w:r w:rsidRPr="001A1DB3">
        <w:t>Skogestad</w:t>
      </w:r>
      <w:proofErr w:type="spellEnd"/>
      <w:r w:rsidRPr="001A1DB3">
        <w:t xml:space="preserve">, I. J., Kirkevold, M., </w:t>
      </w:r>
      <w:proofErr w:type="spellStart"/>
      <w:r w:rsidRPr="001A1DB3">
        <w:t>Indredavik</w:t>
      </w:r>
      <w:proofErr w:type="spellEnd"/>
      <w:r w:rsidRPr="001A1DB3">
        <w:t xml:space="preserve">, B., Gay, C. L., &amp; Lerdal, A. (2019). Lack of content overlap and essential dimensions – A review of measures used for post-stroke fatigue. </w:t>
      </w:r>
      <w:r w:rsidRPr="001A1DB3">
        <w:rPr>
          <w:i/>
          <w:iCs/>
        </w:rPr>
        <w:t>Journal of Psychosomatic Research</w:t>
      </w:r>
      <w:r w:rsidRPr="001A1DB3">
        <w:t xml:space="preserve">, </w:t>
      </w:r>
      <w:r w:rsidRPr="001A1DB3">
        <w:rPr>
          <w:i/>
          <w:iCs/>
        </w:rPr>
        <w:t>124</w:t>
      </w:r>
      <w:r w:rsidRPr="001A1DB3">
        <w:t>, 109759. https://doi.org/10.1016/j.jpsychores.2019.109759</w:t>
      </w:r>
    </w:p>
    <w:p w14:paraId="137F6EA5" w14:textId="77777777" w:rsidR="001A1DB3" w:rsidRPr="001A1DB3" w:rsidRDefault="001A1DB3" w:rsidP="001A1DB3">
      <w:pPr>
        <w:pStyle w:val="Bibliography"/>
      </w:pPr>
      <w:r w:rsidRPr="001A1DB3">
        <w:t xml:space="preserve">Ten Klooster, P. M., Simoes, J. P., &amp; </w:t>
      </w:r>
      <w:proofErr w:type="spellStart"/>
      <w:r w:rsidRPr="001A1DB3">
        <w:t>Vonkeman</w:t>
      </w:r>
      <w:proofErr w:type="spellEnd"/>
      <w:r w:rsidRPr="001A1DB3">
        <w:t xml:space="preserve">, H. E. (2024). Limited content overlap between commonly used self-report instruments for central (pain) sensitization in rheumatology. </w:t>
      </w:r>
      <w:r w:rsidRPr="001A1DB3">
        <w:rPr>
          <w:i/>
          <w:iCs/>
        </w:rPr>
        <w:t>Rheumatology Advances in Practice</w:t>
      </w:r>
      <w:r w:rsidRPr="001A1DB3">
        <w:t xml:space="preserve">, </w:t>
      </w:r>
      <w:r w:rsidRPr="001A1DB3">
        <w:rPr>
          <w:i/>
          <w:iCs/>
        </w:rPr>
        <w:t>8</w:t>
      </w:r>
      <w:r w:rsidRPr="001A1DB3">
        <w:t>(3), rkae108. https://doi.org/10.1093/rap/rkae108</w:t>
      </w:r>
    </w:p>
    <w:p w14:paraId="1AC47182" w14:textId="77777777" w:rsidR="001A1DB3" w:rsidRPr="001A1DB3" w:rsidRDefault="001A1DB3" w:rsidP="001A1DB3">
      <w:pPr>
        <w:pStyle w:val="Bibliography"/>
      </w:pPr>
      <w:r w:rsidRPr="001A1DB3">
        <w:t xml:space="preserve">Vial, A., Assink, M., </w:t>
      </w:r>
      <w:proofErr w:type="spellStart"/>
      <w:r w:rsidRPr="001A1DB3">
        <w:t>Stams</w:t>
      </w:r>
      <w:proofErr w:type="spellEnd"/>
      <w:r w:rsidRPr="001A1DB3">
        <w:t xml:space="preserve">, G. J. J. M., &amp; Van Der Put, C. (2020). Safety assessment in child welfare: A comparison of instruments. </w:t>
      </w:r>
      <w:r w:rsidRPr="001A1DB3">
        <w:rPr>
          <w:i/>
          <w:iCs/>
        </w:rPr>
        <w:t>Children and Youth Services Review</w:t>
      </w:r>
      <w:r w:rsidRPr="001A1DB3">
        <w:t xml:space="preserve">, </w:t>
      </w:r>
      <w:r w:rsidRPr="001A1DB3">
        <w:rPr>
          <w:i/>
          <w:iCs/>
        </w:rPr>
        <w:t>108</w:t>
      </w:r>
      <w:r w:rsidRPr="001A1DB3">
        <w:t>, 104555. https://doi.org/10.1016/j.childyouth.2019.104555</w:t>
      </w:r>
    </w:p>
    <w:p w14:paraId="7D43393A" w14:textId="77777777" w:rsidR="001A1DB3" w:rsidRPr="001A1DB3" w:rsidRDefault="001A1DB3" w:rsidP="001A1DB3">
      <w:pPr>
        <w:pStyle w:val="Bibliography"/>
      </w:pPr>
      <w:r w:rsidRPr="001A1DB3">
        <w:lastRenderedPageBreak/>
        <w:t xml:space="preserve">Vilar, A., Sánchez-Martínez, N., Blasco, M. J., Álvarez-Salazar, S., Batlle Vila, S., &amp; G. Forero, C. (2022). Content agreement of depressive symptomatology in children and adolescents: A review of eighteen self-report questionnaires. </w:t>
      </w:r>
      <w:r w:rsidRPr="001A1DB3">
        <w:rPr>
          <w:i/>
          <w:iCs/>
        </w:rPr>
        <w:t>European Child &amp; Adolescent Psychiatry</w:t>
      </w:r>
      <w:r w:rsidRPr="001A1DB3">
        <w:t>. https://doi.org/10.1007/s00787-022-02056-w</w:t>
      </w:r>
    </w:p>
    <w:p w14:paraId="16F75E55" w14:textId="77777777" w:rsidR="001A1DB3" w:rsidRPr="001A1DB3" w:rsidRDefault="001A1DB3" w:rsidP="001A1DB3">
      <w:pPr>
        <w:pStyle w:val="Bibliography"/>
      </w:pPr>
      <w:r w:rsidRPr="001A1DB3">
        <w:t xml:space="preserve">Visontay, R., Sunderland, M., Grisham, J., &amp; Slade, T. (2019). Content overlap between youth OCD scales: Heterogeneity among symptoms probed and implications. </w:t>
      </w:r>
      <w:r w:rsidRPr="001A1DB3">
        <w:rPr>
          <w:i/>
          <w:iCs/>
        </w:rPr>
        <w:t>Journal of Obsessive-Compulsive and Related Disorders</w:t>
      </w:r>
      <w:r w:rsidRPr="001A1DB3">
        <w:t xml:space="preserve">, </w:t>
      </w:r>
      <w:r w:rsidRPr="001A1DB3">
        <w:rPr>
          <w:i/>
          <w:iCs/>
        </w:rPr>
        <w:t>21</w:t>
      </w:r>
      <w:r w:rsidRPr="001A1DB3">
        <w:t>, 6–12. https://doi.org/10.1016/j.jocrd.2018.10.005</w:t>
      </w:r>
    </w:p>
    <w:p w14:paraId="2AEAAAE3" w14:textId="77777777" w:rsidR="001A1DB3" w:rsidRPr="001A1DB3" w:rsidRDefault="001A1DB3" w:rsidP="001A1DB3">
      <w:pPr>
        <w:pStyle w:val="Bibliography"/>
      </w:pPr>
      <w:r w:rsidRPr="001A1DB3">
        <w:t xml:space="preserve">Wall, A. D., &amp; Lee, E. B. (2022). What do Anxiety Scales Really Measure? An Item Content Analysis of Self-Report Measures of Anxiety. </w:t>
      </w:r>
      <w:r w:rsidRPr="001A1DB3">
        <w:rPr>
          <w:i/>
          <w:iCs/>
        </w:rPr>
        <w:t xml:space="preserve">Journal of Psychopathology and </w:t>
      </w:r>
      <w:proofErr w:type="spellStart"/>
      <w:r w:rsidRPr="001A1DB3">
        <w:rPr>
          <w:i/>
          <w:iCs/>
        </w:rPr>
        <w:t>Behavioral</w:t>
      </w:r>
      <w:proofErr w:type="spellEnd"/>
      <w:r w:rsidRPr="001A1DB3">
        <w:rPr>
          <w:i/>
          <w:iCs/>
        </w:rPr>
        <w:t xml:space="preserve"> Assessment</w:t>
      </w:r>
      <w:r w:rsidRPr="001A1DB3">
        <w:t xml:space="preserve">, </w:t>
      </w:r>
      <w:r w:rsidRPr="001A1DB3">
        <w:rPr>
          <w:i/>
          <w:iCs/>
        </w:rPr>
        <w:t>44</w:t>
      </w:r>
      <w:r w:rsidRPr="001A1DB3">
        <w:t>(4), 1148–1157. https://doi.org/10.1007/s10862-022-09973-9</w:t>
      </w:r>
    </w:p>
    <w:p w14:paraId="3C36A04B" w14:textId="2AE81AF0" w:rsidR="001A1DB3" w:rsidRPr="002608EA" w:rsidRDefault="001A1DB3">
      <w:pPr>
        <w:rPr>
          <w:lang w:val="en-GB"/>
        </w:rPr>
      </w:pPr>
      <w:r>
        <w:rPr>
          <w:lang w:val="en-GB"/>
        </w:rPr>
        <w:fldChar w:fldCharType="end"/>
      </w:r>
    </w:p>
    <w:sectPr w:rsidR="001A1DB3" w:rsidRPr="00260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3498"/>
    <w:rsid w:val="000205CD"/>
    <w:rsid w:val="0010080B"/>
    <w:rsid w:val="001A1DB3"/>
    <w:rsid w:val="002608EA"/>
    <w:rsid w:val="002A74BF"/>
    <w:rsid w:val="002E4903"/>
    <w:rsid w:val="003D5D90"/>
    <w:rsid w:val="005B5787"/>
    <w:rsid w:val="00701CF1"/>
    <w:rsid w:val="008518B5"/>
    <w:rsid w:val="00870B18"/>
    <w:rsid w:val="008C3829"/>
    <w:rsid w:val="00AB26A6"/>
    <w:rsid w:val="00B131EF"/>
    <w:rsid w:val="00BD3498"/>
    <w:rsid w:val="00C0221E"/>
    <w:rsid w:val="00D2126E"/>
    <w:rsid w:val="00D6138C"/>
    <w:rsid w:val="00DB1B7E"/>
    <w:rsid w:val="00E4502F"/>
    <w:rsid w:val="00F72C0D"/>
    <w:rsid w:val="00FC007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6B06"/>
  <w15:chartTrackingRefBased/>
  <w15:docId w15:val="{A4D49684-3BA9-4093-8DAB-1BEF7F41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498"/>
    <w:rPr>
      <w:rFonts w:eastAsiaTheme="majorEastAsia" w:cstheme="majorBidi"/>
      <w:color w:val="272727" w:themeColor="text1" w:themeTint="D8"/>
    </w:rPr>
  </w:style>
  <w:style w:type="paragraph" w:styleId="Title">
    <w:name w:val="Title"/>
    <w:basedOn w:val="Normal"/>
    <w:next w:val="Normal"/>
    <w:link w:val="TitleChar"/>
    <w:uiPriority w:val="10"/>
    <w:qFormat/>
    <w:rsid w:val="00BD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498"/>
    <w:pPr>
      <w:spacing w:before="160"/>
      <w:jc w:val="center"/>
    </w:pPr>
    <w:rPr>
      <w:i/>
      <w:iCs/>
      <w:color w:val="404040" w:themeColor="text1" w:themeTint="BF"/>
    </w:rPr>
  </w:style>
  <w:style w:type="character" w:customStyle="1" w:styleId="QuoteChar">
    <w:name w:val="Quote Char"/>
    <w:basedOn w:val="DefaultParagraphFont"/>
    <w:link w:val="Quote"/>
    <w:uiPriority w:val="29"/>
    <w:rsid w:val="00BD3498"/>
    <w:rPr>
      <w:i/>
      <w:iCs/>
      <w:color w:val="404040" w:themeColor="text1" w:themeTint="BF"/>
    </w:rPr>
  </w:style>
  <w:style w:type="paragraph" w:styleId="ListParagraph">
    <w:name w:val="List Paragraph"/>
    <w:basedOn w:val="Normal"/>
    <w:uiPriority w:val="34"/>
    <w:qFormat/>
    <w:rsid w:val="00BD3498"/>
    <w:pPr>
      <w:ind w:left="720"/>
      <w:contextualSpacing/>
    </w:pPr>
  </w:style>
  <w:style w:type="character" w:styleId="IntenseEmphasis">
    <w:name w:val="Intense Emphasis"/>
    <w:basedOn w:val="DefaultParagraphFont"/>
    <w:uiPriority w:val="21"/>
    <w:qFormat/>
    <w:rsid w:val="00BD3498"/>
    <w:rPr>
      <w:i/>
      <w:iCs/>
      <w:color w:val="0F4761" w:themeColor="accent1" w:themeShade="BF"/>
    </w:rPr>
  </w:style>
  <w:style w:type="paragraph" w:styleId="IntenseQuote">
    <w:name w:val="Intense Quote"/>
    <w:basedOn w:val="Normal"/>
    <w:next w:val="Normal"/>
    <w:link w:val="IntenseQuoteChar"/>
    <w:uiPriority w:val="30"/>
    <w:qFormat/>
    <w:rsid w:val="00BD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498"/>
    <w:rPr>
      <w:i/>
      <w:iCs/>
      <w:color w:val="0F4761" w:themeColor="accent1" w:themeShade="BF"/>
    </w:rPr>
  </w:style>
  <w:style w:type="character" w:styleId="IntenseReference">
    <w:name w:val="Intense Reference"/>
    <w:basedOn w:val="DefaultParagraphFont"/>
    <w:uiPriority w:val="32"/>
    <w:qFormat/>
    <w:rsid w:val="00BD3498"/>
    <w:rPr>
      <w:b/>
      <w:bCs/>
      <w:smallCaps/>
      <w:color w:val="0F4761" w:themeColor="accent1" w:themeShade="BF"/>
      <w:spacing w:val="5"/>
    </w:rPr>
  </w:style>
  <w:style w:type="paragraph" w:customStyle="1" w:styleId="TableCaption">
    <w:name w:val="Table Caption"/>
    <w:basedOn w:val="Normal"/>
    <w:qFormat/>
    <w:rsid w:val="00BD3498"/>
    <w:pPr>
      <w:spacing w:after="0" w:line="240" w:lineRule="auto"/>
      <w:jc w:val="center"/>
    </w:pPr>
    <w:rPr>
      <w:rFonts w:eastAsiaTheme="minorEastAsia"/>
      <w:b/>
      <w:i/>
      <w:kern w:val="0"/>
      <w:sz w:val="24"/>
      <w:szCs w:val="24"/>
      <w:lang w:val="en-US"/>
    </w:rPr>
  </w:style>
  <w:style w:type="paragraph" w:styleId="Bibliography">
    <w:name w:val="Bibliography"/>
    <w:basedOn w:val="Normal"/>
    <w:next w:val="Normal"/>
    <w:uiPriority w:val="37"/>
    <w:unhideWhenUsed/>
    <w:rsid w:val="001A1DB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E9B5B-ADE8-4D52-BDA6-2603F6802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11</Pages>
  <Words>15827</Words>
  <Characters>90216</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Schneeberger, Tim (STUDENTS)</dc:creator>
  <cp:keywords/>
  <dc:description/>
  <cp:lastModifiedBy>Schneeberger, Tim (STUDENTS)</cp:lastModifiedBy>
  <cp:revision>4</cp:revision>
  <dcterms:created xsi:type="dcterms:W3CDTF">2026-06-27T13:10:00Z</dcterms:created>
  <dcterms:modified xsi:type="dcterms:W3CDTF">2026-06-28T17:13:00Z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id="EKlPzm2n"/&gt;&lt;style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 name="delayCitationUpdates" value="true"/&gt;&lt;/prefs&gt;&lt;/data&gt;</vt:lpwstr>
  </property>
</Properties>
</file>