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Methods synthesis tables</w:t>
      </w:r>
    </w:p>
    <w:p>
      <w:pPr>
        <w:pStyle w:val="Titre2"/>
      </w:pPr>
      <w:r>
        <w:t xml:space="preserve">Overview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Overarching domain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34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overarching_domain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psychological_condition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transdiagnostic_feature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medical_condition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Administration mode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administration_mode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self_report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parent_report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structured_interview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observer_report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Scale search and selection transparency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Reported databases/search sources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3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psycinfo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pubmed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google_scholar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web_of_science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cinahl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sociological_abstracts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eprovide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proquest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psycarticles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ptsdpubs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sciencedirect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Number of Databases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26"/>
        <w:gridCol w:w="1352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n_sources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13.0%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Selection criteria format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Specific inclusion criteria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7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60.7%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21.4%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Unit of comparison and transformations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Unit of comparison across analyses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Percentage reduction by unit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961"/>
        <w:gridCol w:w="961"/>
        <w:gridCol w:w="1132"/>
        <w:gridCol w:w="961"/>
        <w:gridCol w:w="839"/>
        <w:gridCol w:w="839"/>
        <w:gridCol w:w="839"/>
        <w:gridCol w:w="839"/>
      </w:tblGrid>
      <w:tr>
        <w:trPr>
          <w:trHeight w:val="61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q75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91.6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Categorization approach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20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categorization_approach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bottom_up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73.0%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top_down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Diagnostic frameworks referenced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655"/>
        <w:gridCol w:w="1144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diagnostic_framework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who_definition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Item preprocessing and transformation decisions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64.9%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Coding workflow and reproducibility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and rater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655"/>
        <w:gridCol w:w="961"/>
        <w:gridCol w:w="839"/>
        <w:gridCol w:w="1132"/>
        <w:gridCol w:w="655"/>
        <w:gridCol w:w="765"/>
        <w:gridCol w:w="826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 coding team size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57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of raters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Initial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8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initial_coding_team_size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Rater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n_rater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35.7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/>
        <w:drawing>
          <wp:inline distT="0" distB="0" distL="0" distR="0">
            <wp:extent cx="5669280" cy="47548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75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expansion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7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expanded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46.4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Additional Coding Descriptives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91"/>
        <w:gridCol w:w="533"/>
        <w:gridCol w:w="1634"/>
        <w:gridCol w:w="1670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denominator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report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Rater expertise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8/37 (21.6%)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Blinded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 (5.4%)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reliability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Independent coding scheme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Interrater reliability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Disagreement resolved mentioned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</w:tbl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Documentation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5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Codebook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mentioned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Preregistered rules reported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Software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7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used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86.2%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Python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10.3%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code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Overlap reporting and scale length correlation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overlap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81.1%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Length × mean-overlap relation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Location of overlap matrix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65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Matrix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Main text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available despite overlap reporting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Overlap Values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655"/>
        <w:gridCol w:w="961"/>
        <w:gridCol w:w="1132"/>
        <w:gridCol w:w="839"/>
        <w:gridCol w:w="839"/>
      </w:tblGrid>
      <w:tr>
        <w:trPr>
          <w:trHeight w:val="57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overlap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Maximum overlap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Types of reported length correlations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8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correlation_lengthxmeanoverlap_type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positive_numeric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9/17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52.9%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positive_text_only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17.6%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other_unclear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null_text_only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Interpretive claims and recommendations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38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Heterogeneity emphasized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Noninterchangeability emphasized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Careful measure selection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Measure development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67.6%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ICA methods problems/research needs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How authors described overlap strength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2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Overlap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Very weak overlap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Weak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specified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9554da0bca3b47a58af57988faffbe17fc100159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2026-06-30T15:20:32Z</dcterms:modified>
  <cp:category/>
</cp:coreProperties>
</file>