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Database reporting and search breadth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X. Summary of database breadth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n_coded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n_single_db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Y. Number of databases reported per study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# Databases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Studies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Studies (%)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13.0%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Z. Prevalence of reported databases/search sources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Studies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Studies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W. Reported scale-selection criteria among studies conducting a scale search (N = 32)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Studies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 (65.6%)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 (21.9%)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 (9.4%)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 (3.1%)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H. Prevalence of specific inclusion criteria among studies reporting inclusion criteria  (N = 28)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Studies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 (60.7%)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 (50.0%)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 (28.6%)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 (28.6%)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 (21.4%)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 (14.3%)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X. Reported item preprocessing and transformation decisions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report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 (43.2%)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 (18.9%)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 (35.1%)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 (64.9%)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 (70.3%)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 (83.3%)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 (8.3%)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 (8.3%)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X. Reported item preprocessing and transformation decisions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report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 (43.2%)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 (18.9%)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 (35.1%)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 (70.3%)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 (64.9%)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 (83.3%)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 (8.3%)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 (8.3%)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X. Reported item preprocessing and transformation decisions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report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percent_true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W. Reported scale-selection criteria among studies conducting a scale search (N = 32)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Percentage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H. Prevalence of specific inclusion criteria among studies reporting inclusion criteria  (N = 28)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2026-04-14T13:05:16Z</dcterms:modified>
  <cp:category/>
</cp:coreProperties>
</file>