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328"/>
        <w:gridCol w:w="1451"/>
        <w:gridCol w:w="1132"/>
        <w:gridCol w:w="1084"/>
        <w:gridCol w:w="961"/>
        <w:gridCol w:w="961"/>
        <w:gridCol w:w="1084"/>
        <w:gridCol w:w="1084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68.37704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18.947373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83.495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7.129855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98.465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9.277241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91.580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Reproducibility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655"/>
        <w:gridCol w:w="1634"/>
        <w:gridCol w:w="1793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denominator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report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 (27.0%)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 (40.5%)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 (78.4%)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 (37.8%)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 (2.7%)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2026-04-15T16:44:41Z</dcterms:modified>
  <cp:category/>
</cp:coreProperties>
</file>