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276" w:lineRule="auto"/>
        <w:jc w:val="right"/>
        <w:rPr>
          <w:rFonts w:ascii="Arial" w:cs="Arial" w:eastAsia="Arial" w:hAnsi="Arial"/>
          <w:b w:val="0"/>
          <w:sz w:val="52"/>
          <w:szCs w:val="52"/>
        </w:rPr>
      </w:pPr>
      <w:bookmarkStart w:colFirst="0" w:colLast="0" w:name="_heading=h.oopvcu62w03t" w:id="0"/>
      <w:bookmarkEnd w:id="0"/>
      <w:r w:rsidDel="00000000" w:rsidR="00000000" w:rsidRPr="00000000">
        <w:rPr>
          <w:rtl w:val="0"/>
        </w:rPr>
      </w:r>
    </w:p>
    <w:p w:rsidR="00000000" w:rsidDel="00000000" w:rsidP="00000000" w:rsidRDefault="00000000" w:rsidRPr="00000000" w14:paraId="00000002">
      <w:pPr>
        <w:pStyle w:val="Title"/>
        <w:spacing w:after="60" w:before="0" w:line="276" w:lineRule="auto"/>
        <w:jc w:val="right"/>
        <w:rPr>
          <w:rFonts w:ascii="Arial" w:cs="Arial" w:eastAsia="Arial" w:hAnsi="Arial"/>
          <w:b w:val="0"/>
          <w:sz w:val="60"/>
          <w:szCs w:val="60"/>
        </w:rPr>
      </w:pPr>
      <w:bookmarkStart w:colFirst="0" w:colLast="0" w:name="_heading=h.j7ijyffi1xns" w:id="1"/>
      <w:bookmarkEnd w:id="1"/>
      <w:r w:rsidDel="00000000" w:rsidR="00000000" w:rsidRPr="00000000">
        <w:rPr>
          <w:rFonts w:ascii="Arial" w:cs="Arial" w:eastAsia="Arial" w:hAnsi="Arial"/>
          <w:b w:val="0"/>
          <w:sz w:val="60"/>
          <w:szCs w:val="60"/>
          <w:rtl w:val="0"/>
        </w:rPr>
        <w:br w:type="textWrapping"/>
        <w:br w:type="textWrapping"/>
        <w:br w:type="textWrapping"/>
        <w:br w:type="textWrapping"/>
        <w:br w:type="textWrapping"/>
      </w:r>
    </w:p>
    <w:p w:rsidR="00000000" w:rsidDel="00000000" w:rsidP="00000000" w:rsidRDefault="00000000" w:rsidRPr="00000000" w14:paraId="00000003">
      <w:pPr>
        <w:pStyle w:val="Title"/>
        <w:spacing w:after="60" w:before="0" w:line="276" w:lineRule="auto"/>
        <w:jc w:val="right"/>
        <w:rPr>
          <w:rFonts w:ascii="Arial" w:cs="Arial" w:eastAsia="Arial" w:hAnsi="Arial"/>
          <w:b w:val="0"/>
          <w:sz w:val="60"/>
          <w:szCs w:val="60"/>
        </w:rPr>
      </w:pPr>
      <w:bookmarkStart w:colFirst="0" w:colLast="0" w:name="_heading=h.t2pjg7sjwlw7" w:id="2"/>
      <w:bookmarkEnd w:id="2"/>
      <w:r w:rsidDel="00000000" w:rsidR="00000000" w:rsidRPr="00000000">
        <w:rPr>
          <w:rFonts w:ascii="Arial" w:cs="Arial" w:eastAsia="Arial" w:hAnsi="Arial"/>
          <w:b w:val="0"/>
          <w:sz w:val="60"/>
          <w:szCs w:val="60"/>
          <w:rtl w:val="0"/>
        </w:rPr>
        <w:t xml:space="preserve">Anexo: Visión del Proyecto</w:t>
      </w:r>
    </w:p>
    <w:p w:rsidR="00000000" w:rsidDel="00000000" w:rsidP="00000000" w:rsidRDefault="00000000" w:rsidRPr="00000000" w14:paraId="00000004">
      <w:pPr>
        <w:ind w:left="180" w:firstLine="0"/>
        <w:jc w:val="right"/>
        <w:rPr>
          <w:b w:val="1"/>
          <w:color w:val="595959"/>
          <w:sz w:val="36"/>
          <w:szCs w:val="36"/>
        </w:rPr>
      </w:pPr>
      <w:bookmarkStart w:colFirst="0" w:colLast="0" w:name="_heading=h.u9iqnd8vipdj" w:id="3"/>
      <w:bookmarkEnd w:id="3"/>
      <w:r w:rsidDel="00000000" w:rsidR="00000000" w:rsidRPr="00000000">
        <w:rPr>
          <w:rFonts w:ascii="Arial" w:cs="Arial" w:eastAsia="Arial" w:hAnsi="Arial"/>
          <w:sz w:val="22"/>
          <w:szCs w:val="22"/>
          <w:rtl w:val="0"/>
        </w:rPr>
        <w:t xml:space="preserve">Proyecto Gestión Derivaciones Escolares</w:t>
      </w:r>
      <w:r w:rsidDel="00000000" w:rsidR="00000000" w:rsidRPr="00000000">
        <w:br w:type="page"/>
      </w:r>
      <w:r w:rsidDel="00000000" w:rsidR="00000000" w:rsidRPr="00000000">
        <w:rPr>
          <w:rtl w:val="0"/>
        </w:rPr>
      </w:r>
    </w:p>
    <w:p w:rsidR="00000000" w:rsidDel="00000000" w:rsidP="00000000" w:rsidRDefault="00000000" w:rsidRPr="00000000" w14:paraId="00000005">
      <w:pPr>
        <w:ind w:left="180" w:firstLine="0"/>
        <w:jc w:val="center"/>
        <w:rPr>
          <w:b w:val="1"/>
          <w:color w:val="808080"/>
          <w:sz w:val="36"/>
          <w:szCs w:val="36"/>
        </w:rPr>
      </w:pPr>
      <w:bookmarkStart w:colFirst="0" w:colLast="0" w:name="_heading=h.gjdgxs" w:id="4"/>
      <w:bookmarkEnd w:id="4"/>
      <w:r w:rsidDel="00000000" w:rsidR="00000000" w:rsidRPr="00000000">
        <w:rPr>
          <w:b w:val="1"/>
          <w:color w:val="595959"/>
          <w:sz w:val="36"/>
          <w:szCs w:val="36"/>
          <w:rtl w:val="0"/>
        </w:rPr>
        <w:t xml:space="preserve">Declaración Visión del Producto</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sz w:val="13"/>
          <w:szCs w:val="13"/>
        </w:rPr>
      </w:pPr>
      <w:r w:rsidDel="00000000" w:rsidR="00000000" w:rsidRPr="00000000">
        <w:rPr>
          <w:rtl w:val="0"/>
        </w:rPr>
      </w:r>
    </w:p>
    <w:tbl>
      <w:tblPr>
        <w:tblStyle w:val="Table1"/>
        <w:tblW w:w="1013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03"/>
        <w:gridCol w:w="7636"/>
        <w:tblGridChange w:id="0">
          <w:tblGrid>
            <w:gridCol w:w="2503"/>
            <w:gridCol w:w="7636"/>
          </w:tblGrid>
        </w:tblGridChange>
      </w:tblGrid>
      <w:tr>
        <w:trPr>
          <w:cantSplit w:val="0"/>
          <w:trHeight w:val="342" w:hRule="atLeast"/>
          <w:tblHeader w:val="0"/>
        </w:trPr>
        <w:tc>
          <w:tcPr>
            <w:shd w:fill="d5dce4" w:val="clear"/>
            <w:vAlign w:val="center"/>
          </w:tcPr>
          <w:p w:rsidR="00000000" w:rsidDel="00000000" w:rsidP="00000000" w:rsidRDefault="00000000" w:rsidRPr="00000000" w14:paraId="00000009">
            <w:pPr>
              <w:spacing w:line="276" w:lineRule="auto"/>
              <w:ind w:left="69" w:firstLine="0"/>
              <w:jc w:val="both"/>
              <w:rPr>
                <w:b w:val="1"/>
                <w:color w:val="ffffff"/>
                <w:sz w:val="24"/>
                <w:szCs w:val="24"/>
              </w:rPr>
            </w:pPr>
            <w:r w:rsidDel="00000000" w:rsidR="00000000" w:rsidRPr="00000000">
              <w:rPr>
                <w:rtl w:val="0"/>
              </w:rPr>
            </w:r>
          </w:p>
        </w:tc>
        <w:tc>
          <w:tcPr>
            <w:shd w:fill="323e4f" w:val="clear"/>
            <w:vAlign w:val="center"/>
          </w:tcPr>
          <w:p w:rsidR="00000000" w:rsidDel="00000000" w:rsidP="00000000" w:rsidRDefault="00000000" w:rsidRPr="00000000" w14:paraId="0000000A">
            <w:pPr>
              <w:spacing w:line="276" w:lineRule="auto"/>
              <w:jc w:val="both"/>
              <w:rPr>
                <w:color w:val="ffffff"/>
              </w:rPr>
            </w:pPr>
            <w:r w:rsidDel="00000000" w:rsidR="00000000" w:rsidRPr="00000000">
              <w:rPr>
                <w:b w:val="1"/>
                <w:color w:val="ffffff"/>
                <w:sz w:val="24"/>
                <w:szCs w:val="24"/>
                <w:rtl w:val="0"/>
              </w:rPr>
              <w:t xml:space="preserve">Respuestas</w:t>
            </w:r>
            <w:r w:rsidDel="00000000" w:rsidR="00000000" w:rsidRPr="00000000">
              <w:rPr>
                <w:rtl w:val="0"/>
              </w:rPr>
            </w:r>
          </w:p>
        </w:tc>
      </w:tr>
      <w:tr>
        <w:trPr>
          <w:cantSplit w:val="0"/>
          <w:trHeight w:val="1621" w:hRule="atLeast"/>
          <w:tblHeader w:val="0"/>
        </w:trPr>
        <w:tc>
          <w:tcPr>
            <w:shd w:fill="d5dce4" w:val="clear"/>
            <w:vAlign w:val="center"/>
          </w:tcPr>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0" w:line="240" w:lineRule="auto"/>
              <w:ind w:left="429" w:right="0" w:hanging="36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Grupo Objetivo</w:t>
            </w:r>
            <w:r w:rsidDel="00000000" w:rsidR="00000000" w:rsidRPr="00000000">
              <w:rPr>
                <w:rtl w:val="0"/>
              </w:rPr>
            </w:r>
          </w:p>
        </w:tc>
        <w:tc>
          <w:tcPr>
            <w:vAlign w:val="center"/>
          </w:tcPr>
          <w:p w:rsidR="00000000" w:rsidDel="00000000" w:rsidP="00000000" w:rsidRDefault="00000000" w:rsidRPr="00000000" w14:paraId="0000000C">
            <w:pPr>
              <w:jc w:val="both"/>
              <w:rPr/>
            </w:pPr>
            <w:r w:rsidDel="00000000" w:rsidR="00000000" w:rsidRPr="00000000">
              <w:rPr>
                <w:rtl w:val="0"/>
              </w:rPr>
              <w:t xml:space="preserve">Está dirigido a instituciones de educación públicas, en particular para el Colegio Nuestra Señora y Madre del Carmen. Los usuarios serán personal docente y paradocente de la comunidad escolar (estamentos de dirección, convivencia escolar, integración escolar y docencia)</w:t>
            </w:r>
          </w:p>
        </w:tc>
      </w:tr>
      <w:tr>
        <w:trPr>
          <w:cantSplit w:val="0"/>
          <w:trHeight w:val="1571" w:hRule="atLeast"/>
          <w:tblHeader w:val="0"/>
        </w:trPr>
        <w:tc>
          <w:tcPr>
            <w:shd w:fill="d5dce4" w:val="clear"/>
            <w:vAlign w:val="center"/>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0" w:line="240" w:lineRule="auto"/>
              <w:ind w:left="429" w:right="0" w:hanging="36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Necesidad</w:t>
            </w:r>
            <w:r w:rsidDel="00000000" w:rsidR="00000000" w:rsidRPr="00000000">
              <w:rPr>
                <w:rtl w:val="0"/>
              </w:rPr>
            </w:r>
          </w:p>
        </w:tc>
        <w:tc>
          <w:tcPr>
            <w:vAlign w:val="center"/>
          </w:tcPr>
          <w:p w:rsidR="00000000" w:rsidDel="00000000" w:rsidP="00000000" w:rsidRDefault="00000000" w:rsidRPr="00000000" w14:paraId="0000000E">
            <w:pPr>
              <w:jc w:val="both"/>
              <w:rPr/>
            </w:pPr>
            <w:r w:rsidDel="00000000" w:rsidR="00000000" w:rsidRPr="00000000">
              <w:rPr>
                <w:rtl w:val="0"/>
              </w:rPr>
              <w:t xml:space="preserve">Digitalizar sistema de apoyo social y educativo 🡪 Visibilidad, monitoreo y evaluación de la gestión de derivaciones escolares 🡪 Centralizar citaciones a apoderados</w:t>
            </w:r>
          </w:p>
        </w:tc>
      </w:tr>
      <w:tr>
        <w:trPr>
          <w:cantSplit w:val="0"/>
          <w:trHeight w:val="1585" w:hRule="atLeast"/>
          <w:tblHeader w:val="0"/>
        </w:trPr>
        <w:tc>
          <w:tcPr>
            <w:shd w:fill="d5dce4" w:val="clear"/>
            <w:vAlign w:val="center"/>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0" w:line="240" w:lineRule="auto"/>
              <w:ind w:left="429" w:right="0" w:hanging="360"/>
              <w:jc w:val="both"/>
              <w:rPr>
                <w:rFonts w:ascii="Century Gothic" w:cs="Century Gothic" w:eastAsia="Century Gothic" w:hAnsi="Century Gothic"/>
                <w:b w:val="1"/>
                <w:i w:val="0"/>
                <w:smallCaps w:val="0"/>
                <w:strike w:val="0"/>
                <w:color w:val="000000"/>
                <w:sz w:val="24"/>
                <w:szCs w:val="24"/>
                <w:u w:val="none"/>
                <w:shd w:fill="auto" w:val="clear"/>
                <w:vertAlign w:val="baseline"/>
              </w:rPr>
            </w:pPr>
            <w:bookmarkStart w:colFirst="0" w:colLast="0" w:name="_heading=h.30j0zll" w:id="5"/>
            <w:bookmarkEnd w:id="5"/>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Producto</w:t>
            </w:r>
            <w:r w:rsidDel="00000000" w:rsidR="00000000" w:rsidRPr="00000000">
              <w:rPr>
                <w:rtl w:val="0"/>
              </w:rPr>
            </w:r>
          </w:p>
        </w:tc>
        <w:tc>
          <w:tcPr>
            <w:vAlign w:val="center"/>
          </w:tcPr>
          <w:p w:rsidR="00000000" w:rsidDel="00000000" w:rsidP="00000000" w:rsidRDefault="00000000" w:rsidRPr="00000000" w14:paraId="00000010">
            <w:pPr>
              <w:jc w:val="both"/>
              <w:rPr/>
            </w:pPr>
            <w:r w:rsidDel="00000000" w:rsidR="00000000" w:rsidRPr="00000000">
              <w:rPr>
                <w:rtl w:val="0"/>
              </w:rPr>
              <w:t xml:space="preserve">Aplicación web para la gestión y control de diferentes necesidades asociadas a la derivación de casos entre estamentos dentro de la institución, gestión de la información de los casos, visualización de la información actualizada y edición de la misma, dependiendo de los diferentes roles asignados por administrador. Junto con esto, una base de datos actualizada con la matrícula anual extraída desde SIGE del ministerio de educación.</w:t>
            </w:r>
          </w:p>
        </w:tc>
      </w:tr>
      <w:tr>
        <w:trPr>
          <w:cantSplit w:val="0"/>
          <w:trHeight w:val="1804" w:hRule="atLeast"/>
          <w:tblHeader w:val="0"/>
        </w:trPr>
        <w:tc>
          <w:tcPr>
            <w:shd w:fill="d5dce4" w:val="clear"/>
            <w:vAlign w:val="center"/>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0" w:line="240" w:lineRule="auto"/>
              <w:ind w:left="429" w:right="0" w:hanging="36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Val</w:t>
            </w:r>
            <w:r w:rsidDel="00000000" w:rsidR="00000000" w:rsidRPr="00000000">
              <w:rPr>
                <w:b w:val="1"/>
                <w:sz w:val="24"/>
                <w:szCs w:val="24"/>
                <w:rtl w:val="0"/>
              </w:rPr>
              <w:t xml:space="preserve">or</w:t>
            </w:r>
            <w:r w:rsidDel="00000000" w:rsidR="00000000" w:rsidRPr="00000000">
              <w:rPr>
                <w:rtl w:val="0"/>
              </w:rPr>
            </w:r>
          </w:p>
        </w:tc>
        <w:tc>
          <w:tcPr>
            <w:vAlign w:val="center"/>
          </w:tcPr>
          <w:p w:rsidR="00000000" w:rsidDel="00000000" w:rsidP="00000000" w:rsidRDefault="00000000" w:rsidRPr="00000000" w14:paraId="00000012">
            <w:pPr>
              <w:jc w:val="both"/>
              <w:rPr/>
            </w:pPr>
            <w:r w:rsidDel="00000000" w:rsidR="00000000" w:rsidRPr="00000000">
              <w:rPr>
                <w:rtl w:val="0"/>
              </w:rPr>
              <w:t xml:space="preserve">Ahorro de tiempo y recursos humanos 🡪 Facilidad de acceso y registro de información personal de carácter privado 🡪 Eficacia y eficiencia en la gestión de derivaciones escolares 🡪 Confidencialidad de la información</w:t>
            </w:r>
          </w:p>
        </w:tc>
      </w:tr>
    </w:tbl>
    <w:p w:rsidR="00000000" w:rsidDel="00000000" w:rsidP="00000000" w:rsidRDefault="00000000" w:rsidRPr="00000000" w14:paraId="00000013">
      <w:pPr>
        <w:jc w:val="both"/>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4648200</wp:posOffset>
          </wp:positionH>
          <wp:positionV relativeFrom="paragraph">
            <wp:posOffset>-133349</wp:posOffset>
          </wp:positionV>
          <wp:extent cx="1784032" cy="428625"/>
          <wp:effectExtent b="0" l="0" r="0" t="0"/>
          <wp:wrapNone/>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784032"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-283209</wp:posOffset>
          </wp:positionV>
          <wp:extent cx="472916" cy="735648"/>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72916" cy="7356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9" w:hanging="360"/>
      </w:pPr>
      <w:rPr/>
    </w:lvl>
    <w:lvl w:ilvl="1">
      <w:start w:val="1"/>
      <w:numFmt w:val="lowerLetter"/>
      <w:lvlText w:val="%2."/>
      <w:lvlJc w:val="left"/>
      <w:pPr>
        <w:ind w:left="1149" w:hanging="360"/>
      </w:pPr>
      <w:rPr/>
    </w:lvl>
    <w:lvl w:ilvl="2">
      <w:start w:val="1"/>
      <w:numFmt w:val="lowerRoman"/>
      <w:lvlText w:val="%3."/>
      <w:lvlJc w:val="right"/>
      <w:pPr>
        <w:ind w:left="1869" w:hanging="180"/>
      </w:pPr>
      <w:rPr/>
    </w:lvl>
    <w:lvl w:ilvl="3">
      <w:start w:val="1"/>
      <w:numFmt w:val="decimal"/>
      <w:lvlText w:val="%4."/>
      <w:lvlJc w:val="left"/>
      <w:pPr>
        <w:ind w:left="2589" w:hanging="360"/>
      </w:pPr>
      <w:rPr/>
    </w:lvl>
    <w:lvl w:ilvl="4">
      <w:start w:val="1"/>
      <w:numFmt w:val="lowerLetter"/>
      <w:lvlText w:val="%5."/>
      <w:lvlJc w:val="left"/>
      <w:pPr>
        <w:ind w:left="3309" w:hanging="360"/>
      </w:pPr>
      <w:rPr/>
    </w:lvl>
    <w:lvl w:ilvl="5">
      <w:start w:val="1"/>
      <w:numFmt w:val="lowerRoman"/>
      <w:lvlText w:val="%6."/>
      <w:lvlJc w:val="right"/>
      <w:pPr>
        <w:ind w:left="4029" w:hanging="180"/>
      </w:pPr>
      <w:rPr/>
    </w:lvl>
    <w:lvl w:ilvl="6">
      <w:start w:val="1"/>
      <w:numFmt w:val="decimal"/>
      <w:lvlText w:val="%7."/>
      <w:lvlJc w:val="left"/>
      <w:pPr>
        <w:ind w:left="4749" w:hanging="360"/>
      </w:pPr>
      <w:rPr/>
    </w:lvl>
    <w:lvl w:ilvl="7">
      <w:start w:val="1"/>
      <w:numFmt w:val="lowerLetter"/>
      <w:lvlText w:val="%8."/>
      <w:lvlJc w:val="left"/>
      <w:pPr>
        <w:ind w:left="5469" w:hanging="360"/>
      </w:pPr>
      <w:rPr/>
    </w:lvl>
    <w:lvl w:ilvl="8">
      <w:start w:val="1"/>
      <w:numFmt w:val="lowerRoman"/>
      <w:lvlText w:val="%9."/>
      <w:lvlJc w:val="right"/>
      <w:pPr>
        <w:ind w:left="618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4FD5"/>
    <w:pPr>
      <w:spacing w:after="0" w:line="240" w:lineRule="auto"/>
    </w:pPr>
    <w:rPr>
      <w:rFonts w:ascii="Century Gothic" w:cs="Century Gothic" w:eastAsia="Century Gothic" w:hAnsi="Century Gothic"/>
      <w:kern w:val="0"/>
      <w:sz w:val="18"/>
      <w:szCs w:val="18"/>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84FD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YthGP69RFEM7g1pzvVy00nCJrQ==">CgMxLjAyDmgub29wdmN1NjJ3MDN0Mg5oLmo3aWp5ZmZpMXhuczIOaC50MnBqZzdzandsdzcyDmgudTlpcW5kOHZpcGRqMghoLmdqZGd4czIJaC4zMGowemxsOAByITFtSC1Damd3SU5TdFc1Tld2djB4ZmE0ZXFOOHBaMXhWOA==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2023-01-11T16:59:00Z</dcterms:created>
  <dc:creator>FELIPE ANDRES QUIROZ SALINAS</dc:creator>
</cp:coreProperties>
</file>