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7766" w14:textId="24A221C1" w:rsidR="006671FF" w:rsidRDefault="00685CBA">
      <w:r>
        <w:t>Hasta las narices</w:t>
      </w:r>
    </w:p>
    <w:p w14:paraId="7AF5A474" w14:textId="77777777" w:rsidR="00685CBA" w:rsidRDefault="00685CBA"/>
    <w:sectPr w:rsidR="00685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BA"/>
    <w:rsid w:val="000C3B3A"/>
    <w:rsid w:val="006671FF"/>
    <w:rsid w:val="00685CBA"/>
    <w:rsid w:val="00D3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BC29"/>
  <w15:chartTrackingRefBased/>
  <w15:docId w15:val="{C351ACE7-3A29-458D-A80E-D0A597C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Tabernero, L.</dc:creator>
  <cp:keywords/>
  <dc:description/>
  <cp:lastModifiedBy>Sanchez Tabernero, L.</cp:lastModifiedBy>
  <cp:revision>1</cp:revision>
  <dcterms:created xsi:type="dcterms:W3CDTF">2022-04-08T11:00:00Z</dcterms:created>
  <dcterms:modified xsi:type="dcterms:W3CDTF">2022-04-08T11:01:00Z</dcterms:modified>
</cp:coreProperties>
</file>