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VName"/>
        <w:jc w:val="left"/>
      </w:pPr>
      <w:r>
        <w:t>Lorenzo Marinelli</w:t>
      </w:r>
    </w:p>
    <w:p>
      <w:pPr>
        <w:pStyle w:val="CVSubtitle"/>
        <w:jc w:val="left"/>
      </w:pPr>
      <w:r>
        <w:t>Curriculum Vitae</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10091"/>
      </w:tblGrid>
      <w:tr>
        <w:tc>
          <w:tcPr>
            <w:tcW w:type="dxa" w:w="10091"/>
            <w:vAlign w:val="center"/>
            <w:shd w:fill="F3F7FA"/>
            <w:tcBorders>
              <w:left w:val="single" w:sz="18" w:space="0" w:color="1F4E79"/>
              <w:top w:val="nil"/>
              <w:bottom w:val="nil"/>
              <w:right w:val="nil"/>
            </w:tcBorders>
            <w:tcMar>
              <w:top w:w="85" w:type="dxa"/>
              <w:start w:w="180" w:type="dxa"/>
              <w:bottom w:w="80" w:type="dxa"/>
              <w:end w:w="160" w:type="dxa"/>
            </w:tcMar>
          </w:tcPr>
          <w:p>
            <w:pPr>
              <w:spacing w:after="44" w:line="240" w:lineRule="auto"/>
              <w:jc w:val="left"/>
            </w:pPr>
            <w:r>
              <w:rPr>
                <w:rFonts w:ascii="Arial" w:hAnsi="Arial"/>
                <w:color w:val="1E2A35"/>
                <w:sz w:val="17"/>
              </w:rPr>
              <w:t>Rome, Italy</w:t>
            </w:r>
            <w:r>
              <w:rPr>
                <w:rFonts w:ascii="Arial" w:hAnsi="Arial"/>
                <w:color w:val="666666"/>
                <w:sz w:val="17"/>
              </w:rPr>
              <w:t xml:space="preserve">   |   +39 366 462 9271   |   </w:t>
            </w:r>
            <w:hyperlink r:id="rId9">
              <w:r>
                <w:rPr>
                  <w:rFonts w:ascii="Arial" w:hAnsi="Arial"/>
                  <w:color w:val="1F4E79"/>
                  <w:sz w:val="18"/>
                </w:rPr>
                <w:t>lorenzo03.marinelli@gmail.com</w:t>
              </w:r>
            </w:hyperlink>
          </w:p>
          <w:p>
            <w:pPr>
              <w:spacing w:after="0" w:line="240" w:lineRule="auto"/>
              <w:jc w:val="left"/>
            </w:pPr>
            <w:hyperlink r:id="rId10">
              <w:r>
                <w:rPr>
                  <w:rFonts w:ascii="Arial" w:hAnsi="Arial"/>
                  <w:color w:val="1F4E79"/>
                  <w:sz w:val="18"/>
                </w:rPr>
                <w:t>www.lmarinelli.eu</w:t>
              </w:r>
            </w:hyperlink>
            <w:r>
              <w:rPr>
                <w:rFonts w:ascii="Arial" w:hAnsi="Arial"/>
                <w:color w:val="666666"/>
                <w:sz w:val="17"/>
              </w:rPr>
              <w:t xml:space="preserve">   |   </w:t>
            </w:r>
            <w:hyperlink r:id="rId11">
              <w:r>
                <w:rPr>
                  <w:rFonts w:ascii="Arial" w:hAnsi="Arial"/>
                  <w:color w:val="1F4E79"/>
                  <w:sz w:val="18"/>
                </w:rPr>
                <w:t>GitHub</w:t>
              </w:r>
            </w:hyperlink>
            <w:r>
              <w:rPr>
                <w:rFonts w:ascii="Arial" w:hAnsi="Arial"/>
                <w:color w:val="666666"/>
                <w:sz w:val="17"/>
              </w:rPr>
              <w:t xml:space="preserve">   |   </w:t>
            </w:r>
            <w:hyperlink r:id="rId12">
              <w:r>
                <w:rPr>
                  <w:rFonts w:ascii="Arial" w:hAnsi="Arial"/>
                  <w:color w:val="1F4E79"/>
                  <w:sz w:val="18"/>
                </w:rPr>
                <w:t>LinkedIn</w:t>
              </w:r>
            </w:hyperlink>
          </w:p>
        </w:tc>
      </w:tr>
    </w:tbl>
    <w:p>
      <w:pPr>
        <w:pStyle w:val="CVSection"/>
        <w:keepNext/>
        <w:pBdr>
          <w:bottom w:val="single" w:sz="8" w:space="1" w:color="1F4E79"/>
        </w:pBdr>
        <w:spacing w:before="150" w:after="60"/>
      </w:pPr>
      <w:r>
        <w:t>ABOUT ME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899"/>
        <w:gridCol w:w="8107"/>
      </w:tblGrid>
      <w:tr>
        <w:trPr>
          <w:cantSplit/>
        </w:trPr>
        <w:tc>
          <w:tcPr>
            <w:tcW w:type="dxa" w:w="1899"/>
            <w:tcMar>
              <w:top w:w="20" w:type="dxa"/>
              <w:start w:w="0" w:type="dxa"/>
              <w:bottom w:w="0" w:type="dxa"/>
              <w:end w:w="160" w:type="dxa"/>
            </w:tcMar>
          </w:tcPr>
          <w:p>
            <w:pPr>
              <w:pStyle w:val="CVMeta"/>
              <w:widowControl/>
              <w:jc w:val="right"/>
            </w:pPr>
            <w:r>
              <w:rPr>
                <w:b/>
                <w:color w:val="1F4E79"/>
              </w:rPr>
              <w:t>Research profile</w:t>
            </w:r>
          </w:p>
        </w:tc>
        <w:tc>
          <w:tcPr>
            <w:tcW w:type="dxa" w:w="8107"/>
            <w:tcMar>
              <w:top w:w="20" w:type="dxa"/>
              <w:start w:w="90" w:type="dxa"/>
              <w:bottom w:w="0" w:type="dxa"/>
              <w:end w:w="0" w:type="dxa"/>
            </w:tcMar>
          </w:tcPr>
          <w:p>
            <w:pPr>
              <w:widowControl/>
            </w:pPr>
            <w:r>
              <w:t>MSc student in Computer Science at Sapienza University of Rome, with a BSc in Applied Computer Science and Artificial Intelligence awarded with highest honours. Research interests include graph representation learning, bioinformatics, computer vision, adversarial machine learning, and the robustness and reliability of machine-learning models. Experience includes end-to-end experimental pipelines, quantitative evaluation, reproducible software development, and deployment-oriented prototyping.</w:t>
            </w:r>
          </w:p>
        </w:tc>
      </w:tr>
    </w:tbl>
    <w:p>
      <w:pPr>
        <w:pStyle w:val="CVSection"/>
        <w:keepNext/>
        <w:pBdr>
          <w:bottom w:val="single" w:sz="8" w:space="1" w:color="1F4E79"/>
        </w:pBdr>
      </w:pPr>
      <w:r>
        <w:t>EDUCATION AND TRAINING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99"/>
        <w:gridCol w:w="8107"/>
      </w:tblGrid>
      <w:tr>
        <w:trPr>
          <w:cantSplit/>
        </w:trPr>
        <w:tc>
          <w:tcPr>
            <w:tcW w:type="dxa" w:w="1899"/>
            <w:vAlign w:val="top"/>
            <w:tcMar>
              <w:top w:w="40" w:type="dxa"/>
              <w:start w:w="0" w:type="dxa"/>
              <w:bottom w:w="20" w:type="dxa"/>
              <w:end w:w="160" w:type="dxa"/>
            </w:tcMar>
          </w:tcPr>
          <w:p>
            <w:pPr>
              <w:pStyle w:val="CVMeta"/>
              <w:widowControl/>
              <w:jc w:val="right"/>
            </w:pPr>
            <w:r>
              <w:rPr>
                <w:b/>
                <w:color w:val="1F4E79"/>
              </w:rPr>
              <w:t>2025-present</w:t>
            </w:r>
          </w:p>
        </w:tc>
        <w:tc>
          <w:tcPr>
            <w:tcW w:type="dxa" w:w="8107"/>
            <w:vAlign w:val="top"/>
            <w:tcMar>
              <w:top w:w="40" w:type="dxa"/>
              <w:start w:w="90" w:type="dxa"/>
              <w:bottom w:w="20" w:type="dxa"/>
              <w:end w:w="0" w:type="dxa"/>
            </w:tcMar>
          </w:tcPr>
          <w:p>
            <w:pPr>
              <w:pStyle w:val="CVItemTitle"/>
              <w:keepNext/>
              <w:widowControl/>
            </w:pPr>
            <w:r>
              <w:t>MSc in Computer Science</w:t>
            </w:r>
          </w:p>
          <w:p>
            <w:pPr>
              <w:pStyle w:val="CVMeta"/>
              <w:keepNext/>
              <w:widowControl/>
            </w:pPr>
            <w:r>
              <w:t>Sapienza University of Rome</w:t>
            </w:r>
          </w:p>
          <w:p>
            <w:pPr>
              <w:widowControl/>
              <w:spacing w:after="30"/>
            </w:pPr>
            <w:r>
              <w:t>Graduate studies in computer science with particular interest in deep learning, graph-based methods, robust evaluation, and research software engineering.</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99"/>
        <w:gridCol w:w="8107"/>
      </w:tblGrid>
      <w:tr>
        <w:trPr>
          <w:cantSplit/>
        </w:trPr>
        <w:tc>
          <w:tcPr>
            <w:tcW w:type="dxa" w:w="1899"/>
            <w:vAlign w:val="top"/>
            <w:tcMar>
              <w:top w:w="40" w:type="dxa"/>
              <w:start w:w="0" w:type="dxa"/>
              <w:bottom w:w="20" w:type="dxa"/>
              <w:end w:w="160" w:type="dxa"/>
            </w:tcMar>
          </w:tcPr>
          <w:p>
            <w:pPr>
              <w:pStyle w:val="CVMeta"/>
              <w:widowControl/>
              <w:jc w:val="right"/>
            </w:pPr>
            <w:r>
              <w:rPr>
                <w:b/>
                <w:color w:val="1F4E79"/>
              </w:rPr>
              <w:t>2022-2025</w:t>
            </w:r>
          </w:p>
        </w:tc>
        <w:tc>
          <w:tcPr>
            <w:tcW w:type="dxa" w:w="8107"/>
            <w:vAlign w:val="top"/>
            <w:tcMar>
              <w:top w:w="40" w:type="dxa"/>
              <w:start w:w="90" w:type="dxa"/>
              <w:bottom w:w="20" w:type="dxa"/>
              <w:end w:w="0" w:type="dxa"/>
            </w:tcMar>
          </w:tcPr>
          <w:p>
            <w:pPr>
              <w:pStyle w:val="CVItemTitle"/>
              <w:keepNext/>
              <w:widowControl/>
            </w:pPr>
            <w:r>
              <w:t>BSc in Applied Computer Science and Artificial Intelligence</w:t>
            </w:r>
          </w:p>
          <w:p>
            <w:pPr>
              <w:pStyle w:val="CVMeta"/>
              <w:keepNext/>
              <w:widowControl/>
            </w:pPr>
            <w:r>
              <w:t>Sapienza University of Rome</w:t>
            </w:r>
          </w:p>
          <w:p>
            <w:pPr>
              <w:widowControl/>
              <w:spacing w:after="30"/>
            </w:pPr>
            <w:r>
              <w:t>Degree awarded 110/110 cum laude. English-taught programme, class L-31. Bachelor thesis on graph-neural-network link prediction in protein-protein interaction networks.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99"/>
        <w:gridCol w:w="8107"/>
      </w:tblGrid>
      <w:tr>
        <w:trPr>
          <w:cantSplit/>
        </w:trPr>
        <w:tc>
          <w:tcPr>
            <w:tcW w:type="dxa" w:w="1899"/>
            <w:vAlign w:val="top"/>
            <w:tcMar>
              <w:top w:w="40" w:type="dxa"/>
              <w:start w:w="0" w:type="dxa"/>
              <w:bottom w:w="20" w:type="dxa"/>
              <w:end w:w="160" w:type="dxa"/>
            </w:tcMar>
          </w:tcPr>
          <w:p>
            <w:pPr>
              <w:pStyle w:val="CVMeta"/>
              <w:widowControl/>
              <w:jc w:val="right"/>
            </w:pPr>
            <w:r>
              <w:rPr>
                <w:b/>
                <w:color w:val="1F4E79"/>
              </w:rPr>
              <w:t>2017-2022</w:t>
            </w:r>
          </w:p>
        </w:tc>
        <w:tc>
          <w:tcPr>
            <w:tcW w:type="dxa" w:w="8107"/>
            <w:vAlign w:val="top"/>
            <w:tcMar>
              <w:top w:w="40" w:type="dxa"/>
              <w:start w:w="90" w:type="dxa"/>
              <w:bottom w:w="20" w:type="dxa"/>
              <w:end w:w="0" w:type="dxa"/>
            </w:tcMar>
          </w:tcPr>
          <w:p>
            <w:pPr>
              <w:pStyle w:val="CVItemTitle"/>
              <w:keepNext/>
              <w:widowControl/>
            </w:pPr>
            <w:r>
              <w:t>Scientific High School Diploma</w:t>
            </w:r>
          </w:p>
          <w:p>
            <w:pPr>
              <w:pStyle w:val="CVMeta"/>
              <w:keepNext/>
              <w:widowControl/>
            </w:pPr>
            <w:r>
              <w:t>Liceo Scientifico Statale "A. Romita", Campobasso</w:t>
            </w:r>
          </w:p>
          <w:p>
            <w:pPr>
              <w:widowControl/>
              <w:spacing w:after="30"/>
            </w:pPr>
            <w:r>
              <w:t>Diploma awarded 100/100 cum laude.</w:t>
            </w:r>
          </w:p>
        </w:tc>
      </w:tr>
    </w:tbl>
    <w:p>
      <w:pPr>
        <w:pStyle w:val="CVSection"/>
        <w:keepNext/>
        <w:pBdr>
          <w:bottom w:val="single" w:sz="8" w:space="1" w:color="1F4E79"/>
        </w:pBdr>
      </w:pPr>
      <w:r>
        <w:t>RESEARCH EXPERIENCE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99"/>
        <w:gridCol w:w="8107"/>
      </w:tblGrid>
      <w:tr>
        <w:trPr>
          <w:cantSplit/>
        </w:trPr>
        <w:tc>
          <w:tcPr>
            <w:tcW w:type="dxa" w:w="1899"/>
            <w:vAlign w:val="top"/>
            <w:tcMar>
              <w:top w:w="40" w:type="dxa"/>
              <w:start w:w="0" w:type="dxa"/>
              <w:bottom w:w="20" w:type="dxa"/>
              <w:end w:w="160" w:type="dxa"/>
            </w:tcMar>
          </w:tcPr>
          <w:p>
            <w:pPr>
              <w:pStyle w:val="CVMeta"/>
              <w:widowControl/>
              <w:jc w:val="right"/>
            </w:pPr>
            <w:r>
              <w:rPr>
                <w:b/>
                <w:color w:val="1F4E79"/>
              </w:rPr>
              <w:t>2024-2025</w:t>
            </w:r>
          </w:p>
        </w:tc>
        <w:tc>
          <w:tcPr>
            <w:tcW w:type="dxa" w:w="8107"/>
            <w:vAlign w:val="top"/>
            <w:tcMar>
              <w:top w:w="40" w:type="dxa"/>
              <w:start w:w="90" w:type="dxa"/>
              <w:bottom w:w="20" w:type="dxa"/>
              <w:end w:w="0" w:type="dxa"/>
            </w:tcMar>
          </w:tcPr>
          <w:p>
            <w:pPr>
              <w:pStyle w:val="CVItemTitle"/>
              <w:keepNext/>
              <w:widowControl/>
            </w:pPr>
            <w:r>
              <w:t>Bachelor's Thesis: Protein Interaction Link Prediction</w:t>
            </w:r>
          </w:p>
          <w:p>
            <w:pPr>
              <w:pStyle w:val="CVMeta"/>
              <w:keepNext/>
              <w:widowControl/>
            </w:pPr>
            <w:r>
              <w:t>Unveiling Protein Connections through Graph Neural Networks and ProtT5 Embeddings</w:t>
            </w:r>
          </w:p>
          <w:p>
            <w:pPr>
              <w:widowControl/>
              <w:spacing w:after="14"/>
              <w:ind w:left="198" w:hanging="113"/>
            </w:pPr>
            <w:r>
              <w:rPr>
                <w:color w:val="1F4E79"/>
              </w:rPr>
              <w:t xml:space="preserve">• </w:t>
            </w:r>
            <w:r>
              <w:t>Developed an end-to-end pipeline for protein-protein interaction prediction using STRING v12 data, ProtT5 sequence embeddings, and graph neural networks.</w:t>
            </w:r>
          </w:p>
          <w:p>
            <w:pPr>
              <w:widowControl/>
              <w:spacing w:after="14"/>
              <w:ind w:left="198" w:hanging="113"/>
            </w:pPr>
            <w:r>
              <w:rPr>
                <w:color w:val="1F4E79"/>
              </w:rPr>
              <w:t xml:space="preserve">• </w:t>
            </w:r>
            <w:r>
              <w:t>Combined TAGConv, multi-head TransformerConv, and GIN layers with a pairwise decoder; implemented negative sampling, class weighting, edge-dropout augmentation, and reproducible evaluation.</w:t>
            </w:r>
          </w:p>
          <w:p>
            <w:pPr>
              <w:widowControl/>
              <w:spacing w:after="14"/>
              <w:ind w:left="198" w:hanging="113"/>
            </w:pPr>
            <w:r>
              <w:rPr>
                <w:color w:val="1F4E79"/>
              </w:rPr>
              <w:t xml:space="preserve">• </w:t>
            </w:r>
            <w:r>
              <w:t>Achieved 0.96 AUROC, recovered 81% of withheld positive interactions, and obtained P@500 = 1.00; examined threshold selection, class imbalance, and topology-driven bias.</w:t>
            </w:r>
          </w:p>
          <w:p>
            <w:pPr>
              <w:widowControl/>
              <w:spacing w:after="14"/>
              <w:ind w:left="198" w:hanging="113"/>
            </w:pPr>
            <w:r>
              <w:rPr>
                <w:color w:val="1F4E79"/>
              </w:rPr>
              <w:t xml:space="preserve">• </w:t>
            </w:r>
            <w:r>
              <w:t>Conducted a NOTCH2 case study to rank biologically plausible interaction candidates and documented methodological limitations and robustness-oriented future work.</w:t>
            </w:r>
          </w:p>
        </w:tc>
      </w:tr>
    </w:tbl>
    <w:p>
      <w:pPr>
        <w:pStyle w:val="CVSection"/>
        <w:keepNext/>
        <w:pBdr>
          <w:bottom w:val="single" w:sz="8" w:space="1" w:color="1F4E79"/>
        </w:pBdr>
      </w:pPr>
      <w:r>
        <w:t>SELECTED PROJECTS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99"/>
        <w:gridCol w:w="8107"/>
      </w:tblGrid>
      <w:tr>
        <w:trPr>
          <w:cantSplit/>
        </w:trPr>
        <w:tc>
          <w:tcPr>
            <w:tcW w:type="dxa" w:w="1899"/>
            <w:vAlign w:val="top"/>
            <w:tcMar>
              <w:top w:w="40" w:type="dxa"/>
              <w:start w:w="0" w:type="dxa"/>
              <w:bottom w:w="20" w:type="dxa"/>
              <w:end w:w="160" w:type="dxa"/>
            </w:tcMar>
          </w:tcPr>
          <w:p>
            <w:pPr>
              <w:pStyle w:val="CVMeta"/>
              <w:widowControl/>
              <w:jc w:val="right"/>
            </w:pPr>
            <w:r>
              <w:rPr>
                <w:b/>
                <w:color w:val="1F4E79"/>
              </w:rPr>
              <w:t>Adversarial ML</w:t>
            </w:r>
          </w:p>
        </w:tc>
        <w:tc>
          <w:tcPr>
            <w:tcW w:type="dxa" w:w="8107"/>
            <w:vAlign w:val="top"/>
            <w:tcMar>
              <w:top w:w="40" w:type="dxa"/>
              <w:start w:w="90" w:type="dxa"/>
              <w:bottom w:w="20" w:type="dxa"/>
              <w:end w:w="0" w:type="dxa"/>
            </w:tcMar>
          </w:tcPr>
          <w:p>
            <w:pPr>
              <w:pStyle w:val="CVItemTitle"/>
              <w:keepNext/>
              <w:widowControl/>
            </w:pPr>
            <w:r>
              <w:t>NoWhisper: Adversarial Robustness of Speech Recognition</w:t>
            </w:r>
          </w:p>
          <w:p>
            <w:pPr>
              <w:widowControl/>
              <w:spacing w:after="14"/>
              <w:ind w:left="198" w:hanging="113"/>
            </w:pPr>
            <w:r>
              <w:rPr>
                <w:color w:val="1F4E79"/>
              </w:rPr>
              <w:t xml:space="preserve">• </w:t>
            </w:r>
            <w:r>
              <w:t>Co-developed a framework for studying untargeted adversarial perturbations against Whisper, with the objective of degrading automatic transcription while preserving the intelligibility of the underlying speech.</w:t>
            </w:r>
          </w:p>
          <w:p>
            <w:pPr>
              <w:widowControl/>
              <w:spacing w:after="14"/>
              <w:ind w:left="198" w:hanging="113"/>
            </w:pPr>
            <w:r>
              <w:rPr>
                <w:color w:val="1F4E79"/>
              </w:rPr>
              <w:t xml:space="preserve">• </w:t>
            </w:r>
            <w:r>
              <w:t>Implemented sample-specific white-box attacks and training for a reusable neural perturbation generator, including amplitude constraints and robustness-oriented audio transformations.</w:t>
            </w:r>
          </w:p>
          <w:p>
            <w:pPr>
              <w:widowControl/>
              <w:spacing w:after="14"/>
              <w:ind w:left="198" w:hanging="113"/>
            </w:pPr>
            <w:r>
              <w:rPr>
                <w:color w:val="1F4E79"/>
              </w:rPr>
              <w:t xml:space="preserve">• </w:t>
            </w:r>
            <w:r>
              <w:t>Built reproducible LibriSpeech preparation, evaluation, and reporting workflows using word and character error rates, together with command-line tools and an interactive interface for attack analysis.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99"/>
        <w:gridCol w:w="8107"/>
      </w:tblGrid>
      <w:tr>
        <w:trPr>
          <w:cantSplit/>
        </w:trPr>
        <w:tc>
          <w:tcPr>
            <w:tcW w:type="dxa" w:w="1899"/>
            <w:vAlign w:val="top"/>
            <w:tcMar>
              <w:top w:w="40" w:type="dxa"/>
              <w:start w:w="0" w:type="dxa"/>
              <w:bottom w:w="20" w:type="dxa"/>
              <w:end w:w="160" w:type="dxa"/>
            </w:tcMar>
          </w:tcPr>
          <w:p>
            <w:pPr>
              <w:pStyle w:val="CVMeta"/>
              <w:widowControl/>
              <w:jc w:val="right"/>
            </w:pPr>
            <w:r>
              <w:rPr>
                <w:b/>
                <w:color w:val="1F4E79"/>
              </w:rPr>
              <w:t>Reinforcement learning</w:t>
            </w:r>
          </w:p>
        </w:tc>
        <w:tc>
          <w:tcPr>
            <w:tcW w:type="dxa" w:w="8107"/>
            <w:vAlign w:val="top"/>
            <w:tcMar>
              <w:top w:w="40" w:type="dxa"/>
              <w:start w:w="90" w:type="dxa"/>
              <w:bottom w:w="20" w:type="dxa"/>
              <w:end w:w="0" w:type="dxa"/>
            </w:tcMar>
          </w:tcPr>
          <w:p>
            <w:pPr>
              <w:pStyle w:val="CVItemTitle"/>
              <w:keepNext/>
              <w:widowControl/>
            </w:pPr>
            <w:r>
              <w:t>RL-Nav: Language-Guided Navigation under Partial Observability</w:t>
            </w:r>
          </w:p>
          <w:p>
            <w:pPr>
              <w:widowControl/>
              <w:spacing w:after="14"/>
              <w:ind w:left="198" w:hanging="113"/>
            </w:pPr>
            <w:r>
              <w:rPr>
                <w:color w:val="1F4E79"/>
              </w:rPr>
              <w:t xml:space="preserve">• </w:t>
            </w:r>
            <w:r>
              <w:t>Developed a stochastic PyBullet navigation environment containing obstacles and hazardous regions, and trained a recurrent PPO agent from partial observations.</w:t>
            </w:r>
          </w:p>
          <w:p>
            <w:pPr>
              <w:widowControl/>
              <w:spacing w:after="14"/>
              <w:ind w:left="198" w:hanging="113"/>
            </w:pPr>
            <w:r>
              <w:rPr>
                <w:color w:val="1F4E79"/>
              </w:rPr>
              <w:t xml:space="preserve">• </w:t>
            </w:r>
            <w:r>
              <w:t>Integrated an LLM-based oracle that returns constrained TURN/WALK advice, with canonical parsing, query cooldowns, failure handling, and a geometric planner used as a reference policy.</w:t>
            </w:r>
          </w:p>
          <w:p>
            <w:pPr>
              <w:widowControl/>
              <w:spacing w:after="14"/>
              <w:ind w:left="198" w:hanging="113"/>
            </w:pPr>
            <w:r>
              <w:rPr>
                <w:color w:val="1F4E79"/>
              </w:rPr>
              <w:t xml:space="preserve">• </w:t>
            </w:r>
            <w:r>
              <w:t>Evaluated oracle agreement, navigation success, and the propagation of local instruction errors into long-horizon behaviour, highlighting the gap between plausible language advice and reliable control.</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99"/>
        <w:gridCol w:w="8107"/>
      </w:tblGrid>
      <w:tr>
        <w:trPr>
          <w:cantSplit/>
        </w:trPr>
        <w:tc>
          <w:tcPr>
            <w:tcW w:type="dxa" w:w="1899"/>
            <w:vAlign w:val="top"/>
            <w:tcMar>
              <w:top w:w="40" w:type="dxa"/>
              <w:start w:w="0" w:type="dxa"/>
              <w:bottom w:w="20" w:type="dxa"/>
              <w:end w:w="160" w:type="dxa"/>
            </w:tcMar>
          </w:tcPr>
          <w:p>
            <w:pPr>
              <w:pStyle w:val="CVMeta"/>
              <w:widowControl/>
              <w:jc w:val="right"/>
            </w:pPr>
            <w:r>
              <w:rPr>
                <w:b/>
                <w:color w:val="1F4E79"/>
              </w:rPr>
              <w:t>Computer vision</w:t>
            </w:r>
          </w:p>
        </w:tc>
        <w:tc>
          <w:tcPr>
            <w:tcW w:type="dxa" w:w="8107"/>
            <w:vAlign w:val="top"/>
            <w:tcMar>
              <w:top w:w="40" w:type="dxa"/>
              <w:start w:w="90" w:type="dxa"/>
              <w:bottom w:w="20" w:type="dxa"/>
              <w:end w:w="0" w:type="dxa"/>
            </w:tcMar>
          </w:tcPr>
          <w:p>
            <w:pPr>
              <w:pStyle w:val="CVItemTitle"/>
              <w:keepNext/>
              <w:widowControl/>
            </w:pPr>
            <w:r>
              <w:t>UAV Anomaly Detection and Localization - SASA Flight Team</w:t>
            </w:r>
          </w:p>
          <w:p>
            <w:pPr>
              <w:widowControl/>
              <w:spacing w:after="14"/>
              <w:ind w:left="198" w:hanging="113"/>
            </w:pPr>
            <w:r>
              <w:rPr>
                <w:color w:val="1F4E79"/>
              </w:rPr>
              <w:t xml:space="preserve">• </w:t>
            </w:r>
            <w:r>
              <w:t>Developed an unsupervised anomaly-detection pipeline for high-resolution aerial imagery using autoencoder and variational-autoencoder reconstruction errors.</w:t>
            </w:r>
          </w:p>
          <w:p>
            <w:pPr>
              <w:widowControl/>
              <w:spacing w:after="14"/>
              <w:ind w:left="198" w:hanging="113"/>
            </w:pPr>
            <w:r>
              <w:rPr>
                <w:color w:val="1F4E79"/>
              </w:rPr>
              <w:t xml:space="preserve">• </w:t>
            </w:r>
            <w:r>
              <w:t>Converted dense error maps into stable detections through denoising, threshold selection, morphological post-processing, connected-component analysis, and bounding-box extraction.</w:t>
            </w:r>
          </w:p>
          <w:p>
            <w:pPr>
              <w:widowControl/>
              <w:spacing w:after="14"/>
              <w:ind w:left="198" w:hanging="113"/>
            </w:pPr>
            <w:r>
              <w:rPr>
                <w:color w:val="1F4E79"/>
              </w:rPr>
              <w:t xml:space="preserve">• </w:t>
            </w:r>
            <w:r>
              <w:t>Structured the pipeline for autonomous-aircraft deployment and downstream classification, with emphasis on noisy inputs, edge cases, modular implementation, and quantitative validation.</w:t>
            </w:r>
          </w:p>
        </w:tc>
      </w:tr>
    </w:tbl>
    <w:p>
      <w:pPr>
        <w:pStyle w:val="CVSection"/>
        <w:keepNext/>
        <w:pBdr>
          <w:bottom w:val="single" w:sz="8" w:space="1" w:color="1F4E79"/>
        </w:pBdr>
      </w:pPr>
      <w:r>
        <w:t>DIGITAL AND TECHNICAL SKILLS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99"/>
        <w:gridCol w:w="8107"/>
      </w:tblGrid>
      <w:tr>
        <w:trPr>
          <w:cantSplit/>
        </w:trPr>
        <w:tc>
          <w:tcPr>
            <w:tcW w:type="dxa" w:w="1899"/>
            <w:tcMar>
              <w:top w:w="25" w:type="dxa"/>
              <w:start w:w="0" w:type="dxa"/>
              <w:bottom w:w="15" w:type="dxa"/>
              <w:end w:w="160" w:type="dxa"/>
            </w:tcMar>
          </w:tcPr>
          <w:p>
            <w:pPr>
              <w:pStyle w:val="CVMeta"/>
              <w:widowControl/>
              <w:jc w:val="right"/>
            </w:pPr>
            <w:r>
              <w:rPr>
                <w:b/>
                <w:color w:val="1F4E79"/>
              </w:rPr>
              <w:t>Programming</w:t>
            </w:r>
          </w:p>
        </w:tc>
        <w:tc>
          <w:tcPr>
            <w:tcW w:type="dxa" w:w="8107"/>
            <w:tcMar>
              <w:top w:w="25" w:type="dxa"/>
              <w:start w:w="90" w:type="dxa"/>
              <w:bottom w:w="15" w:type="dxa"/>
              <w:end w:w="0" w:type="dxa"/>
            </w:tcMar>
          </w:tcPr>
          <w:p>
            <w:pPr>
              <w:widowControl/>
              <w:spacing w:after="16"/>
            </w:pPr>
            <w:r>
              <w:t>Python; R; JavaScript; SQL fundamentals.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99"/>
        <w:gridCol w:w="8107"/>
      </w:tblGrid>
      <w:tr>
        <w:trPr>
          <w:cantSplit/>
        </w:trPr>
        <w:tc>
          <w:tcPr>
            <w:tcW w:type="dxa" w:w="1899"/>
            <w:tcMar>
              <w:top w:w="25" w:type="dxa"/>
              <w:start w:w="0" w:type="dxa"/>
              <w:bottom w:w="15" w:type="dxa"/>
              <w:end w:w="160" w:type="dxa"/>
            </w:tcMar>
          </w:tcPr>
          <w:p>
            <w:pPr>
              <w:pStyle w:val="CVMeta"/>
              <w:widowControl/>
              <w:jc w:val="right"/>
            </w:pPr>
            <w:r>
              <w:rPr>
                <w:b/>
                <w:color w:val="1F4E79"/>
              </w:rPr>
              <w:t>Machine learning</w:t>
            </w:r>
          </w:p>
        </w:tc>
        <w:tc>
          <w:tcPr>
            <w:tcW w:type="dxa" w:w="8107"/>
            <w:tcMar>
              <w:top w:w="25" w:type="dxa"/>
              <w:start w:w="90" w:type="dxa"/>
              <w:bottom w:w="15" w:type="dxa"/>
              <w:end w:w="0" w:type="dxa"/>
            </w:tcMar>
          </w:tcPr>
          <w:p>
            <w:pPr>
              <w:widowControl/>
              <w:spacing w:after="16"/>
            </w:pPr>
            <w:r>
              <w:t>PyTorch; PyTorch Lightning; scikit-learn; adversarial evaluation; model training, validation, threshold analysis, ablation studies, and debugging.</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99"/>
        <w:gridCol w:w="8107"/>
      </w:tblGrid>
      <w:tr>
        <w:trPr>
          <w:cantSplit/>
        </w:trPr>
        <w:tc>
          <w:tcPr>
            <w:tcW w:type="dxa" w:w="1899"/>
            <w:tcMar>
              <w:top w:w="25" w:type="dxa"/>
              <w:start w:w="0" w:type="dxa"/>
              <w:bottom w:w="15" w:type="dxa"/>
              <w:end w:w="160" w:type="dxa"/>
            </w:tcMar>
          </w:tcPr>
          <w:p>
            <w:pPr>
              <w:pStyle w:val="CVMeta"/>
              <w:widowControl/>
              <w:jc w:val="right"/>
            </w:pPr>
            <w:r>
              <w:rPr>
                <w:b/>
                <w:color w:val="1F4E79"/>
              </w:rPr>
              <w:t>Graphs and networks</w:t>
            </w:r>
          </w:p>
        </w:tc>
        <w:tc>
          <w:tcPr>
            <w:tcW w:type="dxa" w:w="8107"/>
            <w:tcMar>
              <w:top w:w="25" w:type="dxa"/>
              <w:start w:w="90" w:type="dxa"/>
              <w:bottom w:w="15" w:type="dxa"/>
              <w:end w:w="0" w:type="dxa"/>
            </w:tcMar>
          </w:tcPr>
          <w:p>
            <w:pPr>
              <w:widowControl/>
              <w:spacing w:after="16"/>
            </w:pPr>
            <w:r>
              <w:t>PyTorch Geometric; NetworkX; Gephi; graph embeddings; graph neural networks; link prediction; network analysis.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99"/>
        <w:gridCol w:w="8107"/>
      </w:tblGrid>
      <w:tr>
        <w:trPr>
          <w:cantSplit/>
        </w:trPr>
        <w:tc>
          <w:tcPr>
            <w:tcW w:type="dxa" w:w="1899"/>
            <w:tcMar>
              <w:top w:w="25" w:type="dxa"/>
              <w:start w:w="0" w:type="dxa"/>
              <w:bottom w:w="15" w:type="dxa"/>
              <w:end w:w="160" w:type="dxa"/>
            </w:tcMar>
          </w:tcPr>
          <w:p>
            <w:pPr>
              <w:pStyle w:val="CVMeta"/>
              <w:widowControl/>
              <w:jc w:val="right"/>
            </w:pPr>
            <w:r>
              <w:rPr>
                <w:b/>
                <w:color w:val="1F4E79"/>
              </w:rPr>
              <w:t>Scientific computing</w:t>
            </w:r>
          </w:p>
        </w:tc>
        <w:tc>
          <w:tcPr>
            <w:tcW w:type="dxa" w:w="8107"/>
            <w:tcMar>
              <w:top w:w="25" w:type="dxa"/>
              <w:start w:w="90" w:type="dxa"/>
              <w:bottom w:w="15" w:type="dxa"/>
              <w:end w:w="0" w:type="dxa"/>
            </w:tcMar>
          </w:tcPr>
          <w:p>
            <w:pPr>
              <w:widowControl/>
              <w:spacing w:after="16"/>
            </w:pPr>
            <w:r>
              <w:t>NumPy; pandas; Matplotlib; data cleaning; feature engineering; statistical analysis; reproducible notebooks.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99"/>
        <w:gridCol w:w="8107"/>
      </w:tblGrid>
      <w:tr>
        <w:trPr>
          <w:cantSplit/>
        </w:trPr>
        <w:tc>
          <w:tcPr>
            <w:tcW w:type="dxa" w:w="1899"/>
            <w:tcMar>
              <w:top w:w="25" w:type="dxa"/>
              <w:start w:w="0" w:type="dxa"/>
              <w:bottom w:w="15" w:type="dxa"/>
              <w:end w:w="160" w:type="dxa"/>
            </w:tcMar>
          </w:tcPr>
          <w:p>
            <w:pPr>
              <w:pStyle w:val="CVMeta"/>
              <w:widowControl/>
              <w:jc w:val="right"/>
            </w:pPr>
            <w:r>
              <w:rPr>
                <w:b/>
                <w:color w:val="1F4E79"/>
              </w:rPr>
              <w:t>Computer vision</w:t>
            </w:r>
          </w:p>
        </w:tc>
        <w:tc>
          <w:tcPr>
            <w:tcW w:type="dxa" w:w="8107"/>
            <w:tcMar>
              <w:top w:w="25" w:type="dxa"/>
              <w:start w:w="90" w:type="dxa"/>
              <w:bottom w:w="15" w:type="dxa"/>
              <w:end w:w="0" w:type="dxa"/>
            </w:tcMar>
          </w:tcPr>
          <w:p>
            <w:pPr>
              <w:widowControl/>
              <w:spacing w:after="16"/>
            </w:pPr>
            <w:r>
              <w:t>OpenCV; torchvision; Pillow; autoencoders and VAEs; anomaly maps; segmentation post-processing; localization.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99"/>
        <w:gridCol w:w="8107"/>
      </w:tblGrid>
      <w:tr>
        <w:trPr>
          <w:cantSplit/>
        </w:trPr>
        <w:tc>
          <w:tcPr>
            <w:tcW w:type="dxa" w:w="1899"/>
            <w:tcMar>
              <w:top w:w="25" w:type="dxa"/>
              <w:start w:w="0" w:type="dxa"/>
              <w:bottom w:w="15" w:type="dxa"/>
              <w:end w:w="160" w:type="dxa"/>
            </w:tcMar>
          </w:tcPr>
          <w:p>
            <w:pPr>
              <w:pStyle w:val="CVMeta"/>
              <w:widowControl/>
              <w:jc w:val="right"/>
            </w:pPr>
            <w:r>
              <w:rPr>
                <w:b/>
                <w:color w:val="1F4E79"/>
              </w:rPr>
              <w:t>Speech and audio</w:t>
            </w:r>
          </w:p>
        </w:tc>
        <w:tc>
          <w:tcPr>
            <w:tcW w:type="dxa" w:w="8107"/>
            <w:tcMar>
              <w:top w:w="25" w:type="dxa"/>
              <w:start w:w="90" w:type="dxa"/>
              <w:bottom w:w="15" w:type="dxa"/>
              <w:end w:w="0" w:type="dxa"/>
            </w:tcMar>
          </w:tcPr>
          <w:p>
            <w:pPr>
              <w:widowControl/>
              <w:spacing w:after="16"/>
            </w:pPr>
            <w:r>
              <w:t>Whisper; LibriSpeech; adversarial audio; WER/CER evaluation; constrained perturbation generation.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99"/>
        <w:gridCol w:w="8107"/>
      </w:tblGrid>
      <w:tr>
        <w:trPr>
          <w:cantSplit/>
        </w:trPr>
        <w:tc>
          <w:tcPr>
            <w:tcW w:type="dxa" w:w="1899"/>
            <w:tcMar>
              <w:top w:w="25" w:type="dxa"/>
              <w:start w:w="0" w:type="dxa"/>
              <w:bottom w:w="15" w:type="dxa"/>
              <w:end w:w="160" w:type="dxa"/>
            </w:tcMar>
          </w:tcPr>
          <w:p>
            <w:pPr>
              <w:pStyle w:val="CVMeta"/>
              <w:widowControl/>
              <w:jc w:val="right"/>
            </w:pPr>
            <w:r>
              <w:rPr>
                <w:b/>
                <w:color w:val="1F4E79"/>
              </w:rPr>
              <w:t>Bioinformatics</w:t>
            </w:r>
          </w:p>
        </w:tc>
        <w:tc>
          <w:tcPr>
            <w:tcW w:type="dxa" w:w="8107"/>
            <w:tcMar>
              <w:top w:w="25" w:type="dxa"/>
              <w:start w:w="90" w:type="dxa"/>
              <w:bottom w:w="15" w:type="dxa"/>
              <w:end w:w="0" w:type="dxa"/>
            </w:tcMar>
          </w:tcPr>
          <w:p>
            <w:pPr>
              <w:widowControl/>
              <w:spacing w:after="16"/>
            </w:pPr>
            <w:r>
              <w:t>STRING; ProtT5 embeddings; Enrichr; WGCNA; SWIMmeR; SaveRunner; interactome and enrichment workflows.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99"/>
        <w:gridCol w:w="8107"/>
      </w:tblGrid>
      <w:tr>
        <w:trPr>
          <w:cantSplit/>
        </w:trPr>
        <w:tc>
          <w:tcPr>
            <w:tcW w:type="dxa" w:w="1899"/>
            <w:tcMar>
              <w:top w:w="25" w:type="dxa"/>
              <w:start w:w="0" w:type="dxa"/>
              <w:bottom w:w="15" w:type="dxa"/>
              <w:end w:w="160" w:type="dxa"/>
            </w:tcMar>
          </w:tcPr>
          <w:p>
            <w:pPr>
              <w:pStyle w:val="CVMeta"/>
              <w:widowControl/>
              <w:jc w:val="right"/>
            </w:pPr>
            <w:r>
              <w:rPr>
                <w:b/>
                <w:color w:val="1F4E79"/>
              </w:rPr>
              <w:t>Software engineering</w:t>
            </w:r>
          </w:p>
        </w:tc>
        <w:tc>
          <w:tcPr>
            <w:tcW w:type="dxa" w:w="8107"/>
            <w:tcMar>
              <w:top w:w="25" w:type="dxa"/>
              <w:start w:w="90" w:type="dxa"/>
              <w:bottom w:w="15" w:type="dxa"/>
              <w:end w:w="0" w:type="dxa"/>
            </w:tcMar>
          </w:tcPr>
          <w:p>
            <w:pPr>
              <w:widowControl/>
              <w:spacing w:after="16"/>
            </w:pPr>
            <w:r>
              <w:t>Git; Docker; modular Python; logging and experiment tracking; artifact management; REST APIs; OpenAPI.</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99"/>
        <w:gridCol w:w="8107"/>
      </w:tblGrid>
      <w:tr>
        <w:trPr>
          <w:cantSplit/>
        </w:trPr>
        <w:tc>
          <w:tcPr>
            <w:tcW w:type="dxa" w:w="1899"/>
            <w:tcMar>
              <w:top w:w="25" w:type="dxa"/>
              <w:start w:w="0" w:type="dxa"/>
              <w:bottom w:w="15" w:type="dxa"/>
              <w:end w:w="160" w:type="dxa"/>
            </w:tcMar>
          </w:tcPr>
          <w:p>
            <w:pPr>
              <w:pStyle w:val="CVMeta"/>
              <w:widowControl/>
              <w:jc w:val="right"/>
            </w:pPr>
            <w:r>
              <w:rPr>
                <w:b/>
                <w:color w:val="1F4E79"/>
              </w:rPr>
              <w:t>Synthetic data</w:t>
            </w:r>
          </w:p>
        </w:tc>
        <w:tc>
          <w:tcPr>
            <w:tcW w:type="dxa" w:w="8107"/>
            <w:tcMar>
              <w:top w:w="25" w:type="dxa"/>
              <w:start w:w="90" w:type="dxa"/>
              <w:bottom w:w="15" w:type="dxa"/>
              <w:end w:w="0" w:type="dxa"/>
            </w:tcMar>
          </w:tcPr>
          <w:p>
            <w:pPr>
              <w:widowControl/>
              <w:spacing w:after="16"/>
            </w:pPr>
            <w:r>
              <w:t>Blender; domain randomization; annotation generation; controlled dataset design.</w:t>
            </w:r>
          </w:p>
        </w:tc>
      </w:tr>
    </w:tbl>
    <w:p>
      <w:pPr>
        <w:pStyle w:val="CVSection"/>
        <w:keepNext/>
        <w:pBdr>
          <w:bottom w:val="single" w:sz="8" w:space="1" w:color="1F4E79"/>
        </w:pBdr>
      </w:pPr>
      <w:r>
        <w:t>RESEARCH INTERESTS</w:t>
      </w:r>
    </w:p>
    <w:p>
      <w:pPr>
        <w:spacing w:after="16"/>
        <w:ind w:left="2098" w:hanging="113"/>
      </w:pPr>
      <w:r>
        <w:rPr>
          <w:color w:val="1F4E79"/>
        </w:rPr>
        <w:t xml:space="preserve">• </w:t>
      </w:r>
      <w:r>
        <w:t>Adversarial machine learning and machine-learning security, including adversarial examples, attack and defence evaluation, threat modelling, and realistic robustness benchmarks.</w:t>
      </w:r>
    </w:p>
    <w:p>
      <w:pPr>
        <w:spacing w:after="16"/>
        <w:ind w:left="2098" w:hanging="113"/>
      </w:pPr>
      <w:r>
        <w:rPr>
          <w:color w:val="1F4E79"/>
        </w:rPr>
        <w:t xml:space="preserve">• </w:t>
      </w:r>
      <w:r>
        <w:t>Model robustness and reliability under distribution shift, noisy or imbalanced data, calibration error, and uncertainty.</w:t>
      </w:r>
    </w:p>
    <w:p>
      <w:pPr>
        <w:spacing w:after="16"/>
        <w:ind w:left="2098" w:hanging="113"/>
      </w:pPr>
      <w:r>
        <w:rPr>
          <w:color w:val="1F4E79"/>
        </w:rPr>
        <w:t xml:space="preserve">• </w:t>
      </w:r>
      <w:r>
        <w:t>Graph representation learning for biological networks, link prediction, and heterogeneous data integration.</w:t>
      </w:r>
    </w:p>
    <w:p>
      <w:pPr>
        <w:spacing w:after="16"/>
        <w:ind w:left="2098" w:hanging="113"/>
      </w:pPr>
      <w:r>
        <w:rPr>
          <w:color w:val="1F4E79"/>
        </w:rPr>
        <w:t xml:space="preserve">• </w:t>
      </w:r>
      <w:r>
        <w:t>Computer vision for anomaly detection, localization, synthetic data generation, and reliable perception in autonomous systems.</w:t>
      </w:r>
    </w:p>
    <w:p>
      <w:pPr>
        <w:pStyle w:val="CVSection"/>
        <w:keepNext/>
        <w:pBdr>
          <w:bottom w:val="single" w:sz="8" w:space="1" w:color="1F4E79"/>
        </w:pBdr>
      </w:pPr>
      <w:r>
        <w:t>LANGUAGE SKILLS AND CERTIFICATION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99"/>
        <w:gridCol w:w="8107"/>
      </w:tblGrid>
      <w:tr>
        <w:trPr>
          <w:cantSplit/>
        </w:trPr>
        <w:tc>
          <w:tcPr>
            <w:tcW w:type="dxa" w:w="1899"/>
            <w:tcMar>
              <w:top w:w="25" w:type="dxa"/>
              <w:start w:w="0" w:type="dxa"/>
              <w:bottom w:w="15" w:type="dxa"/>
              <w:end w:w="160" w:type="dxa"/>
            </w:tcMar>
          </w:tcPr>
          <w:p>
            <w:pPr>
              <w:pStyle w:val="CVMeta"/>
              <w:widowControl/>
              <w:jc w:val="right"/>
            </w:pPr>
            <w:r>
              <w:rPr>
                <w:b/>
                <w:color w:val="1F4E79"/>
              </w:rPr>
              <w:t>Mother tongue</w:t>
            </w:r>
          </w:p>
        </w:tc>
        <w:tc>
          <w:tcPr>
            <w:tcW w:type="dxa" w:w="8107"/>
            <w:tcMar>
              <w:top w:w="25" w:type="dxa"/>
              <w:start w:w="90" w:type="dxa"/>
              <w:bottom w:w="15" w:type="dxa"/>
              <w:end w:w="0" w:type="dxa"/>
            </w:tcMar>
          </w:tcPr>
          <w:p>
            <w:pPr>
              <w:widowControl/>
              <w:spacing w:after="16"/>
            </w:pPr>
            <w:r>
              <w:t>Italian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99"/>
        <w:gridCol w:w="8107"/>
      </w:tblGrid>
      <w:tr>
        <w:trPr>
          <w:cantSplit/>
        </w:trPr>
        <w:tc>
          <w:tcPr>
            <w:tcW w:type="dxa" w:w="1899"/>
            <w:tcMar>
              <w:top w:w="25" w:type="dxa"/>
              <w:start w:w="0" w:type="dxa"/>
              <w:bottom w:w="15" w:type="dxa"/>
              <w:end w:w="160" w:type="dxa"/>
            </w:tcMar>
          </w:tcPr>
          <w:p>
            <w:pPr>
              <w:pStyle w:val="CVMeta"/>
              <w:widowControl/>
              <w:jc w:val="right"/>
            </w:pPr>
            <w:r>
              <w:rPr>
                <w:b/>
                <w:color w:val="1F4E79"/>
              </w:rPr>
              <w:t>Other language</w:t>
            </w:r>
          </w:p>
        </w:tc>
        <w:tc>
          <w:tcPr>
            <w:tcW w:type="dxa" w:w="8107"/>
            <w:tcMar>
              <w:top w:w="25" w:type="dxa"/>
              <w:start w:w="90" w:type="dxa"/>
              <w:bottom w:w="15" w:type="dxa"/>
              <w:end w:w="0" w:type="dxa"/>
            </w:tcMar>
          </w:tcPr>
          <w:p>
            <w:pPr>
              <w:widowControl/>
              <w:spacing w:after="16"/>
            </w:pPr>
            <w:r>
              <w:t>English - C1 (CEFR)</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99"/>
        <w:gridCol w:w="8107"/>
      </w:tblGrid>
      <w:tr>
        <w:trPr>
          <w:cantSplit/>
        </w:trPr>
        <w:tc>
          <w:tcPr>
            <w:tcW w:type="dxa" w:w="1899"/>
            <w:vAlign w:val="top"/>
            <w:tcMar>
              <w:top w:w="40" w:type="dxa"/>
              <w:start w:w="0" w:type="dxa"/>
              <w:bottom w:w="20" w:type="dxa"/>
              <w:end w:w="160" w:type="dxa"/>
            </w:tcMar>
          </w:tcPr>
          <w:p>
            <w:pPr>
              <w:pStyle w:val="CVMeta"/>
              <w:widowControl/>
              <w:jc w:val="right"/>
            </w:pPr>
            <w:r>
              <w:rPr>
                <w:b/>
                <w:color w:val="1F4E79"/>
              </w:rPr>
              <w:t>2022</w:t>
            </w:r>
          </w:p>
        </w:tc>
        <w:tc>
          <w:tcPr>
            <w:tcW w:type="dxa" w:w="8107"/>
            <w:vAlign w:val="top"/>
            <w:tcMar>
              <w:top w:w="40" w:type="dxa"/>
              <w:start w:w="90" w:type="dxa"/>
              <w:bottom w:w="20" w:type="dxa"/>
              <w:end w:w="0" w:type="dxa"/>
            </w:tcMar>
          </w:tcPr>
          <w:p>
            <w:pPr>
              <w:pStyle w:val="CVItemTitle"/>
              <w:keepNext/>
              <w:widowControl/>
            </w:pPr>
            <w:r>
              <w:t>Cambridge English: Advanced (CAE)</w:t>
            </w:r>
          </w:p>
          <w:p>
            <w:pPr>
              <w:pStyle w:val="CVMeta"/>
              <w:keepNext/>
              <w:widowControl/>
            </w:pPr>
            <w:r>
              <w:t>Cambridge Assessment English</w:t>
            </w:r>
          </w:p>
          <w:p>
            <w:pPr>
              <w:widowControl/>
              <w:spacing w:after="30"/>
            </w:pPr>
            <w:r>
              <w:t>Cambridge English Level 2 Certificate in ESOL International (Advanced), CEFR level C1.</w:t>
            </w:r>
          </w:p>
        </w:tc>
      </w:tr>
    </w:tbl>
    <w:p>
      <w:pPr>
        <w:pStyle w:val="CVSection"/>
        <w:keepNext/>
        <w:pBdr>
          <w:bottom w:val="single" w:sz="8" w:space="1" w:color="1F4E79"/>
        </w:pBdr>
      </w:pPr>
      <w:r>
        <w:t>ADDITIONAL INFORMATION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99"/>
        <w:gridCol w:w="8107"/>
      </w:tblGrid>
      <w:tr>
        <w:trPr>
          <w:cantSplit/>
        </w:trPr>
        <w:tc>
          <w:tcPr>
            <w:tcW w:type="dxa" w:w="1899"/>
            <w:tcMar>
              <w:top w:w="25" w:type="dxa"/>
              <w:start w:w="0" w:type="dxa"/>
              <w:bottom w:w="15" w:type="dxa"/>
              <w:end w:w="160" w:type="dxa"/>
            </w:tcMar>
          </w:tcPr>
          <w:p>
            <w:pPr>
              <w:pStyle w:val="CVMeta"/>
              <w:widowControl/>
              <w:jc w:val="right"/>
            </w:pPr>
            <w:r>
              <w:rPr>
                <w:b/>
                <w:color w:val="1F4E79"/>
              </w:rPr>
              <w:t>Interests</w:t>
            </w:r>
          </w:p>
        </w:tc>
        <w:tc>
          <w:tcPr>
            <w:tcW w:type="dxa" w:w="8107"/>
            <w:tcMar>
              <w:top w:w="25" w:type="dxa"/>
              <w:start w:w="90" w:type="dxa"/>
              <w:bottom w:w="15" w:type="dxa"/>
              <w:end w:w="0" w:type="dxa"/>
            </w:tcMar>
          </w:tcPr>
          <w:p>
            <w:pPr>
              <w:widowControl/>
              <w:spacing w:after="16"/>
            </w:pPr>
            <w:r>
              <w:t>Classical guitar; cooking; geopolitics.</w:t>
            </w:r>
          </w:p>
        </w:tc>
      </w:tr>
    </w:tbl>
    <w:sectPr w:rsidR="00FC693F" w:rsidRPr="0006063C" w:rsidSect="00034616">
      <w:footerReference w:type="default" r:id="rId13"/>
      <w:pgSz w:w="11906" w:h="16838"/>
      <w:pgMar w:top="765" w:right="822" w:bottom="709" w:left="822" w:header="283"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VSmall"/>
      <w:jc w:val="center"/>
    </w:pPr>
    <w:r>
      <w:t xml:space="preserve">Lorenzo Marinelli | Curriculum Vitae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Name">
    <w:name w:val="CV Name"/>
    <w:pPr>
      <w:spacing w:before="0" w:after="10"/>
    </w:pPr>
    <w:rPr>
      <w:rFonts w:ascii="Arial" w:hAnsi="Arial" w:eastAsia="Arial"/>
      <w:b/>
      <w:color w:val="1F4E79"/>
      <w:sz w:val="45"/>
    </w:rPr>
  </w:style>
  <w:style w:type="paragraph" w:customStyle="1" w:styleId="CVSubtitle">
    <w:name w:val="CV Subtitle"/>
    <w:pPr>
      <w:spacing w:before="0" w:after="90"/>
    </w:pPr>
    <w:rPr>
      <w:rFonts w:ascii="Arial" w:hAnsi="Arial" w:eastAsia="Arial"/>
      <w:b w:val="0"/>
      <w:color w:val="666666"/>
      <w:sz w:val="18"/>
    </w:rPr>
  </w:style>
  <w:style w:type="paragraph" w:customStyle="1" w:styleId="CVSection">
    <w:name w:val="CV Section"/>
    <w:pPr>
      <w:spacing w:before="140" w:after="60"/>
    </w:pPr>
    <w:rPr>
      <w:rFonts w:ascii="Arial" w:hAnsi="Arial" w:eastAsia="Arial"/>
      <w:b/>
      <w:color w:val="1F4E79"/>
      <w:sz w:val="20"/>
    </w:rPr>
  </w:style>
  <w:style w:type="paragraph" w:customStyle="1" w:styleId="CVItemTitle">
    <w:name w:val="CV ItemTitle"/>
    <w:pPr>
      <w:spacing w:before="0" w:after="0"/>
    </w:pPr>
    <w:rPr>
      <w:rFonts w:ascii="Arial" w:hAnsi="Arial" w:eastAsia="Arial"/>
      <w:b/>
      <w:color w:val="222222"/>
      <w:sz w:val="19"/>
    </w:rPr>
  </w:style>
  <w:style w:type="paragraph" w:customStyle="1" w:styleId="CVMeta">
    <w:name w:val="CV Meta"/>
    <w:pPr>
      <w:spacing w:before="0" w:after="0"/>
    </w:pPr>
    <w:rPr>
      <w:rFonts w:ascii="Arial" w:hAnsi="Arial" w:eastAsia="Arial"/>
      <w:b w:val="0"/>
      <w:color w:val="666666"/>
      <w:sz w:val="17"/>
    </w:rPr>
  </w:style>
  <w:style w:type="paragraph" w:customStyle="1" w:styleId="CVSmall">
    <w:name w:val="CV Small"/>
    <w:pPr>
      <w:spacing w:before="0" w:after="0"/>
    </w:pPr>
    <w:rPr>
      <w:rFonts w:ascii="Arial" w:hAnsi="Arial" w:eastAsia="Arial"/>
      <w:b w:val="0"/>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lorenzo03.marinelli@gmail.com" TargetMode="External"/><Relationship Id="rId10" Type="http://schemas.openxmlformats.org/officeDocument/2006/relationships/hyperlink" Target="https://www.lmarinelli.eu" TargetMode="External"/><Relationship Id="rId11" Type="http://schemas.openxmlformats.org/officeDocument/2006/relationships/hyperlink" Target="https://github.com/Lorenzo-3" TargetMode="External"/><Relationship Id="rId12" Type="http://schemas.openxmlformats.org/officeDocument/2006/relationships/hyperlink" Target="https://www.linkedin.com/in/lorenzo-marinelli-6821403a9/"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Lorenzo Marinelli - Europass-style Curriculum Vitae</dc:title>
  <dc:subject>Curriculum Vitae</dc:subject>
  <dc:creator>Lorenzo Marinelli</dc:creator>
  <cp:keywords>CV, Europass, Computer Science, Machine Learning, Research</cp:keywords>
  <dc:description>generated by python-docx</dc:description>
  <cp:lastModifiedBy/>
  <cp:revision>1</cp:revision>
  <dcterms:created xsi:type="dcterms:W3CDTF">2013-12-23T23:15:00Z</dcterms:created>
  <dcterms:modified xsi:type="dcterms:W3CDTF">2013-12-23T23:15:00Z</dcterms:modified>
  <cp:category/>
</cp:coreProperties>
</file>