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2262B"/>
          <w:sz w:val="30"/>
          <w:szCs w:val="30"/>
        </w:rPr>
        <w:t xml:space="preserve">Studio Legale Avv. Marta Mangeli</w:t>
      </w:r>
    </w:p>
    <w:p>
      <w:pPr>
        <w:pBdr>
          <w:bottom w:val="single" w:color="22262B" w:sz="12"/>
        </w:pBdr>
        <w:spacing w:after="220"/>
      </w:pPr>
      <w:r>
        <w:rPr>
          <w:rFonts w:ascii="Calibri" w:cs="Calibri" w:eastAsia="Calibri" w:hAnsi="Calibri"/>
          <w:color w:val="5D6570"/>
          <w:sz w:val="18"/>
          <w:szCs w:val="18"/>
        </w:rPr>
        <w:t xml:space="preserve">Ancona · Via XXIX Settembre, 2/O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A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Studio di Consulenza del Lavoro Alessandro Girolomini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 · info@studiogirolomini.it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DA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Studio Legale Avv. Marta Mangeli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OGGETTO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Assunzione Pallotta Silvia (matr. 6) — richieste di rettifica alla documentazione contrattuale e quesiti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RAPPORTO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Tempo determinato part-time 30h · 03/09/2026 → 28/02/2027 · CCNL Studi Professionali, 4° livello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DATA</w:t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02/09/2026</w:t>
            </w:r>
          </w:p>
        </w:tc>
      </w:tr>
    </w:tbl>
    <w:p>
      <w:pPr>
        <w:spacing w:after="200"/>
      </w:pPr>
    </w:p>
    <w:p>
      <w:pPr>
        <w:spacing w:after="120" w:before="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Gentile Studio, abbiamo esaminato la documentazione predisposta per l’assunzione della Sig.ra Silvia Pallotta (lettera di assunzione, informativa ex D.Lgs. 104/2022, UNILAV, informativa e modulo TFR, modulo detrazioni). L’impianto complessivo ci risulta corretto; vi chiediamo tuttavia di apportare le rettifiche di seguito elencate, ciascuna con la relativa motivazione, e di darci riscontro sui quesiti in coda —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possibilmente prima della sottoscrizione della lettera, prevista per il 03/09/2026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.</w:t>
      </w:r>
    </w:p>
    <w:p>
      <w:pPr>
        <w:spacing w:after="80" w:before="0"/>
      </w:pPr>
      <w:r>
        <w:rPr>
          <w:rFonts w:ascii="Calibri" w:cs="Calibri" w:eastAsia="Calibri" w:hAnsi="Calibri"/>
          <w:color w:val="5D6570"/>
          <w:sz w:val="20"/>
          <w:szCs w:val="20"/>
        </w:rPr>
        <w:t xml:space="preserve">Le voci sono in ordine di priorità. Per ciascuna indichiamo documento e clausola interessata, il testo attuale, la modifica richiesta e la motivazione normativa.</w:t>
      </w:r>
    </w:p>
    <w:p>
      <w:pPr>
        <w:pBdr>
          <w:bottom w:val="single" w:color="1C4D63" w:sz="6"/>
        </w:pBdr>
        <w:spacing w:after="60" w:before="420"/>
      </w:pPr>
      <w:r>
        <w:rPr>
          <w:rFonts w:ascii="Calibri" w:cs="Calibri" w:eastAsia="Calibri" w:hAnsi="Calibri"/>
          <w:b/>
          <w:bCs/>
          <w:color w:val="1C4D63"/>
          <w:sz w:val="27"/>
          <w:szCs w:val="27"/>
        </w:rPr>
        <w:t xml:space="preserve">A. Rettifiche richieste (7 voci)</w:t>
      </w:r>
    </w:p>
    <w:p>
      <w:pPr>
        <w:spacing w:after="120" w:before="0"/>
      </w:pPr>
      <w:r>
        <w:rPr>
          <w:rFonts w:ascii="Calibri" w:cs="Calibri" w:eastAsia="Calibri" w:hAnsi="Calibri"/>
          <w:color w:val="5D6570"/>
          <w:sz w:val="20"/>
          <w:szCs w:val="20"/>
        </w:rPr>
        <w:t xml:space="preserve">Interventi sul testo dei documenti prima della firma (o, dove già sottoscritti, tramite errata corrige controfirmata).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A.1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Categoria legale: da «Operaio pt.» a «Impiegata»</w:t>
      </w:r>
      <w:r>
        <w:rPr>
          <w:rFonts w:ascii="Calibri" w:cs="Calibri" w:eastAsia="Calibri" w:hAnsi="Calibri"/>
          <w:b/>
          <w:bCs/>
          <w:color w:val="9E2F2F"/>
          <w:sz w:val="17"/>
          <w:szCs w:val="17"/>
        </w:rPr>
        <w:t xml:space="preserve">   PRIORITÀ ALTA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Lettera di assunzione, Art. 5 · Libro Unico del Lavoro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TESTO ATTUALE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shd w:fill="F2F1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D6570"/>
                <w:sz w:val="21"/>
                <w:szCs w:val="21"/>
              </w:rPr>
              <w:t xml:space="preserve">«Il lavoratore sarà inquadrato nella categoria Operaio pt., con qualifica di addetta alla segreteria…»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MODIFICA RICHIESTA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Sostituire la categoria con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«Impiegata»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 (part-time), mantenendo qualifica e 4° livello. Allineare di conseguenza il LUL e le tabelle applicate in busta.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MOTIVAZIONE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Le mansioni di addetta alla segreteria sono impiegatizie ai sensi dell’art. 2095 c.c. e coerenti con la qualifica ISTAT indicata nello stesso UNILAV («Addetti a funzioni di segreteria»). Nel CCNL Studi Professionali la distinzione operai/impiegati incide su istituti quali trattamento di malattia e mensilizzazione: la categoria errata genera incoerenza tra contratto, UNILAV e cedolino.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A.2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Clausola sul controllo di posta elettronica e file</w:t>
      </w:r>
      <w:r>
        <w:rPr>
          <w:rFonts w:ascii="Calibri" w:cs="Calibri" w:eastAsia="Calibri" w:hAnsi="Calibri"/>
          <w:b/>
          <w:bCs/>
          <w:color w:val="9E2F2F"/>
          <w:sz w:val="17"/>
          <w:szCs w:val="17"/>
        </w:rPr>
        <w:t xml:space="preserve">   PRIORITÀ ALTA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Lettera di assunzione, Art.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TESTO ATTUALE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shd w:fill="F2F1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D6570"/>
                <w:sz w:val="21"/>
                <w:szCs w:val="21"/>
              </w:rPr>
              <w:t xml:space="preserve">«L’azienda si riserva inoltre di visionare la posta elettronica ricevuta e spedita dal lavoratore, oltreché i files contenuti nel computer del lavoratore…»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MODIFICA RICHIESTA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Espungere la riserva generalizzata di accesso e sostituirla con un rinvio a una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policy sull’uso degli strumenti informatici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 conforme (controlli graduali, per finalità legittime e previa informativa specifica), da predisporre come documento separato.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MOTIVAZIONE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Una riserva indiscriminata di controllo dei contenuti contrasta con l’art. 4 L. 300/1970 e con le indicazioni del Garante Privacy (Linee guida su posta elettronica e internet, provv. 1/3/2007 n. 13; provvedimenti 2024 sulla conservazione dei metadati di posta), oltre che con i principi di minimizzazione ex artt. 5 e 88 GDPR.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Così formulata la clausola è inapplicabile e, se azionata, esporrebbe lo studio a sanzioni del Garante e all’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inutilizzabilità a fini disciplinari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 dei dati raccolti. È l’unico punto della pratica che riteniamo un vero rischio legale.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A.3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Sezione «Preavviso» incompatibile con il contratto a termine</w:t>
      </w:r>
      <w:r>
        <w:rPr>
          <w:rFonts w:ascii="Calibri" w:cs="Calibri" w:eastAsia="Calibri" w:hAnsi="Calibri"/>
          <w:b/>
          <w:bCs/>
          <w:color w:val="8A5F0C"/>
          <w:sz w:val="17"/>
          <w:szCs w:val="17"/>
        </w:rPr>
        <w:t xml:space="preserve">   PRIORITÀ MEDIA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Informativa D.Lgs. 104/2022, sezione PREAVVISO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TESTO ATTUALE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shd w:fill="F2F1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D6570"/>
                <w:sz w:val="21"/>
                <w:szCs w:val="21"/>
              </w:rPr>
              <w:t xml:space="preserve">Tabella preavviso: 20 giorni per licenziamento, 15 per dimissioni (giorni di calendario).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MODIFICA RICHIESTA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Eliminare la tabella, oppure annotarla come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«applicabile solo in caso di trasformazione a tempo indeterminato»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MOTIVAZIONE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Il rapporto a termine non è recedibile con preavviso: prima della scadenza il recesso è ammesso solo per giusta causa ex art. 2119 c.c., come correttamente prevede l’Art. 3 della lettera di assunzione. La tabella è un residuo del modello per il tempo indeterminato e crea una contraddizione interna che, in un eventuale contenzioso su recesso ante tempus, potrebbe essere usata contro lo studio come fonte di legittimo affidamento.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A.4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Consenso privacy del dipendente: base giuridica impropria</w:t>
      </w:r>
      <w:r>
        <w:rPr>
          <w:rFonts w:ascii="Calibri" w:cs="Calibri" w:eastAsia="Calibri" w:hAnsi="Calibri"/>
          <w:b/>
          <w:bCs/>
          <w:color w:val="8A5F0C"/>
          <w:sz w:val="17"/>
          <w:szCs w:val="17"/>
        </w:rPr>
        <w:t xml:space="preserve">   PRIORITÀ MEDIA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Allegato privacy alla lettera di assunzione (modulo di consenso)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TESTO ATTUALE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shd w:fill="F2F1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D6570"/>
                <w:sz w:val="21"/>
                <w:szCs w:val="21"/>
              </w:rPr>
              <w:t xml:space="preserve">Modulo con cui la lavoratrice «acconsente» al trattamento dei dati personali ai sensi dell’art. 7 GDPR.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MODIFICA RICHIESTA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Eliminare il modulo di consenso e mantenere la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sola informativa con firma per presa visione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, indicando come basi giuridiche l’esecuzione del contratto e gli obblighi legali.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MOTIVAZIONE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Nel rapporto di lavoro il trattamento si fonda su art. 6.1 lett. b) e c) e, per i dati particolari, art. 9.2 lett. b) GDPR — non sul consenso, che per lo squilibrio tra le parti non è considerato «liberamente prestato» (cons. 43 GDPR; EDPB, Guidelines 05/2020). Difetto solo formale, ma da un titolare che è uno studio legale è opportuno un impianto ineccepibile.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A.5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Clausola di trasferimento più ampia della legge</w:t>
      </w:r>
      <w:r>
        <w:rPr>
          <w:rFonts w:ascii="Calibri" w:cs="Calibri" w:eastAsia="Calibri" w:hAnsi="Calibri"/>
          <w:b/>
          <w:bCs/>
          <w:color w:val="8A5F0C"/>
          <w:sz w:val="17"/>
          <w:szCs w:val="17"/>
        </w:rPr>
        <w:t xml:space="preserve">   PRIORITÀ MEDIA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Lettera di assunzione, Art. 14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TESTO ATTUALE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shd w:fill="F2F1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D6570"/>
                <w:sz w:val="21"/>
                <w:szCs w:val="21"/>
              </w:rPr>
              <w:t xml:space="preserve">«…la posizione e il luogo di lavoro potranno essere modificati a discrezione dell’azienda», con possibilità di trasferimento «in Italia o all’estero».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MODIFICA RICHIESTA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Riformulare vincolando il trasferimento a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comprovate ragioni tecniche, organizzative e produttive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 e il mutamento di mansioni ai limiti dell’inquadramento.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MOTIVAZIONE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L’art. 2103 c.c. ammette il trasferimento solo per comprovate ragioni tecnico-organizzative-produttive e il mutamento di mansioni entro i limiti ivi previsti: una riserva «a discrezione» è nulla per la parte eccedente e non sarebbe comunque azionabile. Meglio una clausola che rispecchi ciò che è realmente esigibile.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A.6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Riferimento normativo errato sulla subordinazione</w:t>
      </w:r>
      <w:r>
        <w:rPr>
          <w:rFonts w:ascii="Calibri" w:cs="Calibri" w:eastAsia="Calibri" w:hAnsi="Calibri"/>
          <w:b/>
          <w:bCs/>
          <w:color w:val="8A5F0C"/>
          <w:sz w:val="17"/>
          <w:szCs w:val="17"/>
        </w:rPr>
        <w:t xml:space="preserve">   PRIORITÀ MEDIA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Lettera di assunzione, Art.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TESTO ATTUALE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shd w:fill="F2F1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D6570"/>
                <w:sz w:val="21"/>
                <w:szCs w:val="21"/>
              </w:rPr>
              <w:t xml:space="preserve">«…in regime di collaborazione e di subordinazione, nel rispetto dell’art. 24 del D.Lgs n. 81/2015…»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MODIFICA RICHIESTA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Sostituire il richiamo con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l’art. 2094 c.c.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 (nozione di lavoro subordinato).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MOTIVAZIONE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L’art. 24 D.Lgs. 81/2015 disciplina il diritto di precedenza nei contratti a termine, non la costituzione del rapporto subordinato: si tratta con ogni evidenza di un refuso del gestionale. Refuso innocuo ma da correggere in un atto destinato alla firma.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A.7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Modulo detrazioni: modello obsoleto e non sottoscritto</w:t>
      </w:r>
      <w:r>
        <w:rPr>
          <w:rFonts w:ascii="Calibri" w:cs="Calibri" w:eastAsia="Calibri" w:hAnsi="Calibri"/>
          <w:b/>
          <w:bCs/>
          <w:color w:val="8A5F0C"/>
          <w:sz w:val="17"/>
          <w:szCs w:val="17"/>
        </w:rPr>
        <w:t xml:space="preserve">   PRIORITÀ MEDIA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Dichiarazione detrazioni d’imposta (ex art. 23 D.P.R. 600/73)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TESTO ATTUALE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shd w:fill="F2F1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D6570"/>
                <w:sz w:val="21"/>
                <w:szCs w:val="21"/>
              </w:rPr>
              <w:t xml:space="preserve">Intestazione «DICHIARAZIONE … ANNO 2008» con anno sovrascritto a 2026; richiamo a «art. 33 D.lgs. 33/25»; opzioni reddituali non barrate; modulo privo di data e firma.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MODIFICA RICHIESTA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Fornire il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modello aggiornato 2026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, verificare il riferimento normativo in intestazione e farci pervenire il modulo compilato nelle opzioni pertinenti e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firmato dalla lavoratrice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MOTIVAZIONE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La dichiarazione ex art. 23 D.P.R. 600/73 è il presupposto per l’applicazione di detrazioni e trattamenti integrativi in busta: senza sottoscrizione e senza le opzioni barrate (es. detrazione minima € 1.380 per rapporti a termine infrannuali, trattamento integrativo) il primo cedolino rischia di essere errato e da conguagliare.</w:t>
            </w:r>
          </w:p>
        </w:tc>
      </w:tr>
    </w:tbl>
    <w:p>
      <w:pPr>
        <w:pBdr>
          <w:bottom w:val="single" w:color="1C4D63" w:sz="6"/>
        </w:pBdr>
        <w:spacing w:after="60" w:before="420"/>
      </w:pPr>
      <w:r>
        <w:rPr>
          <w:rFonts w:ascii="Calibri" w:cs="Calibri" w:eastAsia="Calibri" w:hAnsi="Calibri"/>
          <w:b/>
          <w:bCs/>
          <w:color w:val="1C4D63"/>
          <w:sz w:val="27"/>
          <w:szCs w:val="27"/>
        </w:rPr>
        <w:t xml:space="preserve">B. Quesiti e verifiche (3 voci)</w:t>
      </w:r>
    </w:p>
    <w:p>
      <w:pPr>
        <w:spacing w:after="120" w:before="0"/>
      </w:pPr>
      <w:r>
        <w:rPr>
          <w:rFonts w:ascii="Calibri" w:cs="Calibri" w:eastAsia="Calibri" w:hAnsi="Calibri"/>
          <w:color w:val="5D6570"/>
          <w:sz w:val="20"/>
          <w:szCs w:val="20"/>
        </w:rPr>
        <w:t xml:space="preserve">Non richiedono modifiche ai testi, ma un vostro riscontro scritto.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B.1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Composizione dell’imponibile retributivo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UNILAV (retribuzione € 17.080) · Informativa D.Lgs. 104/2022 (minimo € 1.595,42)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QUESITO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L’UNILAV indica una retribuzione annua di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€ 17.080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, mentre il riproporzionamento del minimo contrattuale full-time indicato in informativa darebbe € 1.595,42 × 75% × 14 =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€ 16.752 circa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. Vi chiediamo di chiarire la composizione dell’imponibile (minimo aggiornato? elemento aggiuntivo?) e di indicare nell’informativa anche il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valore riproporzionato al part-time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, per trasparenza verso la lavoratrice e per la nostra pianificazione di costo.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B.2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TFR e adesione automatica FON.TE — presidio della scadenza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Informativa e modulo destinazione TFR (L. 199/2025, assunti dal 1/7/2026)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QUESITO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Decorsi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60 giorni dall’assunzione (≈ 2/11/2026)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 senza scelta espressa scatterebbe l’adesione automatica a FON.TE, con contribuzione datoriale retroattiva su un rapporto in scadenza al 28/02/2027. Vi chiediamo di: (i) raccogliere subito la dichiarazione neoassunta/riassunta e il modulo di destinazione firmato; (ii) quantificarci il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costo datoriale aggiuntivo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 (aliquota CCNL su imponibile part-time) nello scenario di adesione automatica, così da decidere con cognizione.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C4D63"/>
          <w:sz w:val="24"/>
          <w:szCs w:val="24"/>
        </w:rPr>
        <w:t xml:space="preserve">B.3  </w:t>
      </w:r>
      <w:r>
        <w:rPr>
          <w:rFonts w:ascii="Calibri" w:cs="Calibri" w:eastAsia="Calibri" w:hAnsi="Calibri"/>
          <w:b/>
          <w:bCs/>
          <w:color w:val="22262B"/>
          <w:sz w:val="24"/>
          <w:szCs w:val="24"/>
        </w:rPr>
        <w:t xml:space="preserve">Pianificazione di eventuali proroghe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D6570"/>
          <w:sz w:val="18"/>
          <w:szCs w:val="18"/>
        </w:rPr>
        <w:t xml:space="preserve">Lettera di assunzione, Art. 3 (durata 03/09/2026 → 28/02/2027)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D6570"/>
                <w:sz w:val="16"/>
                <w:szCs w:val="16"/>
              </w:rPr>
              <w:t xml:space="preserve">QUESITO</w:t>
            </w:r>
          </w:p>
        </w:tc>
        <w:tc>
          <w:tcPr>
            <w:tcW w:type="dxa" w:w="6926"/>
            <w:tcBorders>
              <w:top w:val="single" w:color="C9CCC6" w:sz="4"/>
              <w:left w:val="single" w:color="C9CCC6" w:sz="4"/>
              <w:bottom w:val="single" w:color="C9CCC6" w:sz="4"/>
              <w:right w:val="single" w:color="C9CCC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Confermateci il residuo utilizzabile </w:t>
            </w:r>
            <w:r>
              <w:rPr>
                <w:rFonts w:ascii="Calibri" w:cs="Calibri" w:eastAsia="Calibri" w:hAnsi="Calibri"/>
                <w:b/>
                <w:bCs/>
                <w:color w:val="22262B"/>
                <w:sz w:val="21"/>
                <w:szCs w:val="21"/>
              </w:rPr>
              <w:t xml:space="preserve">senza causale</w:t>
            </w:r>
            <w:r>
              <w:rPr>
                <w:rFonts w:ascii="Calibri" w:cs="Calibri" w:eastAsia="Calibri" w:hAnsi="Calibri"/>
                <w:color w:val="22262B"/>
                <w:sz w:val="21"/>
                <w:szCs w:val="21"/>
              </w:rPr>
              <w:t xml:space="preserve"> (fino a 12 mesi complessivi ex D.Lgs. 81/2015) e i vincoli in caso di rinnovo (stop&amp;go di 10 giorni per contratti fino a 6 mesi, contributo addizionale NASpI incrementale). Vorremmo tenere aperta l’opzione proroga già da gennaio 2027.</w:t>
            </w:r>
          </w:p>
        </w:tc>
      </w:tr>
    </w:tbl>
    <w:p>
      <w:pPr>
        <w:pBdr>
          <w:bottom w:val="single" w:color="1C4D63" w:sz="6"/>
        </w:pBdr>
        <w:spacing w:after="60" w:before="420"/>
      </w:pPr>
      <w:r>
        <w:rPr>
          <w:rFonts w:ascii="Calibri" w:cs="Calibri" w:eastAsia="Calibri" w:hAnsi="Calibri"/>
          <w:b/>
          <w:bCs/>
          <w:color w:val="1C4D63"/>
          <w:sz w:val="27"/>
          <w:szCs w:val="27"/>
        </w:rPr>
        <w:t xml:space="preserve">C. Punti verificati e conformi</w:t>
      </w:r>
    </w:p>
    <w:p>
      <w:pPr>
        <w:spacing w:after="120" w:before="0"/>
      </w:pPr>
      <w:r>
        <w:rPr>
          <w:rFonts w:ascii="Calibri" w:cs="Calibri" w:eastAsia="Calibri" w:hAnsi="Calibri"/>
          <w:color w:val="5D6570"/>
          <w:sz w:val="20"/>
          <w:szCs w:val="20"/>
        </w:rPr>
        <w:t xml:space="preserve">Per completezza, gli aspetti che abbiamo riscontrato corretti e che non richiedono alcun intervento.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62B"/>
          <w:sz w:val="21"/>
          <w:szCs w:val="21"/>
        </w:rPr>
        <w:t xml:space="preserve">UNILAV trasmesso nei termini</w:t>
      </w:r>
      <w:r>
        <w:rPr>
          <w:rFonts w:ascii="Calibri" w:cs="Calibri" w:eastAsia="Calibri" w:hAnsi="Calibri"/>
          <w:color w:val="5D6570"/>
          <w:sz w:val="21"/>
          <w:szCs w:val="21"/>
        </w:rPr>
        <w:t xml:space="preserve"> — invio 02/09/2026 ore 11:53, entro il giorno antecedente l’inizio (03/09).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62B"/>
          <w:sz w:val="21"/>
          <w:szCs w:val="21"/>
        </w:rPr>
        <w:t xml:space="preserve">Contratto acausale</w:t>
      </w:r>
      <w:r>
        <w:rPr>
          <w:rFonts w:ascii="Calibri" w:cs="Calibri" w:eastAsia="Calibri" w:hAnsi="Calibri"/>
          <w:color w:val="5D6570"/>
          <w:sz w:val="21"/>
          <w:szCs w:val="21"/>
        </w:rPr>
        <w:t xml:space="preserve"> — durata inferiore a 12 mesi, nessuna causale richiesta.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62B"/>
          <w:sz w:val="21"/>
          <w:szCs w:val="21"/>
        </w:rPr>
        <w:t xml:space="preserve">Durata sotto i 6 mesi</w:t>
      </w:r>
      <w:r>
        <w:rPr>
          <w:rFonts w:ascii="Calibri" w:cs="Calibri" w:eastAsia="Calibri" w:hAnsi="Calibri"/>
          <w:color w:val="5D6570"/>
          <w:sz w:val="21"/>
          <w:szCs w:val="21"/>
        </w:rPr>
        <w:t xml:space="preserve"> — non matura il diritto di precedenza ex art. 24 D.Lgs. 81/2015.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62B"/>
          <w:sz w:val="21"/>
          <w:szCs w:val="21"/>
        </w:rPr>
        <w:t xml:space="preserve">Periodo di prova 12 giorni lavorativi</w:t>
      </w:r>
      <w:r>
        <w:rPr>
          <w:rFonts w:ascii="Calibri" w:cs="Calibri" w:eastAsia="Calibri" w:hAnsi="Calibri"/>
          <w:color w:val="5D6570"/>
          <w:sz w:val="21"/>
          <w:szCs w:val="21"/>
        </w:rPr>
        <w:t xml:space="preserve"> — pari al massimo proporzionale consentito per la durata pattuita.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62B"/>
          <w:sz w:val="21"/>
          <w:szCs w:val="21"/>
        </w:rPr>
        <w:t xml:space="preserve">Clausola flessibile</w:t>
      </w:r>
      <w:r>
        <w:rPr>
          <w:rFonts w:ascii="Calibri" w:cs="Calibri" w:eastAsia="Calibri" w:hAnsi="Calibri"/>
          <w:color w:val="5D6570"/>
          <w:sz w:val="21"/>
          <w:szCs w:val="21"/>
        </w:rPr>
        <w:t xml:space="preserve"> — preavviso di 2 giorni e compensazioni CCNL, conforme all’art. 6 D.Lgs. 81/2015.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62B"/>
          <w:sz w:val="21"/>
          <w:szCs w:val="21"/>
        </w:rPr>
        <w:t xml:space="preserve">Orario 9:00–15:00</w:t>
      </w:r>
      <w:r>
        <w:rPr>
          <w:rFonts w:ascii="Calibri" w:cs="Calibri" w:eastAsia="Calibri" w:hAnsi="Calibri"/>
          <w:color w:val="5D6570"/>
          <w:sz w:val="21"/>
          <w:szCs w:val="21"/>
        </w:rPr>
        <w:t xml:space="preserve"> — 6 ore giornaliere esatte, sotto la soglia che impone la pausa ex D.Lgs. 66/2003.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62B"/>
          <w:sz w:val="21"/>
          <w:szCs w:val="21"/>
        </w:rPr>
        <w:t xml:space="preserve">Informativa D.Lgs. 104/2022</w:t>
      </w:r>
      <w:r>
        <w:rPr>
          <w:rFonts w:ascii="Calibri" w:cs="Calibri" w:eastAsia="Calibri" w:hAnsi="Calibri"/>
          <w:color w:val="5D6570"/>
          <w:sz w:val="21"/>
          <w:szCs w:val="21"/>
        </w:rPr>
        <w:t xml:space="preserve"> — completa degli elementi essenziali richiesti dalla direttiva UE 2019/1152.</w:t>
      </w:r>
    </w:p>
    <w:p>
      <w:pPr>
        <w:pBdr>
          <w:top w:val="single" w:color="C9CCC6" w:sz="4"/>
        </w:pBdr>
        <w:spacing w:after="120" w:before="360"/>
      </w:pPr>
    </w:p>
    <w:p>
      <w:pPr>
        <w:spacing w:after="120" w:before="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Vi chiediamo cortesemente di trasmetterci i documenti rettificati (voci A.1–A.6) </w:t>
      </w:r>
      <w:r>
        <w:rPr>
          <w:rFonts w:ascii="Calibri" w:cs="Calibri" w:eastAsia="Calibri" w:hAnsi="Calibri"/>
          <w:b/>
          <w:bCs/>
          <w:color w:val="22262B"/>
          <w:sz w:val="22"/>
          <w:szCs w:val="22"/>
        </w:rPr>
        <w:t xml:space="preserve">prima della sottoscrizione</w:t>
      </w:r>
      <w:r>
        <w:rPr>
          <w:rFonts w:ascii="Calibri" w:cs="Calibri" w:eastAsia="Calibri" w:hAnsi="Calibri"/>
          <w:color w:val="22262B"/>
          <w:sz w:val="22"/>
          <w:szCs w:val="22"/>
        </w:rPr>
        <w:t xml:space="preserve"> e di darci riscontro scritto sui quesiti B.1–B.3 entro la prima decade di settembre. Restiamo a disposizione per un confronto telefonico ove utile.</w:t>
      </w:r>
    </w:p>
    <w:p>
      <w:pPr>
        <w:spacing w:after="120" w:before="0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Cordiali saluti,</w:t>
      </w:r>
    </w:p>
    <w:p>
      <w:pPr>
        <w:spacing w:after="0" w:before="500"/>
        <w:jc w:val="right"/>
      </w:pPr>
      <w:r>
        <w:rPr>
          <w:rFonts w:ascii="Calibri" w:cs="Calibri" w:eastAsia="Calibri" w:hAnsi="Calibri"/>
          <w:color w:val="5D6570"/>
          <w:sz w:val="20"/>
          <w:szCs w:val="20"/>
        </w:rPr>
        <w:t xml:space="preserve">Studio Legale Avv. Marta Mangeli</w:t>
      </w:r>
    </w:p>
    <w:p>
      <w:pPr>
        <w:spacing w:after="0" w:before="500"/>
        <w:jc w:val="right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_____________________________</w:t>
      </w:r>
    </w:p>
    <w:p>
      <w:pPr>
        <w:spacing w:after="0"/>
        <w:jc w:val="right"/>
      </w:pPr>
      <w:r>
        <w:rPr>
          <w:rFonts w:ascii="Calibri" w:cs="Calibri" w:eastAsia="Calibri" w:hAnsi="Calibri"/>
          <w:color w:val="22262B"/>
          <w:sz w:val="22"/>
          <w:szCs w:val="22"/>
        </w:rPr>
        <w:t xml:space="preserve">Avv. Marta Mangeli</w:t>
      </w:r>
    </w:p>
    <w:p>
      <w:pPr>
        <w:pBdr>
          <w:top w:val="single" w:color="C9CCC6" w:sz="4"/>
        </w:pBdr>
        <w:spacing w:after="0" w:before="400"/>
      </w:pPr>
      <w:r>
        <w:rPr>
          <w:rFonts w:ascii="Calibri" w:cs="Calibri" w:eastAsia="Calibri" w:hAnsi="Calibri"/>
          <w:i/>
          <w:iCs/>
          <w:color w:val="5D6570"/>
          <w:sz w:val="17"/>
          <w:szCs w:val="17"/>
        </w:rPr>
        <w:t xml:space="preserve">Nota di supporto redatta sulla base dei documenti ricevuti. Le valutazioni normative sono da intendersi come richieste di verifica al consulente del lavoro, cui compete la validazione finale.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6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2026-09-02T18:17:40.051Z</dcterms:created>
  <dcterms:modified xsi:type="dcterms:W3CDTF">2026-09-02T18:17:40.051Z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