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292E1B" w14:textId="77777777" w:rsidR="004F23CC" w:rsidRDefault="00000000">
      <w:pPr>
        <w:pStyle w:val="Heading1"/>
        <w:jc w:val="center"/>
      </w:pPr>
      <w:r>
        <w:t>Table 10 (ECB Adaptation): Annotation Guide</w:t>
      </w:r>
    </w:p>
    <w:tbl>
      <w:tblPr>
        <w:tblpPr w:leftFromText="180" w:rightFromText="180" w:vertAnchor="text" w:horzAnchor="margin" w:tblpXSpec="center" w:tblpY="850"/>
        <w:tblW w:w="10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9"/>
        <w:gridCol w:w="2866"/>
        <w:gridCol w:w="2866"/>
        <w:gridCol w:w="2859"/>
      </w:tblGrid>
      <w:tr w:rsidR="00C044BB" w14:paraId="19EF1DF6" w14:textId="77777777" w:rsidTr="00C044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9" w:type="dxa"/>
            <w:shd w:val="clear" w:color="auto" w:fill="D9D9D9"/>
          </w:tcPr>
          <w:p w14:paraId="10FFBE86" w14:textId="77777777" w:rsidR="00C044BB" w:rsidRDefault="00C044BB" w:rsidP="00C044BB">
            <w:r>
              <w:rPr>
                <w:b/>
                <w:bCs/>
              </w:rPr>
              <w:t>Category</w:t>
            </w:r>
          </w:p>
        </w:tc>
        <w:tc>
          <w:tcPr>
            <w:tcW w:w="2866" w:type="dxa"/>
            <w:shd w:val="clear" w:color="auto" w:fill="D9D9D9"/>
          </w:tcPr>
          <w:p w14:paraId="3E3CD859" w14:textId="77777777" w:rsidR="00C044BB" w:rsidRDefault="00C044BB" w:rsidP="00C044BB">
            <w:r>
              <w:rPr>
                <w:b/>
                <w:bCs/>
              </w:rPr>
              <w:t>Dovish</w:t>
            </w:r>
          </w:p>
        </w:tc>
        <w:tc>
          <w:tcPr>
            <w:tcW w:w="2866" w:type="dxa"/>
            <w:shd w:val="clear" w:color="auto" w:fill="D9D9D9"/>
          </w:tcPr>
          <w:p w14:paraId="3F44949D" w14:textId="77777777" w:rsidR="00C044BB" w:rsidRDefault="00C044BB" w:rsidP="00C044BB">
            <w:r>
              <w:rPr>
                <w:b/>
                <w:bCs/>
              </w:rPr>
              <w:t>Hawkish</w:t>
            </w:r>
          </w:p>
        </w:tc>
        <w:tc>
          <w:tcPr>
            <w:tcW w:w="2859" w:type="dxa"/>
            <w:shd w:val="clear" w:color="auto" w:fill="D9D9D9"/>
          </w:tcPr>
          <w:p w14:paraId="45063369" w14:textId="77777777" w:rsidR="00C044BB" w:rsidRDefault="00C044BB" w:rsidP="00C044BB">
            <w:r>
              <w:rPr>
                <w:b/>
                <w:bCs/>
              </w:rPr>
              <w:t>Neutral</w:t>
            </w:r>
          </w:p>
        </w:tc>
      </w:tr>
      <w:tr w:rsidR="00C044BB" w14:paraId="557C4016" w14:textId="77777777" w:rsidTr="00C044BB">
        <w:tblPrEx>
          <w:tblCellMar>
            <w:top w:w="0" w:type="dxa"/>
            <w:bottom w:w="0" w:type="dxa"/>
          </w:tblCellMar>
        </w:tblPrEx>
        <w:tc>
          <w:tcPr>
            <w:tcW w:w="2309" w:type="dxa"/>
          </w:tcPr>
          <w:p w14:paraId="055D1F8B" w14:textId="77777777" w:rsidR="00C044BB" w:rsidRDefault="00C044BB" w:rsidP="00C044BB">
            <w:r>
              <w:t>Economic Status</w:t>
            </w:r>
          </w:p>
        </w:tc>
        <w:tc>
          <w:tcPr>
            <w:tcW w:w="2866" w:type="dxa"/>
          </w:tcPr>
          <w:p w14:paraId="608FBB4F" w14:textId="77777777" w:rsidR="00C044BB" w:rsidRDefault="00C044BB" w:rsidP="00C044BB">
            <w:r>
              <w:t>when inflation decreases, when unemployment increases, when euro area growth is projected as low</w:t>
            </w:r>
          </w:p>
        </w:tc>
        <w:tc>
          <w:tcPr>
            <w:tcW w:w="2866" w:type="dxa"/>
          </w:tcPr>
          <w:p w14:paraId="0511BF29" w14:textId="77777777" w:rsidR="00C044BB" w:rsidRDefault="00C044BB" w:rsidP="00C044BB">
            <w:r>
              <w:t>when inflation increases, when unemployment decreases, when euro area growth is projected high when output is above potential / slack falls</w:t>
            </w:r>
          </w:p>
        </w:tc>
        <w:tc>
          <w:tcPr>
            <w:tcW w:w="2859" w:type="dxa"/>
          </w:tcPr>
          <w:p w14:paraId="14DF4C3B" w14:textId="77777777" w:rsidR="00C044BB" w:rsidRDefault="00C044BB" w:rsidP="00C044BB">
            <w:r>
              <w:t>when unemployment rate or growth is unchanged, maintained, or sustained</w:t>
            </w:r>
          </w:p>
        </w:tc>
      </w:tr>
      <w:tr w:rsidR="00C044BB" w14:paraId="4F74E746" w14:textId="77777777" w:rsidTr="00C044BB">
        <w:tblPrEx>
          <w:tblCellMar>
            <w:top w:w="0" w:type="dxa"/>
            <w:bottom w:w="0" w:type="dxa"/>
          </w:tblCellMar>
        </w:tblPrEx>
        <w:tc>
          <w:tcPr>
            <w:tcW w:w="2309" w:type="dxa"/>
          </w:tcPr>
          <w:p w14:paraId="1AB35EDE" w14:textId="77777777" w:rsidR="00C044BB" w:rsidRDefault="00C044BB" w:rsidP="00C044BB">
            <w:r>
              <w:t>Euro Value Change</w:t>
            </w:r>
          </w:p>
        </w:tc>
        <w:tc>
          <w:tcPr>
            <w:tcW w:w="2866" w:type="dxa"/>
          </w:tcPr>
          <w:p w14:paraId="6E4B1A13" w14:textId="77777777" w:rsidR="00C044BB" w:rsidRDefault="00C044BB" w:rsidP="00C044BB">
            <w:r>
              <w:t>when the euro appreciates</w:t>
            </w:r>
          </w:p>
        </w:tc>
        <w:tc>
          <w:tcPr>
            <w:tcW w:w="2866" w:type="dxa"/>
          </w:tcPr>
          <w:p w14:paraId="52344A48" w14:textId="77777777" w:rsidR="00C044BB" w:rsidRDefault="00C044BB" w:rsidP="00C044BB">
            <w:r>
              <w:t>when the euro depreciates</w:t>
            </w:r>
          </w:p>
        </w:tc>
        <w:tc>
          <w:tcPr>
            <w:tcW w:w="2859" w:type="dxa"/>
          </w:tcPr>
          <w:p w14:paraId="3B127DE7" w14:textId="77777777" w:rsidR="00C044BB" w:rsidRDefault="00C044BB" w:rsidP="00C044BB">
            <w:r>
              <w:t>N/A</w:t>
            </w:r>
          </w:p>
        </w:tc>
      </w:tr>
      <w:tr w:rsidR="00C044BB" w14:paraId="623E1D56" w14:textId="77777777" w:rsidTr="00C044BB">
        <w:tblPrEx>
          <w:tblCellMar>
            <w:top w:w="0" w:type="dxa"/>
            <w:bottom w:w="0" w:type="dxa"/>
          </w:tblCellMar>
        </w:tblPrEx>
        <w:tc>
          <w:tcPr>
            <w:tcW w:w="2309" w:type="dxa"/>
          </w:tcPr>
          <w:p w14:paraId="52D958E5" w14:textId="77777777" w:rsidR="00C044BB" w:rsidRDefault="00C044BB" w:rsidP="00C044BB">
            <w:r>
              <w:t>Energy/House Prices</w:t>
            </w:r>
          </w:p>
        </w:tc>
        <w:tc>
          <w:tcPr>
            <w:tcW w:w="2866" w:type="dxa"/>
          </w:tcPr>
          <w:p w14:paraId="77343BAE" w14:textId="77777777" w:rsidR="00C044BB" w:rsidRDefault="00C044BB" w:rsidP="00C044BB">
            <w:r>
              <w:t>when oil/energy prices decrease, when house prices decrease</w:t>
            </w:r>
          </w:p>
        </w:tc>
        <w:tc>
          <w:tcPr>
            <w:tcW w:w="2866" w:type="dxa"/>
          </w:tcPr>
          <w:p w14:paraId="29E27108" w14:textId="77777777" w:rsidR="00C044BB" w:rsidRDefault="00C044BB" w:rsidP="00C044BB">
            <w:r>
              <w:t>when oil/energy prices increase, when house prices increase</w:t>
            </w:r>
          </w:p>
        </w:tc>
        <w:tc>
          <w:tcPr>
            <w:tcW w:w="2859" w:type="dxa"/>
          </w:tcPr>
          <w:p w14:paraId="6F170C41" w14:textId="77777777" w:rsidR="00C044BB" w:rsidRDefault="00C044BB" w:rsidP="00C044BB">
            <w:r>
              <w:t>N/A</w:t>
            </w:r>
          </w:p>
        </w:tc>
      </w:tr>
      <w:tr w:rsidR="00C044BB" w14:paraId="53A3A018" w14:textId="77777777" w:rsidTr="00C044BB">
        <w:tblPrEx>
          <w:tblCellMar>
            <w:top w:w="0" w:type="dxa"/>
            <w:bottom w:w="0" w:type="dxa"/>
          </w:tblCellMar>
        </w:tblPrEx>
        <w:tc>
          <w:tcPr>
            <w:tcW w:w="2309" w:type="dxa"/>
          </w:tcPr>
          <w:p w14:paraId="03F85286" w14:textId="77777777" w:rsidR="00C044BB" w:rsidRDefault="00C044BB" w:rsidP="00C044BB">
            <w:r>
              <w:t>Foreign Nations/Trade</w:t>
            </w:r>
          </w:p>
        </w:tc>
        <w:tc>
          <w:tcPr>
            <w:tcW w:w="2866" w:type="dxa"/>
          </w:tcPr>
          <w:p w14:paraId="68828FD5" w14:textId="77777777" w:rsidR="00C044BB" w:rsidRDefault="00C044BB" w:rsidP="00C044BB">
            <w:r>
              <w:t>when the euro area trade surplus decreases, when external demand weakens</w:t>
            </w:r>
          </w:p>
        </w:tc>
        <w:tc>
          <w:tcPr>
            <w:tcW w:w="2866" w:type="dxa"/>
          </w:tcPr>
          <w:p w14:paraId="73D4BE36" w14:textId="77777777" w:rsidR="00C044BB" w:rsidRDefault="00C044BB" w:rsidP="00C044BB">
            <w:r>
              <w:t>when the euro area trade surplus increases, when external demand strengthens</w:t>
            </w:r>
          </w:p>
        </w:tc>
        <w:tc>
          <w:tcPr>
            <w:tcW w:w="2859" w:type="dxa"/>
          </w:tcPr>
          <w:p w14:paraId="439203AB" w14:textId="77777777" w:rsidR="00C044BB" w:rsidRDefault="00C044BB" w:rsidP="00C044BB">
            <w:r>
              <w:t>when relating to a non-euro-area nation's economic or trade policy generally</w:t>
            </w:r>
          </w:p>
        </w:tc>
      </w:tr>
      <w:tr w:rsidR="00C044BB" w14:paraId="08229BDA" w14:textId="77777777" w:rsidTr="00C044BB">
        <w:tblPrEx>
          <w:tblCellMar>
            <w:top w:w="0" w:type="dxa"/>
            <w:bottom w:w="0" w:type="dxa"/>
          </w:tblCellMar>
        </w:tblPrEx>
        <w:tc>
          <w:tcPr>
            <w:tcW w:w="2309" w:type="dxa"/>
          </w:tcPr>
          <w:p w14:paraId="4741A4EA" w14:textId="77777777" w:rsidR="00C044BB" w:rsidRDefault="00C044BB" w:rsidP="00C044BB">
            <w:r>
              <w:t>Member States/Fragmentation</w:t>
            </w:r>
          </w:p>
        </w:tc>
        <w:tc>
          <w:tcPr>
            <w:tcW w:w="2866" w:type="dxa"/>
          </w:tcPr>
          <w:p w14:paraId="3C6089F0" w14:textId="77777777" w:rsidR="00C044BB" w:rsidRDefault="00C044BB" w:rsidP="00C044BB">
            <w:r>
              <w:t>when sovereign spreads widen, when fragmentation risk increases, when a member state's fiscal position weakens</w:t>
            </w:r>
          </w:p>
        </w:tc>
        <w:tc>
          <w:tcPr>
            <w:tcW w:w="2866" w:type="dxa"/>
          </w:tcPr>
          <w:p w14:paraId="5E98895D" w14:textId="77777777" w:rsidR="00C044BB" w:rsidRDefault="00C044BB" w:rsidP="00C044BB">
            <w:r>
              <w:t>when sovereign spreads narrow, when fragmentation risk decreases, when a member state's fiscal position strengthens</w:t>
            </w:r>
          </w:p>
        </w:tc>
        <w:tc>
          <w:tcPr>
            <w:tcW w:w="2859" w:type="dxa"/>
          </w:tcPr>
          <w:p w14:paraId="1CDA9213" w14:textId="77777777" w:rsidR="00C044BB" w:rsidRDefault="00C044BB" w:rsidP="00C044BB">
            <w:r>
              <w:t>when referring to convergence, cohesion, or the functioning of the transmission mechanism without directional change</w:t>
            </w:r>
          </w:p>
        </w:tc>
      </w:tr>
      <w:tr w:rsidR="00C044BB" w14:paraId="47E77CFA" w14:textId="77777777" w:rsidTr="00C044BB">
        <w:tblPrEx>
          <w:tblCellMar>
            <w:top w:w="0" w:type="dxa"/>
            <w:bottom w:w="0" w:type="dxa"/>
          </w:tblCellMar>
        </w:tblPrEx>
        <w:tc>
          <w:tcPr>
            <w:tcW w:w="2309" w:type="dxa"/>
          </w:tcPr>
          <w:p w14:paraId="32C1AF78" w14:textId="77777777" w:rsidR="00C044BB" w:rsidRDefault="00C044BB" w:rsidP="00C044BB">
            <w:r>
              <w:t>ECB Expectations/Actions/Assets</w:t>
            </w:r>
          </w:p>
        </w:tc>
        <w:tc>
          <w:tcPr>
            <w:tcW w:w="2866" w:type="dxa"/>
          </w:tcPr>
          <w:p w14:paraId="4B756E0D" w14:textId="77777777" w:rsidR="00C044BB" w:rsidRDefault="00C044BB" w:rsidP="00C044BB">
            <w:r>
              <w:t>ECB expects subpar inflation, expecting disinflation, narrowing spreads, decreases in policy/deposit rates, expansion of APP/PEPP or TLTROs, reduction in excess reserve absorption</w:t>
            </w:r>
          </w:p>
        </w:tc>
        <w:tc>
          <w:tcPr>
            <w:tcW w:w="2866" w:type="dxa"/>
          </w:tcPr>
          <w:p w14:paraId="730BD24B" w14:textId="77777777" w:rsidR="00C044BB" w:rsidRDefault="00C044BB" w:rsidP="00C044BB">
            <w:r>
              <w:t>ECB expects high inflation, widening spreads, increases in policy/deposit rates, balance sheet runoff/quantitative tightening, reduced TLTRO support</w:t>
            </w:r>
          </w:p>
        </w:tc>
        <w:tc>
          <w:tcPr>
            <w:tcW w:w="2859" w:type="dxa"/>
          </w:tcPr>
          <w:p w14:paraId="278F84D4" w14:textId="77777777" w:rsidR="00C044BB" w:rsidRDefault="00C044BB" w:rsidP="00C044BB">
            <w:r>
              <w:t>N/A</w:t>
            </w:r>
          </w:p>
        </w:tc>
      </w:tr>
      <w:tr w:rsidR="00C044BB" w14:paraId="55CD6D12" w14:textId="77777777" w:rsidTr="00C044BB">
        <w:tblPrEx>
          <w:tblCellMar>
            <w:top w:w="0" w:type="dxa"/>
            <w:bottom w:w="0" w:type="dxa"/>
          </w:tblCellMar>
        </w:tblPrEx>
        <w:tc>
          <w:tcPr>
            <w:tcW w:w="2309" w:type="dxa"/>
          </w:tcPr>
          <w:p w14:paraId="16B252FF" w14:textId="77777777" w:rsidR="00C044BB" w:rsidRDefault="00C044BB" w:rsidP="00C044BB">
            <w:r>
              <w:t>Money Supply</w:t>
            </w:r>
          </w:p>
        </w:tc>
        <w:tc>
          <w:tcPr>
            <w:tcW w:w="2866" w:type="dxa"/>
          </w:tcPr>
          <w:p w14:paraId="5226C1C0" w14:textId="77777777" w:rsidR="00C044BB" w:rsidRDefault="00C044BB" w:rsidP="00C044BB">
            <w:r>
              <w:t>money supply (M3) growth is low, increased demand for loans, easing of credit conditions</w:t>
            </w:r>
          </w:p>
        </w:tc>
        <w:tc>
          <w:tcPr>
            <w:tcW w:w="2866" w:type="dxa"/>
          </w:tcPr>
          <w:p w14:paraId="33E3B6AC" w14:textId="77777777" w:rsidR="00C044BB" w:rsidRDefault="00C044BB" w:rsidP="00C044BB">
            <w:r>
              <w:t>money supply (M3) growth is high, tightening of credit conditions, reduced demand for loans</w:t>
            </w:r>
          </w:p>
        </w:tc>
        <w:tc>
          <w:tcPr>
            <w:tcW w:w="2859" w:type="dxa"/>
          </w:tcPr>
          <w:p w14:paraId="41E3A8BF" w14:textId="77777777" w:rsidR="00C044BB" w:rsidRDefault="00C044BB" w:rsidP="00C044BB">
            <w:r>
              <w:t>N/A</w:t>
            </w:r>
          </w:p>
        </w:tc>
      </w:tr>
      <w:tr w:rsidR="00C044BB" w14:paraId="337AE1DE" w14:textId="77777777" w:rsidTr="00C044BB">
        <w:tblPrEx>
          <w:tblCellMar>
            <w:top w:w="0" w:type="dxa"/>
            <w:bottom w:w="0" w:type="dxa"/>
          </w:tblCellMar>
        </w:tblPrEx>
        <w:tc>
          <w:tcPr>
            <w:tcW w:w="2309" w:type="dxa"/>
          </w:tcPr>
          <w:p w14:paraId="44DE2288" w14:textId="77777777" w:rsidR="00C044BB" w:rsidRDefault="00C044BB" w:rsidP="00C044BB">
            <w:r>
              <w:t>Key Words/Phrases</w:t>
            </w:r>
          </w:p>
        </w:tc>
        <w:tc>
          <w:tcPr>
            <w:tcW w:w="2866" w:type="dxa"/>
          </w:tcPr>
          <w:p w14:paraId="18DF90D4" w14:textId="77777777" w:rsidR="00C044BB" w:rsidRDefault="00C044BB" w:rsidP="00C044BB">
            <w:r>
              <w:t>indicating a focus on "patience," "gradual," "accommodative," "supporting the recovery"</w:t>
            </w:r>
          </w:p>
        </w:tc>
        <w:tc>
          <w:tcPr>
            <w:tcW w:w="2866" w:type="dxa"/>
          </w:tcPr>
          <w:p w14:paraId="53C3CB30" w14:textId="77777777" w:rsidR="00C044BB" w:rsidRDefault="00C044BB" w:rsidP="00C044BB">
            <w:r>
              <w:t>indicating a focus on "vigilance," "act decisively," "restrictive stance," "sustained," "durably"</w:t>
            </w:r>
          </w:p>
        </w:tc>
        <w:tc>
          <w:tcPr>
            <w:tcW w:w="2859" w:type="dxa"/>
          </w:tcPr>
          <w:p w14:paraId="1956D6CB" w14:textId="77777777" w:rsidR="00C044BB" w:rsidRDefault="00C044BB" w:rsidP="00C044BB">
            <w:r>
              <w:t>use of phrases "mixed," "balanced," "data-dependent," "in line with our medium-term target," "meeting-by-meeting"</w:t>
            </w:r>
          </w:p>
        </w:tc>
      </w:tr>
      <w:tr w:rsidR="00C044BB" w14:paraId="1F12D2FA" w14:textId="77777777" w:rsidTr="00C044BB">
        <w:tblPrEx>
          <w:tblCellMar>
            <w:top w:w="0" w:type="dxa"/>
            <w:bottom w:w="0" w:type="dxa"/>
          </w:tblCellMar>
        </w:tblPrEx>
        <w:tc>
          <w:tcPr>
            <w:tcW w:w="2309" w:type="dxa"/>
          </w:tcPr>
          <w:p w14:paraId="0C37DD5D" w14:textId="77777777" w:rsidR="00C044BB" w:rsidRDefault="00C044BB" w:rsidP="00C044BB">
            <w:r>
              <w:t>Labor</w:t>
            </w:r>
          </w:p>
        </w:tc>
        <w:tc>
          <w:tcPr>
            <w:tcW w:w="2866" w:type="dxa"/>
          </w:tcPr>
          <w:p w14:paraId="5633F8D9" w14:textId="77777777" w:rsidR="00C044BB" w:rsidRDefault="00C044BB" w:rsidP="00C044BB">
            <w:r>
              <w:t>when productivity increases</w:t>
            </w:r>
          </w:p>
        </w:tc>
        <w:tc>
          <w:tcPr>
            <w:tcW w:w="2866" w:type="dxa"/>
          </w:tcPr>
          <w:p w14:paraId="22DE8249" w14:textId="77777777" w:rsidR="00C044BB" w:rsidRDefault="00C044BB" w:rsidP="00C044BB">
            <w:r>
              <w:t>when productivity decreases</w:t>
            </w:r>
          </w:p>
        </w:tc>
        <w:tc>
          <w:tcPr>
            <w:tcW w:w="2859" w:type="dxa"/>
          </w:tcPr>
          <w:p w14:paraId="4D39021C" w14:textId="77777777" w:rsidR="00C044BB" w:rsidRDefault="00C044BB" w:rsidP="00C044BB">
            <w:r>
              <w:t>N/A</w:t>
            </w:r>
          </w:p>
        </w:tc>
      </w:tr>
    </w:tbl>
    <w:p w14:paraId="0ADA7ECE" w14:textId="77777777" w:rsidR="004F23CC" w:rsidRDefault="004F23CC"/>
    <w:p w14:paraId="2A477BEC" w14:textId="30347C64" w:rsidR="004F23CC" w:rsidRDefault="004F23CC"/>
    <w:sectPr w:rsidR="004F23C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9B0E7F"/>
    <w:multiLevelType w:val="hybridMultilevel"/>
    <w:tmpl w:val="933CD994"/>
    <w:lvl w:ilvl="0" w:tplc="A588CC3C">
      <w:start w:val="1"/>
      <w:numFmt w:val="bullet"/>
      <w:lvlText w:val="●"/>
      <w:lvlJc w:val="left"/>
      <w:pPr>
        <w:ind w:left="720" w:hanging="360"/>
      </w:pPr>
    </w:lvl>
    <w:lvl w:ilvl="1" w:tplc="D3E6A09A">
      <w:start w:val="1"/>
      <w:numFmt w:val="bullet"/>
      <w:lvlText w:val="○"/>
      <w:lvlJc w:val="left"/>
      <w:pPr>
        <w:ind w:left="1440" w:hanging="360"/>
      </w:pPr>
    </w:lvl>
    <w:lvl w:ilvl="2" w:tplc="BF64E566">
      <w:start w:val="1"/>
      <w:numFmt w:val="bullet"/>
      <w:lvlText w:val="■"/>
      <w:lvlJc w:val="left"/>
      <w:pPr>
        <w:ind w:left="2160" w:hanging="360"/>
      </w:pPr>
    </w:lvl>
    <w:lvl w:ilvl="3" w:tplc="1CCAC4B6">
      <w:start w:val="1"/>
      <w:numFmt w:val="bullet"/>
      <w:lvlText w:val="●"/>
      <w:lvlJc w:val="left"/>
      <w:pPr>
        <w:ind w:left="2880" w:hanging="360"/>
      </w:pPr>
    </w:lvl>
    <w:lvl w:ilvl="4" w:tplc="05CA9862">
      <w:start w:val="1"/>
      <w:numFmt w:val="bullet"/>
      <w:lvlText w:val="○"/>
      <w:lvlJc w:val="left"/>
      <w:pPr>
        <w:ind w:left="3600" w:hanging="360"/>
      </w:pPr>
    </w:lvl>
    <w:lvl w:ilvl="5" w:tplc="66DECF82">
      <w:start w:val="1"/>
      <w:numFmt w:val="bullet"/>
      <w:lvlText w:val="■"/>
      <w:lvlJc w:val="left"/>
      <w:pPr>
        <w:ind w:left="4320" w:hanging="360"/>
      </w:pPr>
    </w:lvl>
    <w:lvl w:ilvl="6" w:tplc="6DA240E0">
      <w:start w:val="1"/>
      <w:numFmt w:val="bullet"/>
      <w:lvlText w:val="●"/>
      <w:lvlJc w:val="left"/>
      <w:pPr>
        <w:ind w:left="5040" w:hanging="360"/>
      </w:pPr>
    </w:lvl>
    <w:lvl w:ilvl="7" w:tplc="434892A6">
      <w:start w:val="1"/>
      <w:numFmt w:val="bullet"/>
      <w:lvlText w:val="●"/>
      <w:lvlJc w:val="left"/>
      <w:pPr>
        <w:ind w:left="5760" w:hanging="360"/>
      </w:pPr>
    </w:lvl>
    <w:lvl w:ilvl="8" w:tplc="6FA0B81C">
      <w:start w:val="1"/>
      <w:numFmt w:val="bullet"/>
      <w:lvlText w:val="●"/>
      <w:lvlJc w:val="left"/>
      <w:pPr>
        <w:ind w:left="6480" w:hanging="360"/>
      </w:pPr>
    </w:lvl>
  </w:abstractNum>
  <w:num w:numId="1" w16cid:durableId="9514047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3CC"/>
    <w:rsid w:val="004F23CC"/>
    <w:rsid w:val="00C044BB"/>
    <w:rsid w:val="00CA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1E96F"/>
  <w15:docId w15:val="{763EFF0E-55BA-F449-B3E6-D63A1DB3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UBERTI BONA BLOTTO LORENZO ALESSANDRO</cp:lastModifiedBy>
  <cp:revision>2</cp:revision>
  <dcterms:created xsi:type="dcterms:W3CDTF">2026-07-24T13:47:00Z</dcterms:created>
  <dcterms:modified xsi:type="dcterms:W3CDTF">2026-07-29T07:36:00Z</dcterms:modified>
</cp:coreProperties>
</file>