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ED9D" w14:textId="43C299A6" w:rsidR="0003277F" w:rsidRDefault="0003277F" w:rsidP="0003277F">
      <w:pPr>
        <w:spacing w:before="100" w:beforeAutospacing="1" w:after="100" w:afterAutospacing="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Claude</w:t>
      </w:r>
    </w:p>
    <w:p w14:paraId="20BAE0C9" w14:textId="77777777" w:rsidR="0003277F" w:rsidRDefault="0003277F" w:rsidP="0003277F">
      <w:pPr>
        <w:spacing w:before="100" w:beforeAutospacing="1" w:after="100" w:afterAutospacing="1"/>
        <w:rPr>
          <w:rFonts w:ascii="Times New Roman" w:eastAsia="Times New Roman" w:hAnsi="Times New Roman" w:cs="Times New Roman"/>
          <w:b/>
          <w:bCs/>
          <w:color w:val="000000"/>
          <w:kern w:val="0"/>
          <w:lang w:eastAsia="en-GB"/>
          <w14:ligatures w14:val="none"/>
        </w:rPr>
      </w:pPr>
    </w:p>
    <w:p w14:paraId="2C9F20B5" w14:textId="7B846245"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Do Bayesian DSGE Models Deny the Importance of Unit Roots in Shock Processes?</w:t>
      </w:r>
    </w:p>
    <w:p w14:paraId="6FB698C4" w14:textId="77777777" w:rsidR="0003277F" w:rsidRPr="0003277F" w:rsidRDefault="001940C0" w:rsidP="0003277F">
      <w:pPr>
        <w:rPr>
          <w:rFonts w:ascii="Times New Roman" w:eastAsia="Times New Roman" w:hAnsi="Times New Roman" w:cs="Times New Roman"/>
          <w:kern w:val="0"/>
          <w:lang w:eastAsia="en-GB"/>
          <w14:ligatures w14:val="none"/>
        </w:rPr>
      </w:pPr>
      <w:r w:rsidRPr="001940C0">
        <w:rPr>
          <w:rFonts w:ascii="Times New Roman" w:eastAsia="Times New Roman" w:hAnsi="Times New Roman" w:cs="Times New Roman"/>
          <w:noProof/>
          <w:kern w:val="0"/>
          <w:lang w:eastAsia="en-GB"/>
        </w:rPr>
        <w:pict w14:anchorId="211BABDC">
          <v:rect id="_x0000_i1033" alt="" style="width:451.3pt;height:.05pt;mso-width-percent:0;mso-height-percent:0;mso-width-percent:0;mso-height-percent:0" o:hralign="center" o:hrstd="t" o:hr="t" fillcolor="#a0a0a0" stroked="f"/>
        </w:pict>
      </w:r>
    </w:p>
    <w:p w14:paraId="4B0F8F50"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Short answer: Yes, largely — and this is a well-documented criticism.</w:t>
      </w:r>
    </w:p>
    <w:p w14:paraId="2EF9D07F" w14:textId="77777777" w:rsidR="0003277F" w:rsidRPr="0003277F" w:rsidRDefault="001940C0" w:rsidP="0003277F">
      <w:pPr>
        <w:rPr>
          <w:rFonts w:ascii="Times New Roman" w:eastAsia="Times New Roman" w:hAnsi="Times New Roman" w:cs="Times New Roman"/>
          <w:kern w:val="0"/>
          <w:lang w:eastAsia="en-GB"/>
          <w14:ligatures w14:val="none"/>
        </w:rPr>
      </w:pPr>
      <w:r w:rsidRPr="001940C0">
        <w:rPr>
          <w:rFonts w:ascii="Times New Roman" w:eastAsia="Times New Roman" w:hAnsi="Times New Roman" w:cs="Times New Roman"/>
          <w:noProof/>
          <w:kern w:val="0"/>
          <w:lang w:eastAsia="en-GB"/>
        </w:rPr>
        <w:pict w14:anchorId="145BD04A">
          <v:rect id="_x0000_i1032" alt="" style="width:451.3pt;height:.05pt;mso-width-percent:0;mso-height-percent:0;mso-width-percent:0;mso-height-percent:0" o:hralign="center" o:hrstd="t" o:hr="t" fillcolor="#a0a0a0" stroked="f"/>
        </w:pict>
      </w:r>
    </w:p>
    <w:p w14:paraId="40C06936"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What Smets &amp; Wouters (2003, 2007) actually do</w:t>
      </w:r>
    </w:p>
    <w:p w14:paraId="309104A0"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In the Smets &amp; Wouters model, every structural equation has an attached AR(1) shock process of the form:</w:t>
      </w:r>
    </w:p>
    <w:p w14:paraId="466B36F5"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$$\varepsilon_{t} = \rho\varepsilon_{t-1} + \eta_{t}$$</w:t>
      </w:r>
    </w:p>
    <w:p w14:paraId="1A281DC3"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When estimated on US and Euro Area data, several of these $\rho$ parameters come back extremely close to 1. For example their price markup shock and wage markup shock routinely have $\rho &gt; 0.9$. Rather than treating this as evidence of a unit root, the Bayesian prior is typically set as a Beta distribution bounded strictly below 1, which forces stationarity by assumption. The prior essentially rules out unit roots before the data even gets a say.</w:t>
      </w:r>
    </w:p>
    <w:p w14:paraId="100A83A1" w14:textId="77777777" w:rsidR="0003277F" w:rsidRPr="0003277F" w:rsidRDefault="001940C0" w:rsidP="0003277F">
      <w:pPr>
        <w:rPr>
          <w:rFonts w:ascii="Times New Roman" w:eastAsia="Times New Roman" w:hAnsi="Times New Roman" w:cs="Times New Roman"/>
          <w:kern w:val="0"/>
          <w:lang w:eastAsia="en-GB"/>
          <w14:ligatures w14:val="none"/>
        </w:rPr>
      </w:pPr>
      <w:r w:rsidRPr="001940C0">
        <w:rPr>
          <w:rFonts w:ascii="Times New Roman" w:eastAsia="Times New Roman" w:hAnsi="Times New Roman" w:cs="Times New Roman"/>
          <w:noProof/>
          <w:kern w:val="0"/>
          <w:lang w:eastAsia="en-GB"/>
        </w:rPr>
        <w:pict w14:anchorId="0782953D">
          <v:rect id="_x0000_i1031" alt="" style="width:451.3pt;height:.05pt;mso-width-percent:0;mso-height-percent:0;mso-width-percent:0;mso-height-percent:0" o:hralign="center" o:hrstd="t" o:hr="t" fillcolor="#a0a0a0" stroked="f"/>
        </w:pict>
      </w:r>
    </w:p>
    <w:p w14:paraId="7E687D65"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The Paul Romer Critique (2016)</w:t>
      </w:r>
    </w:p>
    <w:p w14:paraId="099F7797"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Romer's critique, titled "The Trouble with Macroeconomics", argued that DSGE shocks are effectively meaningless — they are just residuals with names attached. His key point was that when a model cannot explain persistent movements in the data, it invents a persistent shock to absorb them. The "insightful name" (technology shock, preference shock etc.) gives the appearance of economic content when in reality it is just capturing model misspecification. The near-unit-root behaviour of these shocks is therefore a symptom of the model failing, not a genuine structural finding.</w:t>
      </w:r>
    </w:p>
    <w:p w14:paraId="45BBA4E9" w14:textId="77777777" w:rsidR="0003277F" w:rsidRPr="0003277F" w:rsidRDefault="001940C0" w:rsidP="0003277F">
      <w:pPr>
        <w:rPr>
          <w:rFonts w:ascii="Times New Roman" w:eastAsia="Times New Roman" w:hAnsi="Times New Roman" w:cs="Times New Roman"/>
          <w:kern w:val="0"/>
          <w:lang w:eastAsia="en-GB"/>
          <w14:ligatures w14:val="none"/>
        </w:rPr>
      </w:pPr>
      <w:r w:rsidRPr="001940C0">
        <w:rPr>
          <w:rFonts w:ascii="Times New Roman" w:eastAsia="Times New Roman" w:hAnsi="Times New Roman" w:cs="Times New Roman"/>
          <w:noProof/>
          <w:kern w:val="0"/>
          <w:lang w:eastAsia="en-GB"/>
        </w:rPr>
        <w:pict w14:anchorId="5DE929B0">
          <v:rect id="_x0000_i1030" alt="" style="width:451.3pt;height:.05pt;mso-width-percent:0;mso-height-percent:0;mso-width-percent:0;mso-height-percent:0" o:hralign="center" o:hrstd="t" o:hr="t" fillcolor="#a0a0a0" stroked="f"/>
        </w:pict>
      </w:r>
    </w:p>
    <w:p w14:paraId="4AB25C4E"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Is this valid in a VAR or VECM context?</w:t>
      </w:r>
    </w:p>
    <w:p w14:paraId="378BF820"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This is where your earlier work connects directly. You have already shown that:</w:t>
      </w:r>
    </w:p>
    <w:p w14:paraId="0FBAAAA9" w14:textId="77777777" w:rsidR="0003277F" w:rsidRPr="0003277F" w:rsidRDefault="0003277F" w:rsidP="0003277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Your inflation and interest rate series are I(1) or near I(1)</w:t>
      </w:r>
    </w:p>
    <w:p w14:paraId="0731D05E" w14:textId="77777777" w:rsidR="0003277F" w:rsidRPr="0003277F" w:rsidRDefault="0003277F" w:rsidP="0003277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Classical ADF and KPSS tests flag non-stationarity</w:t>
      </w:r>
    </w:p>
    <w:p w14:paraId="1D1357C1" w14:textId="77777777" w:rsidR="0003277F" w:rsidRPr="0003277F" w:rsidRDefault="0003277F" w:rsidP="0003277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Your AR(2) roots for interest rates exceed the unit circle</w:t>
      </w:r>
    </w:p>
    <w:p w14:paraId="0A1A4409"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In a VAR or VECM framework you cannot simply assume stationarity away. The standard approach is:</w:t>
      </w:r>
    </w:p>
    <w:p w14:paraId="2CB0B43C" w14:textId="77777777" w:rsidR="0003277F" w:rsidRPr="0003277F" w:rsidRDefault="0003277F" w:rsidP="0003277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lastRenderedPageBreak/>
        <w:t>If series are I(1) but </w:t>
      </w:r>
      <w:r w:rsidRPr="0003277F">
        <w:rPr>
          <w:rFonts w:ascii="Times New Roman" w:eastAsia="Times New Roman" w:hAnsi="Times New Roman" w:cs="Times New Roman"/>
          <w:b/>
          <w:bCs/>
          <w:color w:val="000000"/>
          <w:kern w:val="0"/>
          <w:lang w:eastAsia="en-GB"/>
          <w14:ligatures w14:val="none"/>
        </w:rPr>
        <w:t>not cointegrated</w:t>
      </w:r>
      <w:r w:rsidRPr="0003277F">
        <w:rPr>
          <w:rFonts w:ascii="Times New Roman" w:eastAsia="Times New Roman" w:hAnsi="Times New Roman" w:cs="Times New Roman"/>
          <w:color w:val="000000"/>
          <w:kern w:val="0"/>
          <w:lang w:eastAsia="en-GB"/>
          <w14:ligatures w14:val="none"/>
        </w:rPr>
        <w:t> → take first differences → VAR in differences</w:t>
      </w:r>
    </w:p>
    <w:p w14:paraId="11FF26A9" w14:textId="77777777" w:rsidR="0003277F" w:rsidRPr="0003277F" w:rsidRDefault="0003277F" w:rsidP="0003277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If series are I(1) and </w:t>
      </w:r>
      <w:r w:rsidRPr="0003277F">
        <w:rPr>
          <w:rFonts w:ascii="Times New Roman" w:eastAsia="Times New Roman" w:hAnsi="Times New Roman" w:cs="Times New Roman"/>
          <w:b/>
          <w:bCs/>
          <w:color w:val="000000"/>
          <w:kern w:val="0"/>
          <w:lang w:eastAsia="en-GB"/>
          <w14:ligatures w14:val="none"/>
        </w:rPr>
        <w:t>cointegrated</w:t>
      </w:r>
      <w:r w:rsidRPr="0003277F">
        <w:rPr>
          <w:rFonts w:ascii="Times New Roman" w:eastAsia="Times New Roman" w:hAnsi="Times New Roman" w:cs="Times New Roman"/>
          <w:color w:val="000000"/>
          <w:kern w:val="0"/>
          <w:lang w:eastAsia="en-GB"/>
          <w14:ligatures w14:val="none"/>
        </w:rPr>
        <w:t> → use a VECM which explicitly models the long-run relationship</w:t>
      </w:r>
    </w:p>
    <w:p w14:paraId="047AD21A"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Bayesian DSGE estimation sidesteps this entirely by placing priors that constrain $\rho &lt; 1$, which means the model never has to confront the unit root question formally. This is epistemically problematic because as Sims (1988) argued, placing tight priors on persistence parameters is equivalent to making strong identifying assumptions that the data cannot overturn.</w:t>
      </w:r>
    </w:p>
    <w:p w14:paraId="76DAE577" w14:textId="77777777" w:rsidR="0003277F" w:rsidRPr="0003277F" w:rsidRDefault="001940C0" w:rsidP="0003277F">
      <w:pPr>
        <w:rPr>
          <w:rFonts w:ascii="Times New Roman" w:eastAsia="Times New Roman" w:hAnsi="Times New Roman" w:cs="Times New Roman"/>
          <w:kern w:val="0"/>
          <w:lang w:eastAsia="en-GB"/>
          <w14:ligatures w14:val="none"/>
        </w:rPr>
      </w:pPr>
      <w:r w:rsidRPr="001940C0">
        <w:rPr>
          <w:rFonts w:ascii="Times New Roman" w:eastAsia="Times New Roman" w:hAnsi="Times New Roman" w:cs="Times New Roman"/>
          <w:noProof/>
          <w:kern w:val="0"/>
          <w:lang w:eastAsia="en-GB"/>
        </w:rPr>
        <w:pict w14:anchorId="0E32AF67">
          <v:rect id="_x0000_i1029" alt="" style="width:451.3pt;height:.05pt;mso-width-percent:0;mso-height-percent:0;mso-width-percent:0;mso-height-percent:0" o:hralign="center" o:hrstd="t" o:hr="t" fillcolor="#a0a0a0" stroked="f"/>
        </w:pict>
      </w:r>
    </w:p>
    <w:p w14:paraId="46A20502"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The broader implication for your work</w:t>
      </w:r>
    </w:p>
    <w:p w14:paraId="50A70474"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The fact that your rolling window analysis shows inflation persistence changing dramatically across regimes (the Lucas critique result you documented) is actually further evidence against the DSGE approach. A DSGE model with a fixed $\rho$ on the inflation shock cannot accommodate regime-dependent persistence — it will simply absorb the structural break into a larger shock variance rather than recognising it as a change in the data-generating process.</w:t>
      </w:r>
    </w:p>
    <w:p w14:paraId="3262B11B" w14:textId="77777777" w:rsidR="0003277F" w:rsidRPr="0003277F" w:rsidRDefault="001940C0" w:rsidP="0003277F">
      <w:pPr>
        <w:rPr>
          <w:rFonts w:ascii="Times New Roman" w:eastAsia="Times New Roman" w:hAnsi="Times New Roman" w:cs="Times New Roman"/>
          <w:kern w:val="0"/>
          <w:lang w:eastAsia="en-GB"/>
          <w14:ligatures w14:val="none"/>
        </w:rPr>
      </w:pPr>
      <w:r w:rsidRPr="001940C0">
        <w:rPr>
          <w:rFonts w:ascii="Times New Roman" w:eastAsia="Times New Roman" w:hAnsi="Times New Roman" w:cs="Times New Roman"/>
          <w:noProof/>
          <w:kern w:val="0"/>
          <w:lang w:eastAsia="en-GB"/>
        </w:rPr>
        <w:pict w14:anchorId="70EF162A">
          <v:rect id="_x0000_i1028" alt="" style="width:451.3pt;height:.05pt;mso-width-percent:0;mso-height-percent:0;mso-width-percent:0;mso-height-percent:0" o:hralign="center" o:hrstd="t" o:hr="t" fillcolor="#a0a0a0" stroked="f"/>
        </w:pict>
      </w:r>
    </w:p>
    <w:p w14:paraId="0F311FEB"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920"/>
        <w:gridCol w:w="2995"/>
      </w:tblGrid>
      <w:tr w:rsidR="0003277F" w:rsidRPr="0003277F" w14:paraId="118D1FFA" w14:textId="77777777">
        <w:trPr>
          <w:tblHeader/>
          <w:tblCellSpacing w:w="15" w:type="dxa"/>
        </w:trPr>
        <w:tc>
          <w:tcPr>
            <w:tcW w:w="0" w:type="auto"/>
            <w:vAlign w:val="center"/>
            <w:hideMark/>
          </w:tcPr>
          <w:p w14:paraId="6AA23C4E" w14:textId="77777777" w:rsidR="0003277F" w:rsidRPr="0003277F" w:rsidRDefault="0003277F" w:rsidP="0003277F">
            <w:pPr>
              <w:jc w:val="center"/>
              <w:rPr>
                <w:rFonts w:ascii="Times New Roman" w:eastAsia="Times New Roman" w:hAnsi="Times New Roman" w:cs="Times New Roman"/>
                <w:b/>
                <w:bCs/>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Issue</w:t>
            </w:r>
          </w:p>
        </w:tc>
        <w:tc>
          <w:tcPr>
            <w:tcW w:w="0" w:type="auto"/>
            <w:vAlign w:val="center"/>
            <w:hideMark/>
          </w:tcPr>
          <w:p w14:paraId="6CF0768B" w14:textId="77777777" w:rsidR="0003277F" w:rsidRPr="0003277F" w:rsidRDefault="0003277F" w:rsidP="0003277F">
            <w:pPr>
              <w:jc w:val="center"/>
              <w:rPr>
                <w:rFonts w:ascii="Times New Roman" w:eastAsia="Times New Roman" w:hAnsi="Times New Roman" w:cs="Times New Roman"/>
                <w:b/>
                <w:bCs/>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DSGE/Bayesian Approach</w:t>
            </w:r>
          </w:p>
        </w:tc>
        <w:tc>
          <w:tcPr>
            <w:tcW w:w="0" w:type="auto"/>
            <w:vAlign w:val="center"/>
            <w:hideMark/>
          </w:tcPr>
          <w:p w14:paraId="60009626" w14:textId="77777777" w:rsidR="0003277F" w:rsidRPr="0003277F" w:rsidRDefault="0003277F" w:rsidP="0003277F">
            <w:pPr>
              <w:jc w:val="center"/>
              <w:rPr>
                <w:rFonts w:ascii="Times New Roman" w:eastAsia="Times New Roman" w:hAnsi="Times New Roman" w:cs="Times New Roman"/>
                <w:b/>
                <w:bCs/>
                <w:color w:val="000000"/>
                <w:kern w:val="0"/>
                <w:lang w:eastAsia="en-GB"/>
                <w14:ligatures w14:val="none"/>
              </w:rPr>
            </w:pPr>
            <w:r w:rsidRPr="0003277F">
              <w:rPr>
                <w:rFonts w:ascii="Times New Roman" w:eastAsia="Times New Roman" w:hAnsi="Times New Roman" w:cs="Times New Roman"/>
                <w:b/>
                <w:bCs/>
                <w:color w:val="000000"/>
                <w:kern w:val="0"/>
                <w:lang w:eastAsia="en-GB"/>
                <w14:ligatures w14:val="none"/>
              </w:rPr>
              <w:t>VAR/VECM Approach</w:t>
            </w:r>
          </w:p>
        </w:tc>
      </w:tr>
      <w:tr w:rsidR="0003277F" w:rsidRPr="0003277F" w14:paraId="69B8253C" w14:textId="77777777">
        <w:trPr>
          <w:tblCellSpacing w:w="15" w:type="dxa"/>
        </w:trPr>
        <w:tc>
          <w:tcPr>
            <w:tcW w:w="0" w:type="auto"/>
            <w:vAlign w:val="center"/>
            <w:hideMark/>
          </w:tcPr>
          <w:p w14:paraId="6E106A12"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Unit roots in shocks</w:t>
            </w:r>
          </w:p>
        </w:tc>
        <w:tc>
          <w:tcPr>
            <w:tcW w:w="0" w:type="auto"/>
            <w:vAlign w:val="center"/>
            <w:hideMark/>
          </w:tcPr>
          <w:p w14:paraId="06C233D9"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Ruled out by prior</w:t>
            </w:r>
          </w:p>
        </w:tc>
        <w:tc>
          <w:tcPr>
            <w:tcW w:w="0" w:type="auto"/>
            <w:vAlign w:val="center"/>
            <w:hideMark/>
          </w:tcPr>
          <w:p w14:paraId="634BB052"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Tested formally (ADF, KPSS)</w:t>
            </w:r>
          </w:p>
        </w:tc>
      </w:tr>
      <w:tr w:rsidR="0003277F" w:rsidRPr="0003277F" w14:paraId="71C7CFDA" w14:textId="77777777">
        <w:trPr>
          <w:tblCellSpacing w:w="15" w:type="dxa"/>
        </w:trPr>
        <w:tc>
          <w:tcPr>
            <w:tcW w:w="0" w:type="auto"/>
            <w:vAlign w:val="center"/>
            <w:hideMark/>
          </w:tcPr>
          <w:p w14:paraId="58795AC4"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Persistent shocks</w:t>
            </w:r>
          </w:p>
        </w:tc>
        <w:tc>
          <w:tcPr>
            <w:tcW w:w="0" w:type="auto"/>
            <w:vAlign w:val="center"/>
            <w:hideMark/>
          </w:tcPr>
          <w:p w14:paraId="429C0797"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Named and retained</w:t>
            </w:r>
          </w:p>
        </w:tc>
        <w:tc>
          <w:tcPr>
            <w:tcW w:w="0" w:type="auto"/>
            <w:vAlign w:val="center"/>
            <w:hideMark/>
          </w:tcPr>
          <w:p w14:paraId="76DC0564"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Differenced or cointegrated</w:t>
            </w:r>
          </w:p>
        </w:tc>
      </w:tr>
      <w:tr w:rsidR="0003277F" w:rsidRPr="0003277F" w14:paraId="58E5510F" w14:textId="77777777">
        <w:trPr>
          <w:tblCellSpacing w:w="15" w:type="dxa"/>
        </w:trPr>
        <w:tc>
          <w:tcPr>
            <w:tcW w:w="0" w:type="auto"/>
            <w:vAlign w:val="center"/>
            <w:hideMark/>
          </w:tcPr>
          <w:p w14:paraId="197DC812"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Structural breaks</w:t>
            </w:r>
          </w:p>
        </w:tc>
        <w:tc>
          <w:tcPr>
            <w:tcW w:w="0" w:type="auto"/>
            <w:vAlign w:val="center"/>
            <w:hideMark/>
          </w:tcPr>
          <w:p w14:paraId="09712758"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Absorbed into shock variance</w:t>
            </w:r>
          </w:p>
        </w:tc>
        <w:tc>
          <w:tcPr>
            <w:tcW w:w="0" w:type="auto"/>
            <w:vAlign w:val="center"/>
            <w:hideMark/>
          </w:tcPr>
          <w:p w14:paraId="54FF1569"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Detected via rolling windows</w:t>
            </w:r>
          </w:p>
        </w:tc>
      </w:tr>
      <w:tr w:rsidR="0003277F" w:rsidRPr="0003277F" w14:paraId="6CBD3AB6" w14:textId="77777777">
        <w:trPr>
          <w:tblCellSpacing w:w="15" w:type="dxa"/>
        </w:trPr>
        <w:tc>
          <w:tcPr>
            <w:tcW w:w="0" w:type="auto"/>
            <w:vAlign w:val="center"/>
            <w:hideMark/>
          </w:tcPr>
          <w:p w14:paraId="70638636"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Policy invariance</w:t>
            </w:r>
          </w:p>
        </w:tc>
        <w:tc>
          <w:tcPr>
            <w:tcW w:w="0" w:type="auto"/>
            <w:vAlign w:val="center"/>
            <w:hideMark/>
          </w:tcPr>
          <w:p w14:paraId="3520B6AF"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Assumed structural</w:t>
            </w:r>
          </w:p>
        </w:tc>
        <w:tc>
          <w:tcPr>
            <w:tcW w:w="0" w:type="auto"/>
            <w:vAlign w:val="center"/>
            <w:hideMark/>
          </w:tcPr>
          <w:p w14:paraId="430D3529"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Lucas critique applies</w:t>
            </w:r>
          </w:p>
        </w:tc>
      </w:tr>
      <w:tr w:rsidR="0003277F" w:rsidRPr="0003277F" w14:paraId="3328075A" w14:textId="77777777">
        <w:trPr>
          <w:tblCellSpacing w:w="15" w:type="dxa"/>
        </w:trPr>
        <w:tc>
          <w:tcPr>
            <w:tcW w:w="0" w:type="auto"/>
            <w:vAlign w:val="center"/>
            <w:hideMark/>
          </w:tcPr>
          <w:p w14:paraId="328249A2"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Identification</w:t>
            </w:r>
          </w:p>
        </w:tc>
        <w:tc>
          <w:tcPr>
            <w:tcW w:w="0" w:type="auto"/>
            <w:vAlign w:val="center"/>
            <w:hideMark/>
          </w:tcPr>
          <w:p w14:paraId="4B4FACE2"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Theoretical restrictions</w:t>
            </w:r>
          </w:p>
        </w:tc>
        <w:tc>
          <w:tcPr>
            <w:tcW w:w="0" w:type="auto"/>
            <w:vAlign w:val="center"/>
            <w:hideMark/>
          </w:tcPr>
          <w:p w14:paraId="4AA83C8F" w14:textId="77777777" w:rsidR="0003277F" w:rsidRPr="0003277F" w:rsidRDefault="0003277F" w:rsidP="0003277F">
            <w:pPr>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Data-driven (Cholesky, IV)</w:t>
            </w:r>
          </w:p>
        </w:tc>
      </w:tr>
    </w:tbl>
    <w:p w14:paraId="21AED386" w14:textId="77777777" w:rsidR="0003277F" w:rsidRPr="0003277F" w:rsidRDefault="0003277F" w:rsidP="0003277F">
      <w:pPr>
        <w:spacing w:before="100" w:beforeAutospacing="1" w:after="100" w:afterAutospacing="1"/>
        <w:rPr>
          <w:rFonts w:ascii="Times New Roman" w:eastAsia="Times New Roman" w:hAnsi="Times New Roman" w:cs="Times New Roman"/>
          <w:color w:val="000000"/>
          <w:kern w:val="0"/>
          <w:lang w:eastAsia="en-GB"/>
          <w14:ligatures w14:val="none"/>
        </w:rPr>
      </w:pPr>
      <w:r w:rsidRPr="0003277F">
        <w:rPr>
          <w:rFonts w:ascii="Times New Roman" w:eastAsia="Times New Roman" w:hAnsi="Times New Roman" w:cs="Times New Roman"/>
          <w:color w:val="000000"/>
          <w:kern w:val="0"/>
          <w:lang w:eastAsia="en-GB"/>
          <w14:ligatures w14:val="none"/>
        </w:rPr>
        <w:t>The bottom line is that Bayesian DSGE estimation does not so much deny unit roots as quietly assume them away through prior specification — which from a time series econometrics standpoint is not a valid substitute for formal testing.</w:t>
      </w:r>
    </w:p>
    <w:p w14:paraId="464AEF24" w14:textId="77777777" w:rsidR="00EA7107" w:rsidRDefault="00EA7107"/>
    <w:p w14:paraId="4A6BA690" w14:textId="77777777" w:rsidR="0003277F" w:rsidRDefault="0003277F"/>
    <w:p w14:paraId="57773942" w14:textId="77777777" w:rsidR="0003277F" w:rsidRDefault="0003277F"/>
    <w:p w14:paraId="0C9A9D2D" w14:textId="11285407" w:rsidR="0003277F" w:rsidRDefault="0003277F">
      <w:r>
        <w:t>Gemini</w:t>
      </w:r>
    </w:p>
    <w:p w14:paraId="672883BB" w14:textId="77777777" w:rsidR="0003277F" w:rsidRDefault="0003277F"/>
    <w:p w14:paraId="201A7909"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color w:val="000000"/>
          <w:kern w:val="0"/>
          <w:lang w:eastAsia="en-GB"/>
          <w14:ligatures w14:val="none"/>
        </w:rPr>
        <w:t>This question touches on a deep and somewhat spicy debate in macro-econometrics regarding how Dynamic Stochastic General Equilibrium (DSGE) models handle persistence, especially compared to Vector Autoregression (VAR) or Vector Error Correction Models (VECM).</w:t>
      </w:r>
    </w:p>
    <w:p w14:paraId="32A20ABD"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color w:val="000000"/>
          <w:kern w:val="0"/>
          <w:lang w:eastAsia="en-GB"/>
          <w14:ligatures w14:val="none"/>
        </w:rPr>
        <w:t>Here is a breakdown of the core issues raised in the text:</w:t>
      </w:r>
    </w:p>
    <w:p w14:paraId="0D82BE8B" w14:textId="77777777" w:rsidR="0003277F" w:rsidRPr="0003277F" w:rsidRDefault="0003277F" w:rsidP="0003277F">
      <w:pPr>
        <w:spacing w:after="100" w:afterAutospacing="1"/>
        <w:outlineLvl w:val="2"/>
        <w:rPr>
          <w:rFonts w:ascii="Arial" w:eastAsia="Times New Roman" w:hAnsi="Arial" w:cs="Arial"/>
          <w:b/>
          <w:bCs/>
          <w:color w:val="000000"/>
          <w:kern w:val="0"/>
          <w:sz w:val="27"/>
          <w:szCs w:val="27"/>
          <w:lang w:eastAsia="en-GB"/>
          <w14:ligatures w14:val="none"/>
        </w:rPr>
      </w:pPr>
      <w:r w:rsidRPr="0003277F">
        <w:rPr>
          <w:rFonts w:ascii="Arial" w:eastAsia="Times New Roman" w:hAnsi="Arial" w:cs="Arial"/>
          <w:b/>
          <w:bCs/>
          <w:color w:val="000000"/>
          <w:kern w:val="0"/>
          <w:sz w:val="27"/>
          <w:szCs w:val="27"/>
          <w:lang w:eastAsia="en-GB"/>
          <w14:ligatures w14:val="none"/>
        </w:rPr>
        <w:t>1. The Validity of Unit Roots in VAR vs. VECM</w:t>
      </w:r>
    </w:p>
    <w:p w14:paraId="6BD491B7"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color w:val="000000"/>
          <w:kern w:val="0"/>
          <w:lang w:eastAsia="en-GB"/>
          <w14:ligatures w14:val="none"/>
        </w:rPr>
        <w:lastRenderedPageBreak/>
        <w:t>In standard econometrics, the treatment of "unit roots" (where a shock has a permanent effect) determines which model you should use:</w:t>
      </w:r>
    </w:p>
    <w:p w14:paraId="54E714A9" w14:textId="77777777" w:rsidR="0003277F" w:rsidRPr="0003277F" w:rsidRDefault="0003277F" w:rsidP="0003277F">
      <w:pPr>
        <w:numPr>
          <w:ilvl w:val="0"/>
          <w:numId w:val="3"/>
        </w:num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b/>
          <w:bCs/>
          <w:color w:val="000000"/>
          <w:kern w:val="0"/>
          <w:lang w:eastAsia="en-GB"/>
          <w14:ligatures w14:val="none"/>
        </w:rPr>
        <w:t>VAR (Vector Autoregression):</w:t>
      </w:r>
      <w:r w:rsidRPr="0003277F">
        <w:rPr>
          <w:rFonts w:ascii="Arial" w:eastAsia="Times New Roman" w:hAnsi="Arial" w:cs="Arial"/>
          <w:color w:val="000000"/>
          <w:kern w:val="0"/>
          <w:lang w:eastAsia="en-GB"/>
          <w14:ligatures w14:val="none"/>
        </w:rPr>
        <w:t> Standard VARs typically require variables to be </w:t>
      </w:r>
      <w:r w:rsidRPr="0003277F">
        <w:rPr>
          <w:rFonts w:ascii="Arial" w:eastAsia="Times New Roman" w:hAnsi="Arial" w:cs="Arial"/>
          <w:b/>
          <w:bCs/>
          <w:color w:val="000000"/>
          <w:kern w:val="0"/>
          <w:lang w:eastAsia="en-GB"/>
          <w14:ligatures w14:val="none"/>
        </w:rPr>
        <w:t>stationary</w:t>
      </w:r>
      <w:r w:rsidRPr="0003277F">
        <w:rPr>
          <w:rFonts w:ascii="Arial" w:eastAsia="Times New Roman" w:hAnsi="Arial" w:cs="Arial"/>
          <w:color w:val="000000"/>
          <w:kern w:val="0"/>
          <w:lang w:eastAsia="en-GB"/>
          <w14:ligatures w14:val="none"/>
        </w:rPr>
        <w:t>. If you have unit roots (non-stationary data) and you don't account for them (e.g., by differencing the data), the VAR results can be "spurious."</w:t>
      </w:r>
    </w:p>
    <w:p w14:paraId="401088E9" w14:textId="77777777" w:rsidR="0003277F" w:rsidRPr="0003277F" w:rsidRDefault="0003277F" w:rsidP="0003277F">
      <w:pPr>
        <w:numPr>
          <w:ilvl w:val="0"/>
          <w:numId w:val="3"/>
        </w:num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b/>
          <w:bCs/>
          <w:color w:val="000000"/>
          <w:kern w:val="0"/>
          <w:lang w:eastAsia="en-GB"/>
          <w14:ligatures w14:val="none"/>
        </w:rPr>
        <w:t>VECM (Vector Error Correction Model):</w:t>
      </w:r>
      <w:r w:rsidRPr="0003277F">
        <w:rPr>
          <w:rFonts w:ascii="Arial" w:eastAsia="Times New Roman" w:hAnsi="Arial" w:cs="Arial"/>
          <w:color w:val="000000"/>
          <w:kern w:val="0"/>
          <w:lang w:eastAsia="en-GB"/>
          <w14:ligatures w14:val="none"/>
        </w:rPr>
        <w:t> This is specifically designed for variables with </w:t>
      </w:r>
      <w:r w:rsidRPr="0003277F">
        <w:rPr>
          <w:rFonts w:ascii="Arial" w:eastAsia="Times New Roman" w:hAnsi="Arial" w:cs="Arial"/>
          <w:b/>
          <w:bCs/>
          <w:color w:val="000000"/>
          <w:kern w:val="0"/>
          <w:lang w:eastAsia="en-GB"/>
          <w14:ligatures w14:val="none"/>
        </w:rPr>
        <w:t>unit roots</w:t>
      </w:r>
      <w:r w:rsidRPr="0003277F">
        <w:rPr>
          <w:rFonts w:ascii="Arial" w:eastAsia="Times New Roman" w:hAnsi="Arial" w:cs="Arial"/>
          <w:color w:val="000000"/>
          <w:kern w:val="0"/>
          <w:lang w:eastAsia="en-GB"/>
          <w14:ligatures w14:val="none"/>
        </w:rPr>
        <w:t> that are </w:t>
      </w:r>
      <w:r w:rsidRPr="0003277F">
        <w:rPr>
          <w:rFonts w:ascii="Arial" w:eastAsia="Times New Roman" w:hAnsi="Arial" w:cs="Arial"/>
          <w:b/>
          <w:bCs/>
          <w:color w:val="000000"/>
          <w:kern w:val="0"/>
          <w:lang w:eastAsia="en-GB"/>
          <w14:ligatures w14:val="none"/>
        </w:rPr>
        <w:t>cointegrated</w:t>
      </w:r>
      <w:r w:rsidRPr="0003277F">
        <w:rPr>
          <w:rFonts w:ascii="Arial" w:eastAsia="Times New Roman" w:hAnsi="Arial" w:cs="Arial"/>
          <w:color w:val="000000"/>
          <w:kern w:val="0"/>
          <w:lang w:eastAsia="en-GB"/>
          <w14:ligatures w14:val="none"/>
        </w:rPr>
        <w:t>. It allows for long-run equilibrium relationships while modeling short-run dynamics.</w:t>
      </w:r>
    </w:p>
    <w:p w14:paraId="5561339A"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b/>
          <w:bCs/>
          <w:color w:val="000000"/>
          <w:kern w:val="0"/>
          <w:lang w:eastAsia="en-GB"/>
          <w14:ligatures w14:val="none"/>
        </w:rPr>
        <w:t>The Critique:</w:t>
      </w:r>
      <w:r w:rsidRPr="0003277F">
        <w:rPr>
          <w:rFonts w:ascii="Arial" w:eastAsia="Times New Roman" w:hAnsi="Arial" w:cs="Arial"/>
          <w:color w:val="000000"/>
          <w:kern w:val="0"/>
          <w:lang w:eastAsia="en-GB"/>
          <w14:ligatures w14:val="none"/>
        </w:rPr>
        <w:t> If DSGE residuals (shocks) are estimated to have unit roots, a standard VAR in levels might be technically misspecified. However, DSGE models often "force" stationarity through priors, even if the underlying data wants to behave like a unit root process.</w:t>
      </w:r>
    </w:p>
    <w:p w14:paraId="0D057670" w14:textId="77777777" w:rsidR="0003277F" w:rsidRPr="0003277F" w:rsidRDefault="001940C0" w:rsidP="0003277F">
      <w:pPr>
        <w:rPr>
          <w:rFonts w:ascii="Arial" w:eastAsia="Times New Roman" w:hAnsi="Arial" w:cs="Arial"/>
          <w:color w:val="000000"/>
          <w:kern w:val="0"/>
          <w:lang w:eastAsia="en-GB"/>
          <w14:ligatures w14:val="none"/>
        </w:rPr>
      </w:pPr>
      <w:r w:rsidRPr="001940C0">
        <w:rPr>
          <w:rFonts w:ascii="Arial" w:eastAsia="Times New Roman" w:hAnsi="Arial" w:cs="Arial"/>
          <w:noProof/>
          <w:color w:val="000000"/>
          <w:kern w:val="0"/>
          <w:lang w:eastAsia="en-GB"/>
        </w:rPr>
        <w:pict w14:anchorId="174423C6">
          <v:rect id="_x0000_i1027" alt="" style="width:451.3pt;height:.05pt;mso-width-percent:0;mso-height-percent:0;mso-width-percent:0;mso-height-percent:0" o:hralign="center" o:hrstd="t" o:hr="t" fillcolor="#a0a0a0" stroked="f"/>
        </w:pict>
      </w:r>
    </w:p>
    <w:p w14:paraId="259D51D9" w14:textId="77777777" w:rsidR="0003277F" w:rsidRPr="0003277F" w:rsidRDefault="0003277F" w:rsidP="0003277F">
      <w:pPr>
        <w:spacing w:after="100" w:afterAutospacing="1"/>
        <w:outlineLvl w:val="2"/>
        <w:rPr>
          <w:rFonts w:ascii="Arial" w:eastAsia="Times New Roman" w:hAnsi="Arial" w:cs="Arial"/>
          <w:b/>
          <w:bCs/>
          <w:color w:val="000000"/>
          <w:kern w:val="0"/>
          <w:sz w:val="27"/>
          <w:szCs w:val="27"/>
          <w:lang w:eastAsia="en-GB"/>
          <w14:ligatures w14:val="none"/>
        </w:rPr>
      </w:pPr>
      <w:r w:rsidRPr="0003277F">
        <w:rPr>
          <w:rFonts w:ascii="Arial" w:eastAsia="Times New Roman" w:hAnsi="Arial" w:cs="Arial"/>
          <w:b/>
          <w:bCs/>
          <w:color w:val="000000"/>
          <w:kern w:val="0"/>
          <w:sz w:val="27"/>
          <w:szCs w:val="27"/>
          <w:lang w:eastAsia="en-GB"/>
          <w14:ligatures w14:val="none"/>
        </w:rPr>
        <w:t>2. Paul Romer’s Critique and "Phlogiston"</w:t>
      </w:r>
    </w:p>
    <w:p w14:paraId="1F59BD4A"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color w:val="000000"/>
          <w:kern w:val="0"/>
          <w:lang w:eastAsia="en-GB"/>
          <w14:ligatures w14:val="none"/>
        </w:rPr>
        <w:t>The prompt mentions Paul Romer’s famous critique ("The Trouble with Macroeconomics"). Romer argued that DSGE models use </w:t>
      </w:r>
      <w:r w:rsidRPr="0003277F">
        <w:rPr>
          <w:rFonts w:ascii="Arial" w:eastAsia="Times New Roman" w:hAnsi="Arial" w:cs="Arial"/>
          <w:b/>
          <w:bCs/>
          <w:color w:val="000000"/>
          <w:kern w:val="0"/>
          <w:lang w:eastAsia="en-GB"/>
          <w14:ligatures w14:val="none"/>
        </w:rPr>
        <w:t>"imaginary" shocks</w:t>
      </w:r>
      <w:r w:rsidRPr="0003277F">
        <w:rPr>
          <w:rFonts w:ascii="Arial" w:eastAsia="Times New Roman" w:hAnsi="Arial" w:cs="Arial"/>
          <w:color w:val="000000"/>
          <w:kern w:val="0"/>
          <w:lang w:eastAsia="en-GB"/>
          <w14:ligatures w14:val="none"/>
        </w:rPr>
        <w:t> (like "markup shocks" or "technology shocks") to explain fluctuations.</w:t>
      </w:r>
    </w:p>
    <w:p w14:paraId="50BF6FFC"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color w:val="000000"/>
          <w:kern w:val="0"/>
          <w:lang w:eastAsia="en-GB"/>
          <w14:ligatures w14:val="none"/>
        </w:rPr>
        <w:t>When these shocks are estimated to be highly persistent (close to a unit root, $\rho \approx 1$), Romer argues they are essentially acting as a "fudge factor." Instead of the model's internal mechanics (like consumer choices) explaining the persistence in the data, the </w:t>
      </w:r>
      <w:r w:rsidRPr="0003277F">
        <w:rPr>
          <w:rFonts w:ascii="Arial" w:eastAsia="Times New Roman" w:hAnsi="Arial" w:cs="Arial"/>
          <w:b/>
          <w:bCs/>
          <w:color w:val="000000"/>
          <w:kern w:val="0"/>
          <w:lang w:eastAsia="en-GB"/>
          <w14:ligatures w14:val="none"/>
        </w:rPr>
        <w:t>shocks themselves</w:t>
      </w:r>
      <w:r w:rsidRPr="0003277F">
        <w:rPr>
          <w:rFonts w:ascii="Arial" w:eastAsia="Times New Roman" w:hAnsi="Arial" w:cs="Arial"/>
          <w:color w:val="000000"/>
          <w:kern w:val="0"/>
          <w:lang w:eastAsia="en-GB"/>
          <w14:ligatures w14:val="none"/>
        </w:rPr>
        <w:t> are doing all the heavy lifting.</w:t>
      </w:r>
    </w:p>
    <w:p w14:paraId="5B3807E9" w14:textId="77777777" w:rsidR="0003277F" w:rsidRPr="0003277F" w:rsidRDefault="001940C0" w:rsidP="0003277F">
      <w:pPr>
        <w:rPr>
          <w:rFonts w:ascii="Arial" w:eastAsia="Times New Roman" w:hAnsi="Arial" w:cs="Arial"/>
          <w:color w:val="000000"/>
          <w:kern w:val="0"/>
          <w:lang w:eastAsia="en-GB"/>
          <w14:ligatures w14:val="none"/>
        </w:rPr>
      </w:pPr>
      <w:r w:rsidRPr="001940C0">
        <w:rPr>
          <w:rFonts w:ascii="Arial" w:eastAsia="Times New Roman" w:hAnsi="Arial" w:cs="Arial"/>
          <w:noProof/>
          <w:color w:val="000000"/>
          <w:kern w:val="0"/>
          <w:lang w:eastAsia="en-GB"/>
        </w:rPr>
        <w:pict w14:anchorId="633BAFC3">
          <v:rect id="_x0000_i1026" alt="" style="width:451.3pt;height:.05pt;mso-width-percent:0;mso-height-percent:0;mso-width-percent:0;mso-height-percent:0" o:hralign="center" o:hrstd="t" o:hr="t" fillcolor="#a0a0a0" stroked="f"/>
        </w:pict>
      </w:r>
    </w:p>
    <w:p w14:paraId="0F946F08" w14:textId="77777777" w:rsidR="0003277F" w:rsidRPr="0003277F" w:rsidRDefault="0003277F" w:rsidP="0003277F">
      <w:pPr>
        <w:spacing w:after="100" w:afterAutospacing="1"/>
        <w:outlineLvl w:val="2"/>
        <w:rPr>
          <w:rFonts w:ascii="Arial" w:eastAsia="Times New Roman" w:hAnsi="Arial" w:cs="Arial"/>
          <w:b/>
          <w:bCs/>
          <w:color w:val="000000"/>
          <w:kern w:val="0"/>
          <w:sz w:val="27"/>
          <w:szCs w:val="27"/>
          <w:lang w:eastAsia="en-GB"/>
          <w14:ligatures w14:val="none"/>
        </w:rPr>
      </w:pPr>
      <w:r w:rsidRPr="0003277F">
        <w:rPr>
          <w:rFonts w:ascii="Arial" w:eastAsia="Times New Roman" w:hAnsi="Arial" w:cs="Arial"/>
          <w:b/>
          <w:bCs/>
          <w:color w:val="000000"/>
          <w:kern w:val="0"/>
          <w:sz w:val="27"/>
          <w:szCs w:val="27"/>
          <w:lang w:eastAsia="en-GB"/>
          <w14:ligatures w14:val="none"/>
        </w:rPr>
        <w:t>3. Do Bayesian DSGE Models Deny Unit Roots?</w:t>
      </w:r>
    </w:p>
    <w:p w14:paraId="4C744346"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color w:val="000000"/>
          <w:kern w:val="0"/>
          <w:lang w:eastAsia="en-GB"/>
          <w14:ligatures w14:val="none"/>
        </w:rPr>
        <w:t>There is a tension here. Bayesian estimation (like in the Smets-Wouters paper) often uses </w:t>
      </w:r>
      <w:r w:rsidRPr="0003277F">
        <w:rPr>
          <w:rFonts w:ascii="Arial" w:eastAsia="Times New Roman" w:hAnsi="Arial" w:cs="Arial"/>
          <w:b/>
          <w:bCs/>
          <w:color w:val="000000"/>
          <w:kern w:val="0"/>
          <w:lang w:eastAsia="en-GB"/>
          <w14:ligatures w14:val="none"/>
        </w:rPr>
        <w:t>priors</w:t>
      </w:r>
      <w:r w:rsidRPr="0003277F">
        <w:rPr>
          <w:rFonts w:ascii="Arial" w:eastAsia="Times New Roman" w:hAnsi="Arial" w:cs="Arial"/>
          <w:color w:val="000000"/>
          <w:kern w:val="0"/>
          <w:lang w:eastAsia="en-GB"/>
          <w14:ligatures w14:val="none"/>
        </w:rPr>
        <w:t> that assume the system is stationary (i.e., the autoregressive parameter $\rho$ is strictly less than $1$).</w:t>
      </w:r>
    </w:p>
    <w:p w14:paraId="2345A534" w14:textId="77777777" w:rsidR="0003277F" w:rsidRPr="0003277F" w:rsidRDefault="0003277F" w:rsidP="0003277F">
      <w:pPr>
        <w:numPr>
          <w:ilvl w:val="0"/>
          <w:numId w:val="4"/>
        </w:num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b/>
          <w:bCs/>
          <w:color w:val="000000"/>
          <w:kern w:val="0"/>
          <w:lang w:eastAsia="en-GB"/>
          <w14:ligatures w14:val="none"/>
        </w:rPr>
        <w:t>The "Denial":</w:t>
      </w:r>
      <w:r w:rsidRPr="0003277F">
        <w:rPr>
          <w:rFonts w:ascii="Arial" w:eastAsia="Times New Roman" w:hAnsi="Arial" w:cs="Arial"/>
          <w:color w:val="000000"/>
          <w:kern w:val="0"/>
          <w:lang w:eastAsia="en-GB"/>
          <w14:ligatures w14:val="none"/>
        </w:rPr>
        <w:t> By setting a prior that $\rho &lt; 1$ (e.g., a Beta distribution), the researcher prevents the model from officially finding a unit root.</w:t>
      </w:r>
    </w:p>
    <w:p w14:paraId="41DF8E63" w14:textId="77777777" w:rsidR="0003277F" w:rsidRPr="0003277F" w:rsidRDefault="0003277F" w:rsidP="0003277F">
      <w:pPr>
        <w:numPr>
          <w:ilvl w:val="0"/>
          <w:numId w:val="4"/>
        </w:num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b/>
          <w:bCs/>
          <w:color w:val="000000"/>
          <w:kern w:val="0"/>
          <w:lang w:eastAsia="en-GB"/>
          <w14:ligatures w14:val="none"/>
        </w:rPr>
        <w:t>The Reality:</w:t>
      </w:r>
      <w:r w:rsidRPr="0003277F">
        <w:rPr>
          <w:rFonts w:ascii="Arial" w:eastAsia="Times New Roman" w:hAnsi="Arial" w:cs="Arial"/>
          <w:color w:val="000000"/>
          <w:kern w:val="0"/>
          <w:lang w:eastAsia="en-GB"/>
          <w14:ligatures w14:val="none"/>
        </w:rPr>
        <w:t> In many Smets-Wouters style estimations, the posterior distribution for these shock parameters ends up being extremely high (e.g., $0.99$). While technically not a unit root, for all practical purposes, it behaves like one.</w:t>
      </w:r>
    </w:p>
    <w:p w14:paraId="38664548"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b/>
          <w:bCs/>
          <w:color w:val="000000"/>
          <w:kern w:val="0"/>
          <w:lang w:eastAsia="en-GB"/>
          <w14:ligatures w14:val="none"/>
        </w:rPr>
        <w:t>Does this "deny" the importance of unit roots?</w:t>
      </w:r>
      <w:r w:rsidRPr="0003277F">
        <w:rPr>
          <w:rFonts w:ascii="Arial" w:eastAsia="Times New Roman" w:hAnsi="Arial" w:cs="Arial"/>
          <w:color w:val="000000"/>
          <w:kern w:val="0"/>
          <w:lang w:eastAsia="en-GB"/>
          <w14:ligatures w14:val="none"/>
        </w:rPr>
        <w:t> Mathematically, yes—the model assumes the economy always returns to a steady state eventually. Philosophically, no—the fact that the estimates are so close to $1$is an admission that the structural equations of the DSGE model cannot explain the long-term persistence of the data without relying on nearly permanent external shocks.</w:t>
      </w:r>
    </w:p>
    <w:p w14:paraId="467CA26A" w14:textId="77777777" w:rsidR="0003277F" w:rsidRPr="0003277F" w:rsidRDefault="001940C0" w:rsidP="0003277F">
      <w:pPr>
        <w:rPr>
          <w:rFonts w:ascii="Arial" w:eastAsia="Times New Roman" w:hAnsi="Arial" w:cs="Arial"/>
          <w:color w:val="000000"/>
          <w:kern w:val="0"/>
          <w:lang w:eastAsia="en-GB"/>
          <w14:ligatures w14:val="none"/>
        </w:rPr>
      </w:pPr>
      <w:r w:rsidRPr="001940C0">
        <w:rPr>
          <w:rFonts w:ascii="Arial" w:eastAsia="Times New Roman" w:hAnsi="Arial" w:cs="Arial"/>
          <w:noProof/>
          <w:color w:val="000000"/>
          <w:kern w:val="0"/>
          <w:lang w:eastAsia="en-GB"/>
        </w:rPr>
        <w:pict w14:anchorId="582E959A">
          <v:rect id="_x0000_i1025" alt="" style="width:451.3pt;height:.05pt;mso-width-percent:0;mso-height-percent:0;mso-width-percent:0;mso-height-percent:0" o:hralign="center" o:hrstd="t" o:hr="t" fillcolor="#a0a0a0" stroked="f"/>
        </w:pict>
      </w:r>
    </w:p>
    <w:p w14:paraId="366F8C62" w14:textId="77777777" w:rsidR="0003277F" w:rsidRPr="0003277F" w:rsidRDefault="0003277F" w:rsidP="0003277F">
      <w:pPr>
        <w:spacing w:after="100" w:afterAutospacing="1"/>
        <w:outlineLvl w:val="2"/>
        <w:rPr>
          <w:rFonts w:ascii="Arial" w:eastAsia="Times New Roman" w:hAnsi="Arial" w:cs="Arial"/>
          <w:b/>
          <w:bCs/>
          <w:color w:val="000000"/>
          <w:kern w:val="0"/>
          <w:sz w:val="27"/>
          <w:szCs w:val="27"/>
          <w:lang w:eastAsia="en-GB"/>
          <w14:ligatures w14:val="none"/>
        </w:rPr>
      </w:pPr>
      <w:r w:rsidRPr="0003277F">
        <w:rPr>
          <w:rFonts w:ascii="Arial" w:eastAsia="Times New Roman" w:hAnsi="Arial" w:cs="Arial"/>
          <w:b/>
          <w:bCs/>
          <w:color w:val="000000"/>
          <w:kern w:val="0"/>
          <w:sz w:val="27"/>
          <w:szCs w:val="27"/>
          <w:lang w:eastAsia="en-GB"/>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3019"/>
        <w:gridCol w:w="3975"/>
      </w:tblGrid>
      <w:tr w:rsidR="0003277F" w:rsidRPr="0003277F" w14:paraId="54FBF8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95734"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b/>
                <w:bCs/>
                <w:kern w:val="0"/>
                <w:lang w:eastAsia="en-GB"/>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34A4C"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b/>
                <w:bCs/>
                <w:kern w:val="0"/>
                <w:lang w:eastAsia="en-GB"/>
                <w14:ligatures w14:val="none"/>
              </w:rPr>
              <w:t>VAR / VECM Perspective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6085E"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b/>
                <w:bCs/>
                <w:kern w:val="0"/>
                <w:lang w:eastAsia="en-GB"/>
                <w14:ligatures w14:val="none"/>
              </w:rPr>
              <w:t>DSGE (Bayesian) Perspective</w:t>
            </w:r>
          </w:p>
        </w:tc>
      </w:tr>
      <w:tr w:rsidR="0003277F" w:rsidRPr="0003277F" w14:paraId="34C107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70BED7"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b/>
                <w:bCs/>
                <w:kern w:val="0"/>
                <w:lang w:eastAsia="en-GB"/>
                <w14:ligatures w14:val="none"/>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63265"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Derived from the data (unit root tests).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822EF"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Often "forced" by AR(1) processes on shocks.</w:t>
            </w:r>
          </w:p>
        </w:tc>
      </w:tr>
      <w:tr w:rsidR="0003277F" w:rsidRPr="0003277F" w14:paraId="1D06F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15AE7"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b/>
                <w:bCs/>
                <w:kern w:val="0"/>
                <w:lang w:eastAsia="en-GB"/>
                <w14:ligatures w14:val="none"/>
              </w:rPr>
              <w:t>Unit Root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93287"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Uses VECM if cointegration exists.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41A04"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Uses priors to keep the model stationary ($\rho &lt; 1$).</w:t>
            </w:r>
          </w:p>
        </w:tc>
      </w:tr>
      <w:tr w:rsidR="0003277F" w:rsidRPr="0003277F" w14:paraId="012B8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1441D"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b/>
                <w:bCs/>
                <w:kern w:val="0"/>
                <w:lang w:eastAsia="en-GB"/>
                <w14:ligatures w14:val="none"/>
              </w:rPr>
              <w:t>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EE240"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Focuses on statistical correlations.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AA9AA"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Shocks are given names (e.g., "Preference Shock").</w:t>
            </w:r>
          </w:p>
        </w:tc>
      </w:tr>
      <w:tr w:rsidR="0003277F" w:rsidRPr="0003277F" w14:paraId="44AAEB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D8052"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b/>
                <w:bCs/>
                <w:kern w:val="0"/>
                <w:lang w:eastAsia="en-GB"/>
                <w14:ligatures w14:val="none"/>
              </w:rPr>
              <w:t>Romer's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0BDC7"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More honest about data properties.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D6791" w14:textId="77777777" w:rsidR="0003277F" w:rsidRPr="0003277F" w:rsidRDefault="0003277F" w:rsidP="0003277F">
            <w:pPr>
              <w:rPr>
                <w:rFonts w:ascii="Arial" w:eastAsia="Times New Roman" w:hAnsi="Arial" w:cs="Arial"/>
                <w:kern w:val="0"/>
                <w:lang w:eastAsia="en-GB"/>
                <w14:ligatures w14:val="none"/>
              </w:rPr>
            </w:pPr>
            <w:r w:rsidRPr="0003277F">
              <w:rPr>
                <w:rFonts w:ascii="Arial" w:eastAsia="Times New Roman" w:hAnsi="Arial" w:cs="Arial"/>
                <w:kern w:val="0"/>
                <w:lang w:eastAsia="en-GB"/>
                <w14:ligatures w14:val="none"/>
              </w:rPr>
              <w:t>Shocks are "mysterious" and lack micro-foundations.</w:t>
            </w:r>
          </w:p>
        </w:tc>
      </w:tr>
    </w:tbl>
    <w:p w14:paraId="6C0E3FAB" w14:textId="77777777" w:rsidR="0003277F" w:rsidRPr="0003277F" w:rsidRDefault="0003277F" w:rsidP="0003277F">
      <w:pPr>
        <w:spacing w:after="100" w:afterAutospacing="1"/>
        <w:outlineLvl w:val="2"/>
        <w:rPr>
          <w:rFonts w:ascii="Arial" w:eastAsia="Times New Roman" w:hAnsi="Arial" w:cs="Arial"/>
          <w:b/>
          <w:bCs/>
          <w:color w:val="000000"/>
          <w:kern w:val="0"/>
          <w:sz w:val="27"/>
          <w:szCs w:val="27"/>
          <w:lang w:eastAsia="en-GB"/>
          <w14:ligatures w14:val="none"/>
        </w:rPr>
      </w:pPr>
      <w:r w:rsidRPr="0003277F">
        <w:rPr>
          <w:rFonts w:ascii="Arial" w:eastAsia="Times New Roman" w:hAnsi="Arial" w:cs="Arial"/>
          <w:b/>
          <w:bCs/>
          <w:color w:val="000000"/>
          <w:kern w:val="0"/>
          <w:sz w:val="27"/>
          <w:szCs w:val="27"/>
          <w:lang w:eastAsia="en-GB"/>
          <w14:ligatures w14:val="none"/>
        </w:rPr>
        <w:t>Next Step</w:t>
      </w:r>
    </w:p>
    <w:p w14:paraId="79AD8724" w14:textId="77777777" w:rsidR="0003277F" w:rsidRPr="0003277F" w:rsidRDefault="0003277F" w:rsidP="0003277F">
      <w:pPr>
        <w:spacing w:after="100" w:afterAutospacing="1"/>
        <w:rPr>
          <w:rFonts w:ascii="Arial" w:eastAsia="Times New Roman" w:hAnsi="Arial" w:cs="Arial"/>
          <w:color w:val="000000"/>
          <w:kern w:val="0"/>
          <w:lang w:eastAsia="en-GB"/>
          <w14:ligatures w14:val="none"/>
        </w:rPr>
      </w:pPr>
      <w:r w:rsidRPr="0003277F">
        <w:rPr>
          <w:rFonts w:ascii="Arial" w:eastAsia="Times New Roman" w:hAnsi="Arial" w:cs="Arial"/>
          <w:color w:val="000000"/>
          <w:kern w:val="0"/>
          <w:lang w:eastAsia="en-GB"/>
          <w14:ligatures w14:val="none"/>
        </w:rPr>
        <w:t>Would you like me to explain the specific </w:t>
      </w:r>
      <w:r w:rsidRPr="0003277F">
        <w:rPr>
          <w:rFonts w:ascii="Arial" w:eastAsia="Times New Roman" w:hAnsi="Arial" w:cs="Arial"/>
          <w:b/>
          <w:bCs/>
          <w:color w:val="000000"/>
          <w:kern w:val="0"/>
          <w:lang w:eastAsia="en-GB"/>
          <w14:ligatures w14:val="none"/>
        </w:rPr>
        <w:t>Smets-Wouters</w:t>
      </w:r>
      <w:r w:rsidRPr="0003277F">
        <w:rPr>
          <w:rFonts w:ascii="Arial" w:eastAsia="Times New Roman" w:hAnsi="Arial" w:cs="Arial"/>
          <w:color w:val="000000"/>
          <w:kern w:val="0"/>
          <w:lang w:eastAsia="en-GB"/>
          <w14:ligatures w14:val="none"/>
        </w:rPr>
        <w:t> prior distributions and how they mathematically prevent a true unit root from being estimated?</w:t>
      </w:r>
    </w:p>
    <w:p w14:paraId="341B3C9F" w14:textId="77777777" w:rsidR="0003277F" w:rsidRDefault="0003277F"/>
    <w:p w14:paraId="71680629" w14:textId="77777777" w:rsidR="0003277F" w:rsidRDefault="0003277F"/>
    <w:p w14:paraId="33ED061D" w14:textId="77777777" w:rsidR="0003277F" w:rsidRDefault="0003277F" w:rsidP="0003277F">
      <w:r>
        <w:t>This question is essentially asking you to **critically compare how DSGE models treat shocks (often highly persistent or near–unit-root)** versus the standard **time series econometrics framework (VAR/VECM)**, and whether Bayesian DSGE estimation “ignores” unit root issues.</w:t>
      </w:r>
    </w:p>
    <w:p w14:paraId="271059B5" w14:textId="77777777" w:rsidR="0003277F" w:rsidRDefault="0003277F" w:rsidP="0003277F"/>
    <w:p w14:paraId="394E400F" w14:textId="77777777" w:rsidR="0003277F" w:rsidRDefault="0003277F" w:rsidP="0003277F">
      <w:r>
        <w:t>---</w:t>
      </w:r>
    </w:p>
    <w:p w14:paraId="09FC47FC" w14:textId="77777777" w:rsidR="0003277F" w:rsidRDefault="0003277F" w:rsidP="0003277F"/>
    <w:p w14:paraId="2E623B6E" w14:textId="77777777" w:rsidR="0003277F" w:rsidRDefault="0003277F" w:rsidP="0003277F">
      <w:r>
        <w:t># 1. What DSGE estimation is doing</w:t>
      </w:r>
    </w:p>
    <w:p w14:paraId="098EBD3C" w14:textId="77777777" w:rsidR="0003277F" w:rsidRDefault="0003277F" w:rsidP="0003277F"/>
    <w:p w14:paraId="43FE6B35" w14:textId="77777777" w:rsidR="0003277F" w:rsidRDefault="0003277F" w:rsidP="0003277F">
      <w:r>
        <w:t>In estimated DSGE models (e.g. Smets–Wouters):</w:t>
      </w:r>
    </w:p>
    <w:p w14:paraId="1263A3E1" w14:textId="77777777" w:rsidR="0003277F" w:rsidRDefault="0003277F" w:rsidP="0003277F"/>
    <w:p w14:paraId="13929721" w14:textId="77777777" w:rsidR="0003277F" w:rsidRDefault="0003277F" w:rsidP="0003277F">
      <w:r>
        <w:t>* Each structural shock follows an AR(1):</w:t>
      </w:r>
    </w:p>
    <w:p w14:paraId="79BC7CCA" w14:textId="77777777" w:rsidR="0003277F" w:rsidRDefault="0003277F" w:rsidP="0003277F">
      <w:r>
        <w:t xml:space="preserve">  [</w:t>
      </w:r>
    </w:p>
    <w:p w14:paraId="4F0C4D3D" w14:textId="77777777" w:rsidR="0003277F" w:rsidRDefault="0003277F" w:rsidP="0003277F">
      <w:r>
        <w:t xml:space="preserve">  \varepsilon_t = \rho \varepsilon_{t-1} + u_t</w:t>
      </w:r>
    </w:p>
    <w:p w14:paraId="25FC00BE" w14:textId="77777777" w:rsidR="0003277F" w:rsidRDefault="0003277F" w:rsidP="0003277F">
      <w:r>
        <w:t xml:space="preserve">  ]</w:t>
      </w:r>
    </w:p>
    <w:p w14:paraId="4FB53BDC" w14:textId="77777777" w:rsidR="0003277F" w:rsidRDefault="0003277F" w:rsidP="0003277F">
      <w:r>
        <w:t>* Empirically, **many estimated (\rho)** are:</w:t>
      </w:r>
    </w:p>
    <w:p w14:paraId="76C641A8" w14:textId="77777777" w:rsidR="0003277F" w:rsidRDefault="0003277F" w:rsidP="0003277F"/>
    <w:p w14:paraId="2ED1C8F6" w14:textId="77777777" w:rsidR="0003277F" w:rsidRDefault="0003277F" w:rsidP="0003277F">
      <w:r>
        <w:t xml:space="preserve">  * very high (e.g. 0.9–0.99)</w:t>
      </w:r>
    </w:p>
    <w:p w14:paraId="411753AB" w14:textId="77777777" w:rsidR="0003277F" w:rsidRDefault="0003277F" w:rsidP="0003277F">
      <w:r>
        <w:t xml:space="preserve">  * sometimes statistically indistinguishable from 1</w:t>
      </w:r>
    </w:p>
    <w:p w14:paraId="36F199D8" w14:textId="77777777" w:rsidR="0003277F" w:rsidRDefault="0003277F" w:rsidP="0003277F"/>
    <w:p w14:paraId="6DA7BB53" w14:textId="77777777" w:rsidR="0003277F" w:rsidRDefault="0003277F" w:rsidP="0003277F">
      <w:r>
        <w:rPr>
          <w:rFonts w:ascii="Apple Color Emoji" w:hAnsi="Apple Color Emoji" w:cs="Apple Color Emoji"/>
        </w:rPr>
        <w:t>👉</w:t>
      </w:r>
      <w:r>
        <w:t xml:space="preserve"> So shocks are:</w:t>
      </w:r>
    </w:p>
    <w:p w14:paraId="56CA4068" w14:textId="77777777" w:rsidR="0003277F" w:rsidRDefault="0003277F" w:rsidP="0003277F"/>
    <w:p w14:paraId="2815CD25" w14:textId="77777777" w:rsidR="0003277F" w:rsidRDefault="0003277F" w:rsidP="0003277F">
      <w:r>
        <w:t>* **highly persistent**</w:t>
      </w:r>
    </w:p>
    <w:p w14:paraId="676BC57A" w14:textId="77777777" w:rsidR="0003277F" w:rsidRDefault="0003277F" w:rsidP="0003277F">
      <w:r>
        <w:t>* sometimes **close to unit root processes**</w:t>
      </w:r>
    </w:p>
    <w:p w14:paraId="2C83CCA3" w14:textId="77777777" w:rsidR="0003277F" w:rsidRDefault="0003277F" w:rsidP="0003277F"/>
    <w:p w14:paraId="574E5198" w14:textId="77777777" w:rsidR="0003277F" w:rsidRDefault="0003277F" w:rsidP="0003277F">
      <w:r>
        <w:t>---</w:t>
      </w:r>
    </w:p>
    <w:p w14:paraId="729D1FE3" w14:textId="77777777" w:rsidR="0003277F" w:rsidRDefault="0003277F" w:rsidP="0003277F"/>
    <w:p w14:paraId="10DD4858" w14:textId="77777777" w:rsidR="0003277F" w:rsidRDefault="0003277F" w:rsidP="0003277F">
      <w:r>
        <w:t># 2. Why this looks problematic (Romer critique)</w:t>
      </w:r>
    </w:p>
    <w:p w14:paraId="142D1BA2" w14:textId="77777777" w:rsidR="0003277F" w:rsidRDefault="0003277F" w:rsidP="0003277F"/>
    <w:p w14:paraId="2189CA27" w14:textId="77777777" w:rsidR="0003277F" w:rsidRDefault="0003277F" w:rsidP="0003277F">
      <w:r>
        <w:t>Paul Romer criticizes DSGE models for:</w:t>
      </w:r>
    </w:p>
    <w:p w14:paraId="3E1D0BC4" w14:textId="77777777" w:rsidR="0003277F" w:rsidRDefault="0003277F" w:rsidP="0003277F"/>
    <w:p w14:paraId="7B59309F" w14:textId="77777777" w:rsidR="0003277F" w:rsidRDefault="0003277F" w:rsidP="0003277F">
      <w:r>
        <w:t>* Assigning **“structural names”** (e.g. technology shock, preference shock)</w:t>
      </w:r>
    </w:p>
    <w:p w14:paraId="27AB3C79" w14:textId="77777777" w:rsidR="0003277F" w:rsidRDefault="0003277F" w:rsidP="0003277F">
      <w:r>
        <w:t>* Even when these are essentially:</w:t>
      </w:r>
    </w:p>
    <w:p w14:paraId="6F3BB968" w14:textId="77777777" w:rsidR="0003277F" w:rsidRDefault="0003277F" w:rsidP="0003277F"/>
    <w:p w14:paraId="6144C79C" w14:textId="77777777" w:rsidR="0003277F" w:rsidRDefault="0003277F" w:rsidP="0003277F">
      <w:r>
        <w:t xml:space="preserve">  * highly persistent residuals</w:t>
      </w:r>
    </w:p>
    <w:p w14:paraId="26AA9D0A" w14:textId="77777777" w:rsidR="0003277F" w:rsidRDefault="0003277F" w:rsidP="0003277F">
      <w:r>
        <w:t xml:space="preserve">  * or almost random walks</w:t>
      </w:r>
    </w:p>
    <w:p w14:paraId="7A575BA6" w14:textId="77777777" w:rsidR="0003277F" w:rsidRDefault="0003277F" w:rsidP="0003277F"/>
    <w:p w14:paraId="0463F967" w14:textId="77777777" w:rsidR="0003277F" w:rsidRDefault="0003277F" w:rsidP="0003277F">
      <w:r>
        <w:t>### Core concern:</w:t>
      </w:r>
    </w:p>
    <w:p w14:paraId="0A638EE8" w14:textId="77777777" w:rsidR="0003277F" w:rsidRDefault="0003277F" w:rsidP="0003277F"/>
    <w:p w14:paraId="286E0D62" w14:textId="77777777" w:rsidR="0003277F" w:rsidRDefault="0003277F" w:rsidP="0003277F">
      <w:r>
        <w:t>If shocks behave like unit root processes, then:</w:t>
      </w:r>
    </w:p>
    <w:p w14:paraId="21043DCC" w14:textId="77777777" w:rsidR="0003277F" w:rsidRDefault="0003277F" w:rsidP="0003277F"/>
    <w:p w14:paraId="3AC382BE" w14:textId="77777777" w:rsidR="0003277F" w:rsidRDefault="0003277F" w:rsidP="0003277F">
      <w:r>
        <w:t>* They may just be **statistical artifacts**</w:t>
      </w:r>
    </w:p>
    <w:p w14:paraId="797B7F5F" w14:textId="77777777" w:rsidR="0003277F" w:rsidRDefault="0003277F" w:rsidP="0003277F">
      <w:r>
        <w:t>* Not meaningful economic primitives</w:t>
      </w:r>
    </w:p>
    <w:p w14:paraId="11D2633D" w14:textId="77777777" w:rsidR="0003277F" w:rsidRDefault="0003277F" w:rsidP="0003277F"/>
    <w:p w14:paraId="4F35DB13" w14:textId="77777777" w:rsidR="0003277F" w:rsidRDefault="0003277F" w:rsidP="0003277F">
      <w:r>
        <w:t>---</w:t>
      </w:r>
    </w:p>
    <w:p w14:paraId="60223F6B" w14:textId="77777777" w:rsidR="0003277F" w:rsidRDefault="0003277F" w:rsidP="0003277F"/>
    <w:p w14:paraId="1CE7CBB5" w14:textId="77777777" w:rsidR="0003277F" w:rsidRDefault="0003277F" w:rsidP="0003277F">
      <w:r>
        <w:t># 3. Comparison with VAR / VECM logic</w:t>
      </w:r>
    </w:p>
    <w:p w14:paraId="037E9E72" w14:textId="77777777" w:rsidR="0003277F" w:rsidRDefault="0003277F" w:rsidP="0003277F"/>
    <w:p w14:paraId="2B913E07" w14:textId="77777777" w:rsidR="0003277F" w:rsidRDefault="0003277F" w:rsidP="0003277F">
      <w:r>
        <w:t>### In standard time series econometrics:</w:t>
      </w:r>
    </w:p>
    <w:p w14:paraId="7E05585F" w14:textId="77777777" w:rsidR="0003277F" w:rsidRDefault="0003277F" w:rsidP="0003277F"/>
    <w:p w14:paraId="2E1C3FCE" w14:textId="77777777" w:rsidR="0003277F" w:rsidRDefault="0003277F" w:rsidP="0003277F">
      <w:r>
        <w:t>#### Case 1: Stationary variables</w:t>
      </w:r>
    </w:p>
    <w:p w14:paraId="0CC88F17" w14:textId="77777777" w:rsidR="0003277F" w:rsidRDefault="0003277F" w:rsidP="0003277F"/>
    <w:p w14:paraId="05262340" w14:textId="77777777" w:rsidR="0003277F" w:rsidRDefault="0003277F" w:rsidP="0003277F">
      <w:r>
        <w:t>→ Use VAR in levels</w:t>
      </w:r>
    </w:p>
    <w:p w14:paraId="23230314" w14:textId="77777777" w:rsidR="0003277F" w:rsidRDefault="0003277F" w:rsidP="0003277F"/>
    <w:p w14:paraId="1139CBEB" w14:textId="77777777" w:rsidR="0003277F" w:rsidRDefault="0003277F" w:rsidP="0003277F">
      <w:r>
        <w:t>#### Case 2: Unit roots present</w:t>
      </w:r>
    </w:p>
    <w:p w14:paraId="7150ABF1" w14:textId="77777777" w:rsidR="0003277F" w:rsidRDefault="0003277F" w:rsidP="0003277F"/>
    <w:p w14:paraId="3EE137E2" w14:textId="77777777" w:rsidR="0003277F" w:rsidRDefault="0003277F" w:rsidP="0003277F">
      <w:r>
        <w:t>→ You must:</w:t>
      </w:r>
    </w:p>
    <w:p w14:paraId="6129B231" w14:textId="77777777" w:rsidR="0003277F" w:rsidRDefault="0003277F" w:rsidP="0003277F"/>
    <w:p w14:paraId="17A5DA85" w14:textId="77777777" w:rsidR="0003277F" w:rsidRDefault="0003277F" w:rsidP="0003277F">
      <w:r>
        <w:t>* Difference data → VAR in differences</w:t>
      </w:r>
    </w:p>
    <w:p w14:paraId="50BCD630" w14:textId="77777777" w:rsidR="0003277F" w:rsidRDefault="0003277F" w:rsidP="0003277F">
      <w:r>
        <w:t>* Or use VECM if cointegration exists</w:t>
      </w:r>
    </w:p>
    <w:p w14:paraId="7771E047" w14:textId="77777777" w:rsidR="0003277F" w:rsidRDefault="0003277F" w:rsidP="0003277F"/>
    <w:p w14:paraId="66B5F2C2" w14:textId="77777777" w:rsidR="0003277F" w:rsidRDefault="0003277F" w:rsidP="0003277F">
      <w:r>
        <w:rPr>
          <w:rFonts w:ascii="Apple Color Emoji" w:hAnsi="Apple Color Emoji" w:cs="Apple Color Emoji"/>
        </w:rPr>
        <w:t>👉</w:t>
      </w:r>
      <w:r>
        <w:t xml:space="preserve"> **Key principle:**</w:t>
      </w:r>
    </w:p>
    <w:p w14:paraId="6D2EFD20" w14:textId="77777777" w:rsidR="0003277F" w:rsidRDefault="0003277F" w:rsidP="0003277F">
      <w:r>
        <w:t>You **cannot ignore unit roots**, because:</w:t>
      </w:r>
    </w:p>
    <w:p w14:paraId="3EB1B01B" w14:textId="77777777" w:rsidR="0003277F" w:rsidRDefault="0003277F" w:rsidP="0003277F"/>
    <w:p w14:paraId="41BDE2D6" w14:textId="77777777" w:rsidR="0003277F" w:rsidRDefault="0003277F" w:rsidP="0003277F">
      <w:r>
        <w:t>* It leads to **spurious regressions**</w:t>
      </w:r>
    </w:p>
    <w:p w14:paraId="2CB3FC37" w14:textId="77777777" w:rsidR="0003277F" w:rsidRDefault="0003277F" w:rsidP="0003277F">
      <w:r>
        <w:t>* Invalid inference</w:t>
      </w:r>
    </w:p>
    <w:p w14:paraId="0FDFA6F8" w14:textId="77777777" w:rsidR="0003277F" w:rsidRDefault="0003277F" w:rsidP="0003277F"/>
    <w:p w14:paraId="12153B88" w14:textId="77777777" w:rsidR="0003277F" w:rsidRDefault="0003277F" w:rsidP="0003277F">
      <w:r>
        <w:t>---</w:t>
      </w:r>
    </w:p>
    <w:p w14:paraId="5399962A" w14:textId="77777777" w:rsidR="0003277F" w:rsidRDefault="0003277F" w:rsidP="0003277F"/>
    <w:p w14:paraId="4622A738" w14:textId="77777777" w:rsidR="0003277F" w:rsidRDefault="0003277F" w:rsidP="0003277F">
      <w:r>
        <w:t># 4. So is DSGE inconsistent with this?</w:t>
      </w:r>
    </w:p>
    <w:p w14:paraId="3A75E0A4" w14:textId="77777777" w:rsidR="0003277F" w:rsidRDefault="0003277F" w:rsidP="0003277F"/>
    <w:p w14:paraId="5737D07D" w14:textId="77777777" w:rsidR="0003277F" w:rsidRDefault="0003277F" w:rsidP="0003277F">
      <w:r>
        <w:t>### Short answer: **Not necessarily—but it’s subtle**</w:t>
      </w:r>
    </w:p>
    <w:p w14:paraId="13462E3E" w14:textId="77777777" w:rsidR="0003277F" w:rsidRDefault="0003277F" w:rsidP="0003277F"/>
    <w:p w14:paraId="0668CA68" w14:textId="77777777" w:rsidR="0003277F" w:rsidRDefault="0003277F" w:rsidP="0003277F">
      <w:r>
        <w:t>---</w:t>
      </w:r>
    </w:p>
    <w:p w14:paraId="7D29AF00" w14:textId="77777777" w:rsidR="0003277F" w:rsidRDefault="0003277F" w:rsidP="0003277F"/>
    <w:p w14:paraId="432B8E2F" w14:textId="77777777" w:rsidR="0003277F" w:rsidRDefault="0003277F" w:rsidP="0003277F">
      <w:r>
        <w:t>## (A) DSGE models often impose stationarity</w:t>
      </w:r>
    </w:p>
    <w:p w14:paraId="78FA6C39" w14:textId="77777777" w:rsidR="0003277F" w:rsidRDefault="0003277F" w:rsidP="0003277F"/>
    <w:p w14:paraId="3A16CE07" w14:textId="77777777" w:rsidR="0003277F" w:rsidRDefault="0003277F" w:rsidP="0003277F">
      <w:r>
        <w:lastRenderedPageBreak/>
        <w:t>Even if shocks are persistent:</w:t>
      </w:r>
    </w:p>
    <w:p w14:paraId="17EABE08" w14:textId="77777777" w:rsidR="0003277F" w:rsidRDefault="0003277F" w:rsidP="0003277F"/>
    <w:p w14:paraId="23890A6E" w14:textId="77777777" w:rsidR="0003277F" w:rsidRDefault="0003277F" w:rsidP="0003277F">
      <w:r>
        <w:t>* DSGE models are typically **log-linearized around a steady state**</w:t>
      </w:r>
    </w:p>
    <w:p w14:paraId="5B61E96A" w14:textId="77777777" w:rsidR="0003277F" w:rsidRDefault="0003277F" w:rsidP="0003277F">
      <w:r>
        <w:t>* They often assume:</w:t>
      </w:r>
    </w:p>
    <w:p w14:paraId="56445DF9" w14:textId="77777777" w:rsidR="0003277F" w:rsidRDefault="0003277F" w:rsidP="0003277F"/>
    <w:p w14:paraId="17D60AD4" w14:textId="77777777" w:rsidR="0003277F" w:rsidRDefault="0003277F" w:rsidP="0003277F">
      <w:r>
        <w:t xml:space="preserve">  * variables are **stationary (or made stationary via detrending)**</w:t>
      </w:r>
    </w:p>
    <w:p w14:paraId="096A13AD" w14:textId="77777777" w:rsidR="0003277F" w:rsidRDefault="0003277F" w:rsidP="0003277F">
      <w:r>
        <w:t xml:space="preserve">  * shocks are **stationary AR(1)** (i.e. (|\rho| &lt; 1))</w:t>
      </w:r>
    </w:p>
    <w:p w14:paraId="45819137" w14:textId="77777777" w:rsidR="0003277F" w:rsidRDefault="0003277F" w:rsidP="0003277F"/>
    <w:p w14:paraId="16ACBBC2" w14:textId="77777777" w:rsidR="0003277F" w:rsidRDefault="0003277F" w:rsidP="0003277F">
      <w:r>
        <w:rPr>
          <w:rFonts w:ascii="Apple Color Emoji" w:hAnsi="Apple Color Emoji" w:cs="Apple Color Emoji"/>
        </w:rPr>
        <w:t>👉</w:t>
      </w:r>
      <w:r>
        <w:t xml:space="preserve"> So strictly speaking:</w:t>
      </w:r>
    </w:p>
    <w:p w14:paraId="7BABAD9B" w14:textId="77777777" w:rsidR="0003277F" w:rsidRDefault="0003277F" w:rsidP="0003277F"/>
    <w:p w14:paraId="043012FE" w14:textId="77777777" w:rsidR="0003277F" w:rsidRDefault="0003277F" w:rsidP="0003277F">
      <w:r>
        <w:t>* Unit roots are **not allowed** in the theoretical model</w:t>
      </w:r>
    </w:p>
    <w:p w14:paraId="43553B2B" w14:textId="77777777" w:rsidR="0003277F" w:rsidRDefault="0003277F" w:rsidP="0003277F"/>
    <w:p w14:paraId="37CBB07F" w14:textId="77777777" w:rsidR="0003277F" w:rsidRDefault="0003277F" w:rsidP="0003277F">
      <w:r>
        <w:t>---</w:t>
      </w:r>
    </w:p>
    <w:p w14:paraId="1C3EC3BE" w14:textId="77777777" w:rsidR="0003277F" w:rsidRDefault="0003277F" w:rsidP="0003277F"/>
    <w:p w14:paraId="2EE80E11" w14:textId="77777777" w:rsidR="0003277F" w:rsidRDefault="0003277F" w:rsidP="0003277F">
      <w:r>
        <w:t>## (B) But estimation pushes parameters near 1</w:t>
      </w:r>
    </w:p>
    <w:p w14:paraId="177064F1" w14:textId="77777777" w:rsidR="0003277F" w:rsidRDefault="0003277F" w:rsidP="0003277F"/>
    <w:p w14:paraId="4DDD1EF5" w14:textId="77777777" w:rsidR="0003277F" w:rsidRDefault="0003277F" w:rsidP="0003277F">
      <w:r>
        <w:t>Bayesian estimation (e.g. Smets–Wouters):</w:t>
      </w:r>
    </w:p>
    <w:p w14:paraId="36F979B1" w14:textId="77777777" w:rsidR="0003277F" w:rsidRDefault="0003277F" w:rsidP="0003277F"/>
    <w:p w14:paraId="1BBE493B" w14:textId="77777777" w:rsidR="0003277F" w:rsidRDefault="0003277F" w:rsidP="0003277F">
      <w:r>
        <w:t>* Priors allow (\rho) close to 1</w:t>
      </w:r>
    </w:p>
    <w:p w14:paraId="6E0C0C4F" w14:textId="77777777" w:rsidR="0003277F" w:rsidRDefault="0003277F" w:rsidP="0003277F">
      <w:r>
        <w:t>* Data often pushes posterior toward:</w:t>
      </w:r>
    </w:p>
    <w:p w14:paraId="5F413586" w14:textId="77777777" w:rsidR="0003277F" w:rsidRDefault="0003277F" w:rsidP="0003277F"/>
    <w:p w14:paraId="63AF3510" w14:textId="77777777" w:rsidR="0003277F" w:rsidRDefault="0003277F" w:rsidP="0003277F">
      <w:r>
        <w:t xml:space="preserve">  * **near-unit-root persistence**</w:t>
      </w:r>
    </w:p>
    <w:p w14:paraId="5393896B" w14:textId="77777777" w:rsidR="0003277F" w:rsidRDefault="0003277F" w:rsidP="0003277F"/>
    <w:p w14:paraId="5E0BA935" w14:textId="77777777" w:rsidR="0003277F" w:rsidRDefault="0003277F" w:rsidP="0003277F">
      <w:r>
        <w:rPr>
          <w:rFonts w:ascii="Apple Color Emoji" w:hAnsi="Apple Color Emoji" w:cs="Apple Color Emoji"/>
        </w:rPr>
        <w:t>👉</w:t>
      </w:r>
      <w:r>
        <w:t xml:space="preserve"> This creates **quasi–unit-root behavior**, but:</w:t>
      </w:r>
    </w:p>
    <w:p w14:paraId="00674035" w14:textId="77777777" w:rsidR="0003277F" w:rsidRDefault="0003277F" w:rsidP="0003277F"/>
    <w:p w14:paraId="1416DE97" w14:textId="77777777" w:rsidR="0003277F" w:rsidRDefault="0003277F" w:rsidP="0003277F">
      <w:r>
        <w:t>* still technically stationary</w:t>
      </w:r>
    </w:p>
    <w:p w14:paraId="4C65F636" w14:textId="77777777" w:rsidR="0003277F" w:rsidRDefault="0003277F" w:rsidP="0003277F"/>
    <w:p w14:paraId="7EA35607" w14:textId="77777777" w:rsidR="0003277F" w:rsidRDefault="0003277F" w:rsidP="0003277F">
      <w:r>
        <w:t>---</w:t>
      </w:r>
    </w:p>
    <w:p w14:paraId="5B2849D8" w14:textId="77777777" w:rsidR="0003277F" w:rsidRDefault="0003277F" w:rsidP="0003277F"/>
    <w:p w14:paraId="33A5D4B0" w14:textId="77777777" w:rsidR="0003277F" w:rsidRDefault="0003277F" w:rsidP="0003277F">
      <w:r>
        <w:t>## (C) Bayesian approach does NOT “deny” unit roots</w:t>
      </w:r>
    </w:p>
    <w:p w14:paraId="7BDD2905" w14:textId="77777777" w:rsidR="0003277F" w:rsidRDefault="0003277F" w:rsidP="0003277F"/>
    <w:p w14:paraId="6E7B90C9" w14:textId="77777777" w:rsidR="0003277F" w:rsidRDefault="0003277F" w:rsidP="0003277F">
      <w:r>
        <w:t>It actually:</w:t>
      </w:r>
    </w:p>
    <w:p w14:paraId="156E657C" w14:textId="77777777" w:rsidR="0003277F" w:rsidRDefault="0003277F" w:rsidP="0003277F"/>
    <w:p w14:paraId="47380044" w14:textId="77777777" w:rsidR="0003277F" w:rsidRDefault="0003277F" w:rsidP="0003277F">
      <w:r>
        <w:t>* **Acknowledges persistence**</w:t>
      </w:r>
    </w:p>
    <w:p w14:paraId="4A6F0FB6" w14:textId="77777777" w:rsidR="0003277F" w:rsidRDefault="0003277F" w:rsidP="0003277F">
      <w:r>
        <w:t>* But avoids strict unit roots because:</w:t>
      </w:r>
    </w:p>
    <w:p w14:paraId="21BA9F3F" w14:textId="77777777" w:rsidR="0003277F" w:rsidRDefault="0003277F" w:rsidP="0003277F"/>
    <w:p w14:paraId="0F7BFD78" w14:textId="77777777" w:rsidR="0003277F" w:rsidRDefault="0003277F" w:rsidP="0003277F">
      <w:r>
        <w:t xml:space="preserve">  * unit roots create **non-stationarity**</w:t>
      </w:r>
    </w:p>
    <w:p w14:paraId="22B7A64F" w14:textId="77777777" w:rsidR="0003277F" w:rsidRDefault="0003277F" w:rsidP="0003277F">
      <w:r>
        <w:t xml:space="preserve">  * which complicates likelihood-based estimation</w:t>
      </w:r>
    </w:p>
    <w:p w14:paraId="7A73E3A3" w14:textId="77777777" w:rsidR="0003277F" w:rsidRDefault="0003277F" w:rsidP="0003277F"/>
    <w:p w14:paraId="4AF0D43B" w14:textId="77777777" w:rsidR="0003277F" w:rsidRDefault="0003277F" w:rsidP="0003277F">
      <w:r>
        <w:t>So instead:</w:t>
      </w:r>
    </w:p>
    <w:p w14:paraId="140ACA8E" w14:textId="77777777" w:rsidR="0003277F" w:rsidRDefault="0003277F" w:rsidP="0003277F"/>
    <w:p w14:paraId="7D096B5F" w14:textId="77777777" w:rsidR="0003277F" w:rsidRDefault="0003277F" w:rsidP="0003277F">
      <w:r>
        <w:t>* DSGE models approximate unit roots with **high persistence**</w:t>
      </w:r>
    </w:p>
    <w:p w14:paraId="6D6907C8" w14:textId="77777777" w:rsidR="0003277F" w:rsidRDefault="0003277F" w:rsidP="0003277F"/>
    <w:p w14:paraId="715C6FA0" w14:textId="77777777" w:rsidR="0003277F" w:rsidRDefault="0003277F" w:rsidP="0003277F">
      <w:r>
        <w:t>---</w:t>
      </w:r>
    </w:p>
    <w:p w14:paraId="02334397" w14:textId="77777777" w:rsidR="0003277F" w:rsidRDefault="0003277F" w:rsidP="0003277F"/>
    <w:p w14:paraId="03B4B214" w14:textId="77777777" w:rsidR="0003277F" w:rsidRDefault="0003277F" w:rsidP="0003277F">
      <w:r>
        <w:t># 5. Key conceptual difference with VAR/VECM</w:t>
      </w:r>
    </w:p>
    <w:p w14:paraId="462061EA" w14:textId="77777777" w:rsidR="0003277F" w:rsidRDefault="0003277F" w:rsidP="0003277F"/>
    <w:p w14:paraId="635924C5" w14:textId="77777777" w:rsidR="0003277F" w:rsidRDefault="0003277F" w:rsidP="0003277F">
      <w:r>
        <w:lastRenderedPageBreak/>
        <w:t>| Feature                 | DSGE                      | VAR / VECM                 |</w:t>
      </w:r>
    </w:p>
    <w:p w14:paraId="6DE478CC" w14:textId="77777777" w:rsidR="0003277F" w:rsidRDefault="0003277F" w:rsidP="0003277F">
      <w:r>
        <w:t>| ----------------------- | ------------------------- | -------------------------- |</w:t>
      </w:r>
    </w:p>
    <w:p w14:paraId="70FB2524" w14:textId="77777777" w:rsidR="0003277F" w:rsidRDefault="0003277F" w:rsidP="0003277F">
      <w:r>
        <w:t>| Treatment of unit roots | Avoid exact unit roots    | Explicitly model them      |</w:t>
      </w:r>
    </w:p>
    <w:p w14:paraId="6DCCB9A8" w14:textId="77777777" w:rsidR="0003277F" w:rsidRDefault="0003277F" w:rsidP="0003277F">
      <w:r>
        <w:t>| Shocks                  | Structural, AR(1)         | Reduced-form residuals     |</w:t>
      </w:r>
    </w:p>
    <w:p w14:paraId="61FB4B4E" w14:textId="77777777" w:rsidR="0003277F" w:rsidRDefault="0003277F" w:rsidP="0003277F">
      <w:r>
        <w:t>| Persistence             | Often near-unit-root      | Tested formally            |</w:t>
      </w:r>
    </w:p>
    <w:p w14:paraId="0084D11F" w14:textId="77777777" w:rsidR="0003277F" w:rsidRDefault="0003277F" w:rsidP="0003277F">
      <w:r>
        <w:t>| Goal                    | Structural interpretation | Statistical representation |</w:t>
      </w:r>
    </w:p>
    <w:p w14:paraId="02574751" w14:textId="77777777" w:rsidR="0003277F" w:rsidRDefault="0003277F" w:rsidP="0003277F"/>
    <w:p w14:paraId="6957929D" w14:textId="77777777" w:rsidR="0003277F" w:rsidRDefault="0003277F" w:rsidP="0003277F">
      <w:r>
        <w:t>---</w:t>
      </w:r>
    </w:p>
    <w:p w14:paraId="5FA09278" w14:textId="77777777" w:rsidR="0003277F" w:rsidRDefault="0003277F" w:rsidP="0003277F"/>
    <w:p w14:paraId="2E1FF9BC" w14:textId="77777777" w:rsidR="0003277F" w:rsidRDefault="0003277F" w:rsidP="0003277F">
      <w:r>
        <w:t># 6. Is it valid to have “unit root-like” shocks?</w:t>
      </w:r>
    </w:p>
    <w:p w14:paraId="1BBC699B" w14:textId="77777777" w:rsidR="0003277F" w:rsidRDefault="0003277F" w:rsidP="0003277F"/>
    <w:p w14:paraId="262C1DA7" w14:textId="77777777" w:rsidR="0003277F" w:rsidRDefault="0003277F" w:rsidP="0003277F">
      <w:r>
        <w:t>### In DSGE:</w:t>
      </w:r>
    </w:p>
    <w:p w14:paraId="057A47F1" w14:textId="77777777" w:rsidR="0003277F" w:rsidRDefault="0003277F" w:rsidP="0003277F"/>
    <w:p w14:paraId="3F26ABD6" w14:textId="77777777" w:rsidR="0003277F" w:rsidRDefault="0003277F" w:rsidP="0003277F">
      <w:r>
        <w:rPr>
          <w:rFonts w:ascii="Apple Color Emoji" w:hAnsi="Apple Color Emoji" w:cs="Apple Color Emoji"/>
        </w:rPr>
        <w:t>✔</w:t>
      </w:r>
      <w:r>
        <w:t xml:space="preserve"> Yes, as long as:</w:t>
      </w:r>
    </w:p>
    <w:p w14:paraId="499B0EED" w14:textId="77777777" w:rsidR="0003277F" w:rsidRDefault="0003277F" w:rsidP="0003277F"/>
    <w:p w14:paraId="5C98804C" w14:textId="77777777" w:rsidR="0003277F" w:rsidRDefault="0003277F" w:rsidP="0003277F">
      <w:r>
        <w:t>* (|\rho| &lt; 1) (strict stationarity)</w:t>
      </w:r>
    </w:p>
    <w:p w14:paraId="617EDA85" w14:textId="77777777" w:rsidR="0003277F" w:rsidRDefault="0003277F" w:rsidP="0003277F">
      <w:r>
        <w:t>* model remains well-defined</w:t>
      </w:r>
    </w:p>
    <w:p w14:paraId="5A920445" w14:textId="77777777" w:rsidR="0003277F" w:rsidRDefault="0003277F" w:rsidP="0003277F"/>
    <w:p w14:paraId="2EBAB0BF" w14:textId="77777777" w:rsidR="0003277F" w:rsidRDefault="0003277F" w:rsidP="0003277F">
      <w:r>
        <w:t>### In VAR/VECM:</w:t>
      </w:r>
    </w:p>
    <w:p w14:paraId="4B1B5585" w14:textId="77777777" w:rsidR="0003277F" w:rsidRDefault="0003277F" w:rsidP="0003277F"/>
    <w:p w14:paraId="72ACA9C1" w14:textId="77777777" w:rsidR="0003277F" w:rsidRDefault="0003277F" w:rsidP="0003277F">
      <w:r>
        <w:rPr>
          <w:rFonts w:ascii="Apple Color Emoji" w:hAnsi="Apple Color Emoji" w:cs="Apple Color Emoji"/>
        </w:rPr>
        <w:t>❌</w:t>
      </w:r>
      <w:r>
        <w:t xml:space="preserve"> No, you must:</w:t>
      </w:r>
    </w:p>
    <w:p w14:paraId="64F9342B" w14:textId="77777777" w:rsidR="0003277F" w:rsidRDefault="0003277F" w:rsidP="0003277F"/>
    <w:p w14:paraId="47533468" w14:textId="77777777" w:rsidR="0003277F" w:rsidRDefault="0003277F" w:rsidP="0003277F">
      <w:r>
        <w:t>* explicitly model integration/cointegration</w:t>
      </w:r>
    </w:p>
    <w:p w14:paraId="5E0E4B01" w14:textId="77777777" w:rsidR="0003277F" w:rsidRDefault="0003277F" w:rsidP="0003277F"/>
    <w:p w14:paraId="65603B4E" w14:textId="77777777" w:rsidR="0003277F" w:rsidRDefault="0003277F" w:rsidP="0003277F">
      <w:r>
        <w:t>---</w:t>
      </w:r>
    </w:p>
    <w:p w14:paraId="37D0064A" w14:textId="77777777" w:rsidR="0003277F" w:rsidRDefault="0003277F" w:rsidP="0003277F"/>
    <w:p w14:paraId="428E0E63" w14:textId="77777777" w:rsidR="0003277F" w:rsidRDefault="0003277F" w:rsidP="0003277F">
      <w:r>
        <w:t># 7. Final answer to the question</w:t>
      </w:r>
    </w:p>
    <w:p w14:paraId="5ECACD12" w14:textId="77777777" w:rsidR="0003277F" w:rsidRDefault="0003277F" w:rsidP="0003277F"/>
    <w:p w14:paraId="252A14F7" w14:textId="77777777" w:rsidR="0003277F" w:rsidRDefault="0003277F" w:rsidP="0003277F">
      <w:r>
        <w:t xml:space="preserve">### </w:t>
      </w:r>
      <w:r>
        <w:rPr>
          <w:rFonts w:ascii="Segoe UI Symbol" w:hAnsi="Segoe UI Symbol" w:cs="Segoe UI Symbol"/>
        </w:rPr>
        <w:t>➤</w:t>
      </w:r>
      <w:r>
        <w:t xml:space="preserve"> Is it expected to be valid in VAR or VECM?</w:t>
      </w:r>
    </w:p>
    <w:p w14:paraId="5A731102" w14:textId="77777777" w:rsidR="0003277F" w:rsidRDefault="0003277F" w:rsidP="0003277F"/>
    <w:p w14:paraId="0B606C4C" w14:textId="77777777" w:rsidR="0003277F" w:rsidRDefault="0003277F" w:rsidP="0003277F">
      <w:r>
        <w:t>* **No**, because:</w:t>
      </w:r>
    </w:p>
    <w:p w14:paraId="0D2748AC" w14:textId="77777777" w:rsidR="0003277F" w:rsidRDefault="0003277F" w:rsidP="0003277F"/>
    <w:p w14:paraId="371BB6A4" w14:textId="77777777" w:rsidR="0003277F" w:rsidRDefault="0003277F" w:rsidP="0003277F">
      <w:r>
        <w:t xml:space="preserve">  * VAR/VECM frameworks require explicit treatment of unit roots</w:t>
      </w:r>
    </w:p>
    <w:p w14:paraId="3D3A8858" w14:textId="77777777" w:rsidR="0003277F" w:rsidRDefault="0003277F" w:rsidP="0003277F">
      <w:r>
        <w:t xml:space="preserve">  * You cannot “hide” them in persistent shocks</w:t>
      </w:r>
    </w:p>
    <w:p w14:paraId="098D7ED9" w14:textId="77777777" w:rsidR="0003277F" w:rsidRDefault="0003277F" w:rsidP="0003277F"/>
    <w:p w14:paraId="14480D5F" w14:textId="77777777" w:rsidR="0003277F" w:rsidRDefault="0003277F" w:rsidP="0003277F">
      <w:r>
        <w:t>---</w:t>
      </w:r>
    </w:p>
    <w:p w14:paraId="2B35B461" w14:textId="77777777" w:rsidR="0003277F" w:rsidRDefault="0003277F" w:rsidP="0003277F"/>
    <w:p w14:paraId="4655AFED" w14:textId="77777777" w:rsidR="0003277F" w:rsidRDefault="0003277F" w:rsidP="0003277F">
      <w:r>
        <w:t xml:space="preserve">### </w:t>
      </w:r>
      <w:r>
        <w:rPr>
          <w:rFonts w:ascii="Segoe UI Symbol" w:hAnsi="Segoe UI Symbol" w:cs="Segoe UI Symbol"/>
        </w:rPr>
        <w:t>➤</w:t>
      </w:r>
      <w:r>
        <w:t xml:space="preserve"> Do Bayesian DSGE models deny the importance of unit roots?</w:t>
      </w:r>
    </w:p>
    <w:p w14:paraId="604AE3E6" w14:textId="77777777" w:rsidR="0003277F" w:rsidRDefault="0003277F" w:rsidP="0003277F"/>
    <w:p w14:paraId="3415CF5D" w14:textId="77777777" w:rsidR="0003277F" w:rsidRDefault="0003277F" w:rsidP="0003277F">
      <w:r>
        <w:t>**No — but they handle them differently:**</w:t>
      </w:r>
    </w:p>
    <w:p w14:paraId="43C0F056" w14:textId="77777777" w:rsidR="0003277F" w:rsidRDefault="0003277F" w:rsidP="0003277F"/>
    <w:p w14:paraId="5BD0ED01" w14:textId="77777777" w:rsidR="0003277F" w:rsidRDefault="0003277F" w:rsidP="0003277F">
      <w:r>
        <w:t>* They **do not deny unit roots**</w:t>
      </w:r>
    </w:p>
    <w:p w14:paraId="7921306D" w14:textId="77777777" w:rsidR="0003277F" w:rsidRDefault="0003277F" w:rsidP="0003277F">
      <w:r>
        <w:t>* They:</w:t>
      </w:r>
    </w:p>
    <w:p w14:paraId="094BC97A" w14:textId="77777777" w:rsidR="0003277F" w:rsidRDefault="0003277F" w:rsidP="0003277F"/>
    <w:p w14:paraId="3B7CF4CF" w14:textId="77777777" w:rsidR="0003277F" w:rsidRDefault="0003277F" w:rsidP="0003277F">
      <w:r>
        <w:t xml:space="preserve">  * avoid exact unit roots for tractability</w:t>
      </w:r>
    </w:p>
    <w:p w14:paraId="43C87879" w14:textId="77777777" w:rsidR="0003277F" w:rsidRDefault="0003277F" w:rsidP="0003277F">
      <w:r>
        <w:t xml:space="preserve">  * approximate them with **highly persistent AR(1) shocks**</w:t>
      </w:r>
    </w:p>
    <w:p w14:paraId="7CC29A89" w14:textId="77777777" w:rsidR="0003277F" w:rsidRDefault="0003277F" w:rsidP="0003277F"/>
    <w:p w14:paraId="50AF7F24" w14:textId="77777777" w:rsidR="0003277F" w:rsidRDefault="0003277F" w:rsidP="0003277F">
      <w:r>
        <w:rPr>
          <w:rFonts w:ascii="Apple Color Emoji" w:hAnsi="Apple Color Emoji" w:cs="Apple Color Emoji"/>
        </w:rPr>
        <w:lastRenderedPageBreak/>
        <w:t>👉</w:t>
      </w:r>
      <w:r>
        <w:t xml:space="preserve"> This is more a **modeling choice** than a denial.</w:t>
      </w:r>
    </w:p>
    <w:p w14:paraId="77AD6E34" w14:textId="77777777" w:rsidR="0003277F" w:rsidRDefault="0003277F" w:rsidP="0003277F"/>
    <w:p w14:paraId="5369B0D5" w14:textId="77777777" w:rsidR="0003277F" w:rsidRDefault="0003277F" w:rsidP="0003277F">
      <w:r>
        <w:t>---</w:t>
      </w:r>
    </w:p>
    <w:p w14:paraId="18B1C375" w14:textId="77777777" w:rsidR="0003277F" w:rsidRDefault="0003277F" w:rsidP="0003277F"/>
    <w:p w14:paraId="76A41E71" w14:textId="77777777" w:rsidR="0003277F" w:rsidRDefault="0003277F" w:rsidP="0003277F">
      <w:r>
        <w:t># 8. Critical insight (what your professor likely wants)</w:t>
      </w:r>
    </w:p>
    <w:p w14:paraId="1130C512" w14:textId="77777777" w:rsidR="0003277F" w:rsidRDefault="0003277F" w:rsidP="0003277F"/>
    <w:p w14:paraId="17050C4C" w14:textId="77777777" w:rsidR="0003277F" w:rsidRDefault="0003277F" w:rsidP="0003277F">
      <w:r>
        <w:t>The tension is:</w:t>
      </w:r>
    </w:p>
    <w:p w14:paraId="37B58166" w14:textId="77777777" w:rsidR="0003277F" w:rsidRDefault="0003277F" w:rsidP="0003277F"/>
    <w:p w14:paraId="4931EBF6" w14:textId="77777777" w:rsidR="0003277F" w:rsidRDefault="0003277F" w:rsidP="0003277F">
      <w:r>
        <w:t>&gt; DSGE models often attribute macro persistence to **exogenous shocks**,</w:t>
      </w:r>
    </w:p>
    <w:p w14:paraId="1B362844" w14:textId="77777777" w:rsidR="0003277F" w:rsidRDefault="0003277F" w:rsidP="0003277F">
      <w:r>
        <w:t>&gt; while time series econometrics would attribute it to **non-stationarity in the data**.</w:t>
      </w:r>
    </w:p>
    <w:p w14:paraId="07B381C3" w14:textId="77777777" w:rsidR="0003277F" w:rsidRDefault="0003277F" w:rsidP="0003277F"/>
    <w:p w14:paraId="0C85CD24" w14:textId="77777777" w:rsidR="0003277F" w:rsidRDefault="0003277F" w:rsidP="0003277F">
      <w:r>
        <w:t>This is exactly the core of the **Romer critique**:</w:t>
      </w:r>
    </w:p>
    <w:p w14:paraId="041B9382" w14:textId="77777777" w:rsidR="0003277F" w:rsidRDefault="0003277F" w:rsidP="0003277F"/>
    <w:p w14:paraId="30F682E6" w14:textId="77777777" w:rsidR="0003277F" w:rsidRDefault="0003277F" w:rsidP="0003277F">
      <w:r>
        <w:t>* persistence may be **misinterpreted as structural shocks**</w:t>
      </w:r>
    </w:p>
    <w:p w14:paraId="7C086C85" w14:textId="77777777" w:rsidR="0003277F" w:rsidRDefault="0003277F" w:rsidP="0003277F"/>
    <w:p w14:paraId="6A3828A5" w14:textId="77777777" w:rsidR="0003277F" w:rsidRDefault="0003277F" w:rsidP="0003277F">
      <w:r>
        <w:t>---</w:t>
      </w:r>
    </w:p>
    <w:p w14:paraId="077C253A" w14:textId="77777777" w:rsidR="0003277F" w:rsidRDefault="0003277F" w:rsidP="0003277F"/>
    <w:p w14:paraId="181C8929" w14:textId="40ACC909" w:rsidR="0003277F" w:rsidRDefault="0003277F" w:rsidP="0003277F">
      <w:r>
        <w:t>If you want, I can turn this into a **perfect 15-minute exam answer** with equations and structure tailored to your econometrics course.</w:t>
      </w:r>
    </w:p>
    <w:sectPr w:rsidR="00032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82F2C"/>
    <w:multiLevelType w:val="multilevel"/>
    <w:tmpl w:val="D75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528C0"/>
    <w:multiLevelType w:val="multilevel"/>
    <w:tmpl w:val="FFD8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510F5C"/>
    <w:multiLevelType w:val="multilevel"/>
    <w:tmpl w:val="D6C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2291C"/>
    <w:multiLevelType w:val="multilevel"/>
    <w:tmpl w:val="C5F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955284">
    <w:abstractNumId w:val="1"/>
  </w:num>
  <w:num w:numId="2" w16cid:durableId="296036491">
    <w:abstractNumId w:val="3"/>
  </w:num>
  <w:num w:numId="3" w16cid:durableId="1064377848">
    <w:abstractNumId w:val="0"/>
  </w:num>
  <w:num w:numId="4" w16cid:durableId="920679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7F"/>
    <w:rsid w:val="0003277F"/>
    <w:rsid w:val="001940C0"/>
    <w:rsid w:val="003C6E44"/>
    <w:rsid w:val="0056734C"/>
    <w:rsid w:val="00A31525"/>
    <w:rsid w:val="00E928D6"/>
    <w:rsid w:val="00EA71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5D06"/>
  <w15:chartTrackingRefBased/>
  <w15:docId w15:val="{D9A7AA16-921A-854A-990D-AFC5BEE3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2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7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7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7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7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2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77F"/>
    <w:rPr>
      <w:rFonts w:eastAsiaTheme="majorEastAsia" w:cstheme="majorBidi"/>
      <w:color w:val="272727" w:themeColor="text1" w:themeTint="D8"/>
    </w:rPr>
  </w:style>
  <w:style w:type="paragraph" w:styleId="Title">
    <w:name w:val="Title"/>
    <w:basedOn w:val="Normal"/>
    <w:next w:val="Normal"/>
    <w:link w:val="TitleChar"/>
    <w:uiPriority w:val="10"/>
    <w:qFormat/>
    <w:rsid w:val="000327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7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7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277F"/>
    <w:rPr>
      <w:i/>
      <w:iCs/>
      <w:color w:val="404040" w:themeColor="text1" w:themeTint="BF"/>
    </w:rPr>
  </w:style>
  <w:style w:type="paragraph" w:styleId="ListParagraph">
    <w:name w:val="List Paragraph"/>
    <w:basedOn w:val="Normal"/>
    <w:uiPriority w:val="34"/>
    <w:qFormat/>
    <w:rsid w:val="0003277F"/>
    <w:pPr>
      <w:ind w:left="720"/>
      <w:contextualSpacing/>
    </w:pPr>
  </w:style>
  <w:style w:type="character" w:styleId="IntenseEmphasis">
    <w:name w:val="Intense Emphasis"/>
    <w:basedOn w:val="DefaultParagraphFont"/>
    <w:uiPriority w:val="21"/>
    <w:qFormat/>
    <w:rsid w:val="0003277F"/>
    <w:rPr>
      <w:i/>
      <w:iCs/>
      <w:color w:val="0F4761" w:themeColor="accent1" w:themeShade="BF"/>
    </w:rPr>
  </w:style>
  <w:style w:type="paragraph" w:styleId="IntenseQuote">
    <w:name w:val="Intense Quote"/>
    <w:basedOn w:val="Normal"/>
    <w:next w:val="Normal"/>
    <w:link w:val="IntenseQuoteChar"/>
    <w:uiPriority w:val="30"/>
    <w:qFormat/>
    <w:rsid w:val="00032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77F"/>
    <w:rPr>
      <w:i/>
      <w:iCs/>
      <w:color w:val="0F4761" w:themeColor="accent1" w:themeShade="BF"/>
    </w:rPr>
  </w:style>
  <w:style w:type="character" w:styleId="IntenseReference">
    <w:name w:val="Intense Reference"/>
    <w:basedOn w:val="DefaultParagraphFont"/>
    <w:uiPriority w:val="32"/>
    <w:qFormat/>
    <w:rsid w:val="0003277F"/>
    <w:rPr>
      <w:b/>
      <w:bCs/>
      <w:smallCaps/>
      <w:color w:val="0F4761" w:themeColor="accent1" w:themeShade="BF"/>
      <w:spacing w:val="5"/>
    </w:rPr>
  </w:style>
  <w:style w:type="paragraph" w:styleId="NormalWeb">
    <w:name w:val="Normal (Web)"/>
    <w:basedOn w:val="Normal"/>
    <w:uiPriority w:val="99"/>
    <w:semiHidden/>
    <w:unhideWhenUsed/>
    <w:rsid w:val="0003277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3277F"/>
    <w:rPr>
      <w:b/>
      <w:bCs/>
    </w:rPr>
  </w:style>
  <w:style w:type="character" w:customStyle="1" w:styleId="apple-converted-space">
    <w:name w:val="apple-converted-space"/>
    <w:basedOn w:val="DefaultParagraphFont"/>
    <w:rsid w:val="0003277F"/>
  </w:style>
  <w:style w:type="character" w:customStyle="1" w:styleId="math-inline">
    <w:name w:val="math-inline"/>
    <w:basedOn w:val="DefaultParagraphFont"/>
    <w:rsid w:val="00032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1701</Words>
  <Characters>9699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UBERTI BONA BLOTTO LORENZO ALESSANDRO</dc:creator>
  <cp:keywords/>
  <dc:description/>
  <cp:lastModifiedBy>UBERTI BONA BLOTTO LORENZO ALESSANDRO</cp:lastModifiedBy>
  <cp:revision>1</cp:revision>
  <dcterms:created xsi:type="dcterms:W3CDTF">2026-03-23T09:21:00Z</dcterms:created>
  <dcterms:modified xsi:type="dcterms:W3CDTF">2026-03-23T11:00:00Z</dcterms:modified>
</cp:coreProperties>
</file>