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C63D5" w14:textId="77777777" w:rsidR="00555E47" w:rsidRPr="00426331" w:rsidRDefault="00000000">
      <w:pPr>
        <w:pStyle w:val="Titolo"/>
        <w:rPr>
          <w:lang w:val="it-IT"/>
        </w:rPr>
      </w:pPr>
      <w:r w:rsidRPr="00426331">
        <w:rPr>
          <w:lang w:val="it-IT"/>
        </w:rPr>
        <w:t>NeuroBridge V2 checklist finale</w:t>
      </w:r>
    </w:p>
    <w:p w14:paraId="04BEA0CC" w14:textId="77777777" w:rsidR="00555E47" w:rsidRPr="00426331" w:rsidRDefault="00000000">
      <w:pPr>
        <w:pStyle w:val="Sottotitolo"/>
        <w:rPr>
          <w:lang w:val="it-IT"/>
        </w:rPr>
      </w:pPr>
      <w:r w:rsidRPr="00426331">
        <w:rPr>
          <w:lang w:val="it-IT"/>
        </w:rPr>
        <w:t>Chiusura scientifica, risultati da riportare e requisiti di presentazione per una tesi competitiva a livello internazionale</w:t>
      </w:r>
    </w:p>
    <w:p w14:paraId="202B715A" w14:textId="77777777" w:rsidR="00555E47" w:rsidRPr="00426331" w:rsidRDefault="00000000">
      <w:pPr>
        <w:spacing w:before="80"/>
        <w:rPr>
          <w:rFonts w:hint="eastAsia"/>
          <w:lang w:val="it-IT"/>
        </w:rPr>
      </w:pPr>
      <w:r w:rsidRPr="00426331">
        <w:rPr>
          <w:b/>
          <w:lang w:val="it-IT"/>
        </w:rPr>
        <w:t>Stato documentale: 1 ottobre 2026</w:t>
      </w:r>
    </w:p>
    <w:p w14:paraId="3DA848DC" w14:textId="77777777" w:rsidR="00555E47" w:rsidRPr="00426331" w:rsidRDefault="00000000">
      <w:pPr>
        <w:rPr>
          <w:rFonts w:hint="eastAsia"/>
          <w:lang w:val="it-IT"/>
        </w:rPr>
      </w:pPr>
      <w:r w:rsidRPr="00426331">
        <w:rPr>
          <w:lang w:val="it-IT"/>
        </w:rPr>
        <w:t>Questa è la checklist operativa di riferimento per portare il lavoro attuale a una tesi completa, verificabile e difendibile. “Top US” è l’obiettivo di qualità, non una garanzia di ammissione: contano anche relatore, istituzione, lettere, scrittura e selezione del programma.</w:t>
      </w:r>
    </w:p>
    <w:p w14:paraId="7BFFFE7A" w14:textId="77777777" w:rsidR="00555E47" w:rsidRPr="00426331" w:rsidRDefault="00000000">
      <w:pPr>
        <w:rPr>
          <w:rFonts w:hint="eastAsia"/>
          <w:lang w:val="it-IT"/>
        </w:rPr>
      </w:pPr>
      <w:r w:rsidRPr="00426331">
        <w:rPr>
          <w:lang w:val="it-IT"/>
        </w:rPr>
        <w:t>Il nucleo sperimentale non è da ricostruire da zero. HPO, freeze della finestra reale, fit held-out e metriche finali sono presenti nei pacchetti caricati. Restano da chiudere controlli statistici già pianificati, rendere i risultati leggibili e completi nella tesi, correggere le slide e verificare la riproducibilità da un bundle pulito.</w:t>
      </w:r>
    </w:p>
    <w:p w14:paraId="26D2975E" w14:textId="77777777" w:rsidR="00555E47" w:rsidRDefault="00000000">
      <w:pPr>
        <w:pStyle w:val="Titolo2"/>
      </w:pPr>
      <w:r>
        <w:t>Legenda degli stati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8424"/>
      </w:tblGrid>
      <w:tr w:rsidR="00555E47" w14:paraId="4B881609" w14:textId="77777777">
        <w:trPr>
          <w:jc w:val="center"/>
        </w:trPr>
        <w:tc>
          <w:tcPr>
            <w:tcW w:w="2232" w:type="dxa"/>
            <w:shd w:val="clear" w:color="auto" w:fill="24476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805AD2A" w14:textId="77777777" w:rsidR="00555E4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Stato</w:t>
            </w:r>
          </w:p>
        </w:tc>
        <w:tc>
          <w:tcPr>
            <w:tcW w:w="8424" w:type="dxa"/>
            <w:shd w:val="clear" w:color="auto" w:fill="24476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CD1110F" w14:textId="77777777" w:rsidR="00555E4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Significato operativo</w:t>
            </w:r>
          </w:p>
        </w:tc>
      </w:tr>
      <w:tr w:rsidR="00555E47" w:rsidRPr="00426331" w14:paraId="61C4A876" w14:textId="77777777"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229D7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CHIUSO / verificato</w:t>
            </w:r>
          </w:p>
        </w:tc>
        <w:tc>
          <w:tcPr>
            <w:tcW w:w="84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BFD64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7"/>
                <w:lang w:val="it-IT"/>
              </w:rPr>
              <w:t>Un artefatto del 1 ottobre registra il completamento. Va comunque descritto e citato correttamente nella tesi.</w:t>
            </w:r>
          </w:p>
        </w:tc>
      </w:tr>
      <w:tr w:rsidR="00555E47" w:rsidRPr="00426331" w14:paraId="217CA201" w14:textId="77777777">
        <w:trPr>
          <w:jc w:val="center"/>
        </w:trPr>
        <w:tc>
          <w:tcPr>
            <w:tcW w:w="2232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FAD7A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APERTO / necessario</w:t>
            </w:r>
          </w:p>
        </w:tc>
        <w:tc>
          <w:tcPr>
            <w:tcW w:w="842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F0FC4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7"/>
                <w:lang w:val="it-IT"/>
              </w:rPr>
              <w:t>Manca un output o un passaggio che serve prima di congelare le conclusioni.</w:t>
            </w:r>
          </w:p>
        </w:tc>
      </w:tr>
      <w:tr w:rsidR="00555E47" w:rsidRPr="00426331" w14:paraId="7B2434A4" w14:textId="77777777"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FC4FF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DA VERIFICARE</w:t>
            </w:r>
          </w:p>
        </w:tc>
        <w:tc>
          <w:tcPr>
            <w:tcW w:w="84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5532A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7"/>
                <w:lang w:val="it-IT"/>
              </w:rPr>
              <w:t>Il materiale fornito non permette di certificare il passaggio. Non marcarlo come completato senza evidenza.</w:t>
            </w:r>
          </w:p>
        </w:tc>
      </w:tr>
      <w:tr w:rsidR="00555E47" w:rsidRPr="00426331" w14:paraId="75A6107E" w14:textId="77777777">
        <w:trPr>
          <w:jc w:val="center"/>
        </w:trPr>
        <w:tc>
          <w:tcPr>
            <w:tcW w:w="2232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4753C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CONDIZIONALE</w:t>
            </w:r>
          </w:p>
        </w:tc>
        <w:tc>
          <w:tcPr>
            <w:tcW w:w="842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1249CD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7"/>
                <w:lang w:val="it-IT"/>
              </w:rPr>
              <w:t>Necessario se si mantiene una specifica claim; altrimenti restringere la claim e dichiarare il limite.</w:t>
            </w:r>
          </w:p>
        </w:tc>
      </w:tr>
      <w:tr w:rsidR="00555E47" w:rsidRPr="00426331" w14:paraId="2F748DA8" w14:textId="77777777"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39580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FACOLTATIVO</w:t>
            </w:r>
          </w:p>
        </w:tc>
        <w:tc>
          <w:tcPr>
            <w:tcW w:w="84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B46B7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7"/>
                <w:lang w:val="it-IT"/>
              </w:rPr>
              <w:t>Può aggiungere valore, ma non blocca la tesi né autorizza a disperdere il lavoro.</w:t>
            </w:r>
          </w:p>
        </w:tc>
      </w:tr>
    </w:tbl>
    <w:p w14:paraId="256B4232" w14:textId="77777777" w:rsidR="00555E47" w:rsidRPr="00426331" w:rsidRDefault="00555E47">
      <w:pPr>
        <w:spacing w:after="20"/>
        <w:rPr>
          <w:rFonts w:hint="eastAsia"/>
          <w:lang w:val="it-IT"/>
        </w:rPr>
      </w:pPr>
    </w:p>
    <w:p w14:paraId="1ED73BAD" w14:textId="77777777" w:rsidR="00555E47" w:rsidRPr="00426331" w:rsidRDefault="00000000">
      <w:pPr>
        <w:rPr>
          <w:rFonts w:hint="eastAsia"/>
          <w:lang w:val="it-IT"/>
        </w:rPr>
      </w:pPr>
      <w:r w:rsidRPr="00426331">
        <w:rPr>
          <w:lang w:val="it-IT"/>
        </w:rPr>
        <w:t>Ordine di lavoro consigliato: finire i controlli aperti → congelare endpoint e tabelle → scrivere Methods/Results/Discussion → correggere e completare le slide → eseguire il controllo finale di codice, citazioni e provenienza.</w:t>
      </w:r>
    </w:p>
    <w:p w14:paraId="42192893" w14:textId="77777777" w:rsidR="00555E47" w:rsidRPr="00426331" w:rsidRDefault="00000000">
      <w:pPr>
        <w:pStyle w:val="Titolo1"/>
        <w:rPr>
          <w:lang w:val="it-IT"/>
        </w:rPr>
      </w:pPr>
      <w:r w:rsidRPr="00426331">
        <w:rPr>
          <w:lang w:val="it-IT"/>
        </w:rPr>
        <w:t>1. Domanda, contributo e confini delle conclusioni</w:t>
      </w:r>
    </w:p>
    <w:p w14:paraId="5A36693D" w14:textId="77777777" w:rsidR="00555E47" w:rsidRPr="00426331" w:rsidRDefault="00000000">
      <w:pPr>
        <w:rPr>
          <w:rFonts w:hint="eastAsia"/>
          <w:lang w:val="it-IT"/>
        </w:rPr>
      </w:pPr>
      <w:r w:rsidRPr="00426331">
        <w:rPr>
          <w:lang w:val="it-IT"/>
        </w:rPr>
        <w:t>Claim guida da usare come ipotesi di lavoro, non da copiare come conclusione prima di verificare le tabelle: obiettivi di apprendimento diversi producono profili diversi; fidelity geometrica, accessibilità lineare dell’informazione e fedeltà temporale possono dissociarsi; una perturbazione temporale controllata può essere seguita quando il lag è identificabile; una finestra temporale selezionata da NMA non implica automaticamente migliore decoding held-out.</w:t>
      </w:r>
    </w:p>
    <w:p w14:paraId="74704131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Definire 1 domanda principale e 2–4 domande secondarie. Collegare ciascuna a un endpoint primario, un ramo dati, un controllo e una figura/tabella.</w:t>
      </w:r>
    </w:p>
    <w:p w14:paraId="1181F48F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Tenere separate le tre famiglie di proprietà: structure (ground-truth fidelity nel synthetic; consistency nel real), accessibility (probe su embedding congelati) e temporal fidelity (lag profile/intervento controllato). Non costruire uno score complessivo che le fonda.</w:t>
      </w:r>
    </w:p>
    <w:p w14:paraId="418FB9E3" w14:textId="77777777" w:rsidR="00555E47" w:rsidRPr="006C6A0C" w:rsidRDefault="00000000">
      <w:pPr>
        <w:spacing w:after="40"/>
        <w:ind w:left="259" w:hanging="259"/>
        <w:rPr>
          <w:rFonts w:hint="eastAsia"/>
          <w:color w:val="EE0000"/>
          <w:lang w:val="it-IT"/>
        </w:rPr>
      </w:pPr>
      <w:r w:rsidRPr="006C6A0C">
        <w:rPr>
          <w:color w:val="EE0000"/>
          <w:lang w:val="it-IT"/>
        </w:rPr>
        <w:t>[ ] Nel synthetic usare “recovery/fidelity” solo rispetto alla ground truth nota. Nel monkey usare “consistency”, “accessibility” e “risposta alla perturbazione”; non chiamarla recupero del latent vero.</w:t>
      </w:r>
    </w:p>
    <w:p w14:paraId="41DB0C30" w14:textId="5007483A" w:rsidR="00555E47" w:rsidRDefault="00000000">
      <w:pPr>
        <w:spacing w:after="40"/>
        <w:ind w:left="259" w:hanging="259"/>
        <w:rPr>
          <w:lang w:val="it-IT"/>
        </w:rPr>
      </w:pPr>
      <w:r w:rsidRPr="006C6A0C">
        <w:rPr>
          <w:color w:val="EE0000"/>
          <w:lang w:val="it-IT"/>
        </w:rPr>
        <w:t>[ ] Descrivere R10 come perturbazione digitale controllata di B. Non interpretare il lag come ritardo biologico, causale o fisiologico</w:t>
      </w:r>
      <w:r w:rsidR="00426331" w:rsidRPr="006C6A0C">
        <w:rPr>
          <w:color w:val="EE0000"/>
          <w:lang w:val="it-IT"/>
        </w:rPr>
        <w:t>….non si tratta di un lag reale ma di una condizione sperimentale posta</w:t>
      </w:r>
      <w:r w:rsidR="00426331">
        <w:rPr>
          <w:lang w:val="it-IT"/>
        </w:rPr>
        <w:t xml:space="preserve">. </w:t>
      </w:r>
      <w:r w:rsidR="006C6A0C">
        <w:rPr>
          <w:lang w:val="it-IT"/>
        </w:rPr>
        <w:t>(qui rifare perché il lag deve essere di almeno 80 120 o 200 punti…..</w:t>
      </w:r>
    </w:p>
    <w:p w14:paraId="637A8C8F" w14:textId="155B487D" w:rsidR="00426331" w:rsidRPr="00426331" w:rsidRDefault="00426331" w:rsidP="006C6A0C">
      <w:pPr>
        <w:spacing w:after="40"/>
        <w:ind w:left="259" w:hanging="259"/>
        <w:rPr>
          <w:rFonts w:hint="eastAsia"/>
          <w:lang w:val="it-IT"/>
        </w:rPr>
      </w:pPr>
      <w:r>
        <w:rPr>
          <w:lang w:val="it-IT"/>
        </w:rPr>
        <w:t xml:space="preserve">A e B sono due sottopopolazioni operative somatotopiche . </w:t>
      </w:r>
    </w:p>
    <w:p w14:paraId="0B6F554C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Descrivere A_PROXIMAL e B_DISTAL come sottopopolazioni operative somatotopiche, non come moduli neurali discreti. La partizione copre 65 unità; A=32, B=33.</w:t>
      </w:r>
    </w:p>
    <w:p w14:paraId="4927FF81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La validazione deriva da una singola sessione/animale reale: non generalizzare a popolazioni di animali o a un intero sistema nervoso.</w:t>
      </w:r>
    </w:p>
    <w:p w14:paraId="1E81C8DD" w14:textId="77777777" w:rsidR="00555E47" w:rsidRDefault="00000000">
      <w:pPr>
        <w:pStyle w:val="Titolo1"/>
      </w:pPr>
      <w:r>
        <w:lastRenderedPageBreak/>
        <w:t>2. Protocollo congelato da rispettare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4608"/>
        <w:gridCol w:w="3960"/>
      </w:tblGrid>
      <w:tr w:rsidR="00555E47" w14:paraId="260F88FB" w14:textId="77777777">
        <w:trPr>
          <w:jc w:val="center"/>
        </w:trPr>
        <w:tc>
          <w:tcPr>
            <w:tcW w:w="2088" w:type="dxa"/>
            <w:shd w:val="clear" w:color="auto" w:fill="24476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4038752" w14:textId="77777777" w:rsidR="00555E4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Voce</w:t>
            </w:r>
          </w:p>
        </w:tc>
        <w:tc>
          <w:tcPr>
            <w:tcW w:w="4608" w:type="dxa"/>
            <w:shd w:val="clear" w:color="auto" w:fill="24476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66B481B" w14:textId="77777777" w:rsidR="00555E4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Specificazione finale</w:t>
            </w:r>
          </w:p>
        </w:tc>
        <w:tc>
          <w:tcPr>
            <w:tcW w:w="3960" w:type="dxa"/>
            <w:shd w:val="clear" w:color="auto" w:fill="24476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CB9FC44" w14:textId="77777777" w:rsidR="00555E4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Uso corretto nel testo</w:t>
            </w:r>
          </w:p>
        </w:tc>
      </w:tr>
      <w:tr w:rsidR="00555E47" w:rsidRPr="00426331" w14:paraId="67C7DD63" w14:textId="77777777"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6DB94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Dati reali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2280CD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TOTAL65, A_PROXIMAL, B_DISTAL; split per trial interi</w:t>
            </w:r>
          </w:p>
        </w:tc>
        <w:tc>
          <w:tcPr>
            <w:tcW w:w="39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40F9E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6"/>
                <w:lang w:val="it-IT"/>
              </w:rPr>
              <w:t>A/B disgiunte; finestre non attraversano split.</w:t>
            </w:r>
          </w:p>
        </w:tc>
      </w:tr>
      <w:tr w:rsidR="00555E47" w:rsidRPr="00426331" w14:paraId="7682406F" w14:textId="77777777">
        <w:trPr>
          <w:jc w:val="center"/>
        </w:trPr>
        <w:tc>
          <w:tcPr>
            <w:tcW w:w="2088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5199F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Selezione finestra Real</w:t>
            </w:r>
          </w:p>
        </w:tc>
        <w:tc>
          <w:tcPr>
            <w:tcW w:w="4608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4CFDE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6"/>
                <w:lang w:val="it-IT"/>
              </w:rPr>
              <w:t>W=201 bin, scelta via validation-only dopo confronto 21, 41, 121, 201</w:t>
            </w:r>
          </w:p>
        </w:tc>
        <w:tc>
          <w:tcPr>
            <w:tcW w:w="396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728BA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6"/>
                <w:lang w:val="it-IT"/>
              </w:rPr>
              <w:t>È una scelta operativa nel protocollo, non prova che 201 sia una scala biologica ottimale.</w:t>
            </w:r>
          </w:p>
        </w:tc>
      </w:tr>
      <w:tr w:rsidR="00555E47" w:rsidRPr="00426331" w14:paraId="20F912BF" w14:textId="77777777"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EE37F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Modelli e objective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A8508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PCA; CNN1D e Transformer con soft, InfoNCE, time_contrastive_blocks, behavior_contrastive_blocks</w:t>
            </w:r>
          </w:p>
        </w:tc>
        <w:tc>
          <w:tcPr>
            <w:tcW w:w="39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E7486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6"/>
                <w:lang w:val="it-IT"/>
              </w:rPr>
              <w:t>Stessa dimensionalità di output; motivare bias architetturali e relazioni incoraggiate dalle objective.</w:t>
            </w:r>
          </w:p>
        </w:tc>
      </w:tr>
      <w:tr w:rsidR="00555E47" w:rsidRPr="00426331" w14:paraId="61227663" w14:textId="77777777">
        <w:trPr>
          <w:jc w:val="center"/>
        </w:trPr>
        <w:tc>
          <w:tcPr>
            <w:tcW w:w="2088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0E99B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Seed</w:t>
            </w:r>
          </w:p>
        </w:tc>
        <w:tc>
          <w:tcPr>
            <w:tcW w:w="4608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E85F9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6"/>
                <w:lang w:val="it-IT"/>
              </w:rPr>
              <w:t>1101 selezionato in HPO; 1201 e 1301 refit finali indipendenti</w:t>
            </w:r>
          </w:p>
        </w:tc>
        <w:tc>
          <w:tcPr>
            <w:tcW w:w="396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670CF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6"/>
                <w:lang w:val="it-IT"/>
              </w:rPr>
              <w:t>Non presentare 1101, 1201, 1301 come tre repliche indipendenti equivalenti.</w:t>
            </w:r>
          </w:p>
        </w:tc>
      </w:tr>
      <w:tr w:rsidR="00555E47" w:rsidRPr="00426331" w14:paraId="26A36A78" w14:textId="77777777"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48EDB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Test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927B2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6"/>
                <w:lang w:val="it-IT"/>
              </w:rPr>
              <w:t>Usato solo dopo selezione/freeze</w:t>
            </w:r>
          </w:p>
        </w:tc>
        <w:tc>
          <w:tcPr>
            <w:tcW w:w="39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C4C416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6"/>
                <w:lang w:val="it-IT"/>
              </w:rPr>
              <w:t>Nessuna selezione di finestre, modelli, metriche o claim in base al test.</w:t>
            </w:r>
          </w:p>
        </w:tc>
      </w:tr>
      <w:tr w:rsidR="00555E47" w:rsidRPr="00426331" w14:paraId="41701C82" w14:textId="77777777">
        <w:trPr>
          <w:jc w:val="center"/>
        </w:trPr>
        <w:tc>
          <w:tcPr>
            <w:tcW w:w="2088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383557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Near-collapse/failure</w:t>
            </w:r>
          </w:p>
        </w:tc>
        <w:tc>
          <w:tcPr>
            <w:tcW w:w="4608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6329D8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6"/>
                <w:lang w:val="it-IT"/>
              </w:rPr>
              <w:t>Mantenere le istanze; etichettare e riportare</w:t>
            </w:r>
          </w:p>
        </w:tc>
        <w:tc>
          <w:tcPr>
            <w:tcW w:w="396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8F1C7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6"/>
                <w:lang w:val="it-IT"/>
              </w:rPr>
              <w:t>Non sostituire o nascondere casi ineligible/near-collapse.</w:t>
            </w:r>
          </w:p>
        </w:tc>
      </w:tr>
    </w:tbl>
    <w:p w14:paraId="0502906E" w14:textId="77777777" w:rsidR="00555E47" w:rsidRPr="00426331" w:rsidRDefault="00555E47">
      <w:pPr>
        <w:spacing w:after="20"/>
        <w:rPr>
          <w:rFonts w:hint="eastAsia"/>
          <w:lang w:val="it-IT"/>
        </w:rPr>
      </w:pPr>
    </w:p>
    <w:p w14:paraId="4E6B8056" w14:textId="77777777" w:rsidR="00555E47" w:rsidRPr="00426331" w:rsidRDefault="00000000">
      <w:pPr>
        <w:rPr>
          <w:rFonts w:hint="eastAsia"/>
          <w:lang w:val="it-IT"/>
        </w:rPr>
      </w:pPr>
      <w:r w:rsidRPr="00426331">
        <w:rPr>
          <w:lang w:val="it-IT"/>
        </w:rPr>
        <w:t>Il test set non deve essere riaperto per cambiare architettura, objective, finestra, seed, soglie di collapse o definizione di endpoint. Ogni analisi aggiunta dopo il freeze va marcata come esplorativa e deve avere provenienza separata.</w:t>
      </w:r>
    </w:p>
    <w:p w14:paraId="0D273BD0" w14:textId="77777777" w:rsidR="00555E47" w:rsidRPr="00426331" w:rsidRDefault="00000000">
      <w:pPr>
        <w:pStyle w:val="Titolo1"/>
        <w:rPr>
          <w:lang w:val="it-IT"/>
        </w:rPr>
      </w:pPr>
      <w:r w:rsidRPr="00426331">
        <w:rPr>
          <w:lang w:val="it-IT"/>
        </w:rPr>
        <w:t>3. Stato effettivo dei lavori al 1 ottobre 2026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4968"/>
        <w:gridCol w:w="3744"/>
      </w:tblGrid>
      <w:tr w:rsidR="00555E47" w14:paraId="5B625291" w14:textId="77777777">
        <w:trPr>
          <w:jc w:val="center"/>
        </w:trPr>
        <w:tc>
          <w:tcPr>
            <w:tcW w:w="1944" w:type="dxa"/>
            <w:shd w:val="clear" w:color="auto" w:fill="24476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52E4280" w14:textId="77777777" w:rsidR="00555E4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w="4968" w:type="dxa"/>
            <w:shd w:val="clear" w:color="auto" w:fill="24476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AB9FB38" w14:textId="77777777" w:rsidR="00555E4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Stato attestato dai file</w:t>
            </w:r>
          </w:p>
        </w:tc>
        <w:tc>
          <w:tcPr>
            <w:tcW w:w="3744" w:type="dxa"/>
            <w:shd w:val="clear" w:color="auto" w:fill="24476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BE78190" w14:textId="77777777" w:rsidR="00555E4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Conseguenza</w:t>
            </w:r>
          </w:p>
        </w:tc>
      </w:tr>
      <w:tr w:rsidR="00555E47" w:rsidRPr="00426331" w14:paraId="7863A411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067C09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Phase-2A HPO Synthetic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14CAC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64/64 fit iniziali + 64/64 finalist fit; 8 winner selezionati; zero failure tecnici, un fit ineligible near-collapse.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772F6F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5"/>
                <w:lang w:val="it-IT"/>
              </w:rPr>
              <w:t>Riportare regola di selezione e winner congelati; non ripetere tuning sul test.</w:t>
            </w:r>
          </w:p>
        </w:tc>
      </w:tr>
      <w:tr w:rsidR="00555E47" w:rsidRPr="00426331" w14:paraId="109FD83C" w14:textId="77777777">
        <w:trPr>
          <w:jc w:val="center"/>
        </w:trPr>
        <w:tc>
          <w:tcPr>
            <w:tcW w:w="194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A0C00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Phase-2A HPO Real</w:t>
            </w:r>
          </w:p>
        </w:tc>
        <w:tc>
          <w:tcPr>
            <w:tcW w:w="4968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B1E2A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384/384 fit iniziali completati; 310 eligible, 74 ineligible near-collapse, 0 failure. Finestre 21/41/121/201 confrontate con validation-only.</w:t>
            </w:r>
          </w:p>
        </w:tc>
        <w:tc>
          <w:tcPr>
            <w:tcW w:w="374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0F3A4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5"/>
                <w:lang w:val="it-IT"/>
              </w:rPr>
              <w:t>Presentare W=201 come scelta secondo rank/criterio congelato; esplicitare che i valid centers cambiano con W.</w:t>
            </w:r>
          </w:p>
        </w:tc>
      </w:tr>
      <w:tr w:rsidR="00555E47" w:rsidRPr="00426331" w14:paraId="1F7FC96F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3740B9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Held-out fit Real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AEB9F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72 istanze: 69 eligible, 3 near-collapse, 0 failed; 24 checkpoint HPO riusati, 48 nuovi fit (1201/1301).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E1A9D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5"/>
                <w:lang w:val="it-IT"/>
              </w:rPr>
              <w:t>Specificare il riuso del seed 1101 e preservare i tre casi near-collapse.</w:t>
            </w:r>
          </w:p>
        </w:tc>
      </w:tr>
      <w:tr w:rsidR="00555E47" w:rsidRPr="00426331" w14:paraId="4E5D9714" w14:textId="77777777">
        <w:trPr>
          <w:jc w:val="center"/>
        </w:trPr>
        <w:tc>
          <w:tcPr>
            <w:tcW w:w="194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F7D59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Core metrics e diagnostiche</w:t>
            </w:r>
          </w:p>
        </w:tc>
        <w:tc>
          <w:tcPr>
            <w:tcW w:w="4968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586086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Tabelle Synthetic/Real, accessibility, geometry, dimension diagnostics, cross-seed, manifest/hash presenti nel pacchetto final_thesis_v1.</w:t>
            </w:r>
          </w:p>
        </w:tc>
        <w:tc>
          <w:tcPr>
            <w:tcW w:w="374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7BE06C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5"/>
                <w:lang w:val="it-IT"/>
              </w:rPr>
              <w:t>Aggregare in tabelle e figure leggibili; la presenza di CSV non equivale a Results scritti.</w:t>
            </w:r>
          </w:p>
        </w:tc>
      </w:tr>
      <w:tr w:rsidR="00555E47" w:rsidRPr="00426331" w14:paraId="0CCE98FB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9C03D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Lag controllato Real R0/R10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0EC88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5"/>
                <w:lang w:val="it-IT"/>
              </w:rPr>
              <w:t>24 confronti; 11 identificabili e in tutti il delta stimato è +10 bin; 13 non identificabili.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EE75D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5"/>
                <w:lang w:val="it-IT"/>
              </w:rPr>
              <w:t>Riportare entrambe le parti del risultato e definire a priori/operativamente l’identificabilità.</w:t>
            </w:r>
          </w:p>
        </w:tc>
      </w:tr>
      <w:tr w:rsidR="00555E47" w:rsidRPr="00426331" w14:paraId="15EBB63E" w14:textId="77777777">
        <w:trPr>
          <w:jc w:val="center"/>
        </w:trPr>
        <w:tc>
          <w:tcPr>
            <w:tcW w:w="194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F7F84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Training-seed variability</w:t>
            </w:r>
          </w:p>
        </w:tc>
        <w:tc>
          <w:tcPr>
            <w:tcW w:w="4968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BDCD7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5"/>
                <w:lang w:val="it-IT"/>
              </w:rPr>
              <w:t>336 righe complete nel ramo uncertainty. Seed 1101 è checkpoint selezionato HPO; 1201/1301 sono refit finali indipendenti.</w:t>
            </w:r>
          </w:p>
        </w:tc>
        <w:tc>
          <w:tcPr>
            <w:tcW w:w="374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427E8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5"/>
                <w:lang w:val="it-IT"/>
              </w:rPr>
              <w:t>Descrivere statistiche senza gonfiare il numero di repliche indipendenti.</w:t>
            </w:r>
          </w:p>
        </w:tc>
      </w:tr>
      <w:tr w:rsidR="00555E47" w:rsidRPr="00426331" w14:paraId="78CAF904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BB1C87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Trial bootstrap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21CC4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5"/>
                <w:lang w:val="it-IT"/>
              </w:rPr>
              <w:t>Stato nel manifest: PENDING; richieste 1000 repliche; nessun summary/seed-CI pubblicato.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566E1B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5"/>
                <w:lang w:val="it-IT"/>
              </w:rPr>
              <w:t>APERTO: chiudere per endpoint primari o motivare formalmente un’alternativa.</w:t>
            </w:r>
          </w:p>
        </w:tc>
      </w:tr>
      <w:tr w:rsidR="00555E47" w14:paraId="4BEDEE1C" w14:textId="77777777">
        <w:trPr>
          <w:jc w:val="center"/>
        </w:trPr>
        <w:tc>
          <w:tcPr>
            <w:tcW w:w="194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C00E5C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Null controls</w:t>
            </w:r>
          </w:p>
        </w:tc>
        <w:tc>
          <w:tcPr>
            <w:tcW w:w="4968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F3954B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Manifest: 244 label slots e 48 trial-pairing slots attesi. Nell’archivio: 237 file label; nessun output di trial pairing o temporal-order summary.</w:t>
            </w:r>
          </w:p>
        </w:tc>
        <w:tc>
          <w:tcPr>
            <w:tcW w:w="374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34F16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 w:rsidRPr="00426331">
              <w:rPr>
                <w:sz w:val="15"/>
                <w:lang w:val="it-IT"/>
              </w:rPr>
              <w:t xml:space="preserve">APERTO: verificare 7 slot label mancanti e completare/giustificare le 48 pairing. </w:t>
            </w:r>
            <w:r>
              <w:rPr>
                <w:sz w:val="15"/>
              </w:rPr>
              <w:t>Temporal-order non attestato.</w:t>
            </w:r>
          </w:p>
        </w:tc>
      </w:tr>
      <w:tr w:rsidR="00555E47" w:rsidRPr="00426331" w14:paraId="2A9B5B98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49067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Frosolone Pipeline 1 su sintetico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465EE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5"/>
                <w:lang w:val="it-IT"/>
              </w:rPr>
              <w:t>Pipeline esplorativa completa su seed 42; nessuna replica EEG Graz 2a/2b nel pacchetto.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B7433D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5"/>
                <w:lang w:val="it-IT"/>
              </w:rPr>
              <w:t>Riportare come adaptation sintetica separata; non definirla replica EEG.</w:t>
            </w:r>
          </w:p>
        </w:tc>
      </w:tr>
      <w:tr w:rsidR="00555E47" w:rsidRPr="00426331" w14:paraId="52EE0C5F" w14:textId="77777777">
        <w:trPr>
          <w:jc w:val="center"/>
        </w:trPr>
        <w:tc>
          <w:tcPr>
            <w:tcW w:w="194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5A75E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Slide deck</w:t>
            </w:r>
          </w:p>
        </w:tc>
        <w:tc>
          <w:tcPr>
            <w:tcW w:w="4968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2901F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5"/>
                <w:lang w:val="it-IT"/>
              </w:rPr>
              <w:t>16 slide iniziali; sintetico e definizioni avviati, Real/final evaluation e sintesi assenti.</w:t>
            </w:r>
          </w:p>
        </w:tc>
        <w:tc>
          <w:tcPr>
            <w:tcW w:w="374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FE056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5"/>
                <w:lang w:val="it-IT"/>
              </w:rPr>
              <w:t>APERTO: correggere passaggi tecnici e costruire la seconda metà della presentazione.</w:t>
            </w:r>
          </w:p>
        </w:tc>
      </w:tr>
      <w:tr w:rsidR="00555E47" w:rsidRPr="00426331" w14:paraId="0171E48F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D7D25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5"/>
                <w:lang w:val="it-IT"/>
              </w:rPr>
              <w:t>Codice riproducibile da bundle pulito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6A5BE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5"/>
                <w:lang w:val="it-IT"/>
              </w:rPr>
              <w:t>Codici_tesi_01_10.zip contiene pipeline/test; nel controllo precedente 47 test passavano, 1 failure + 5 errori riferiti a un artefatto Phase-2A mancante (`initial_plan.json`).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6157CC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5"/>
                <w:lang w:val="it-IT"/>
              </w:rPr>
              <w:t>DA VERIFICARE: bundle autonomo, inputs/config e suite completa da ambiente pulito.</w:t>
            </w:r>
          </w:p>
        </w:tc>
      </w:tr>
    </w:tbl>
    <w:p w14:paraId="095A0550" w14:textId="77777777" w:rsidR="00555E47" w:rsidRPr="00426331" w:rsidRDefault="00555E47">
      <w:pPr>
        <w:spacing w:after="20"/>
        <w:rPr>
          <w:rFonts w:hint="eastAsia"/>
          <w:lang w:val="it-IT"/>
        </w:rPr>
      </w:pPr>
    </w:p>
    <w:p w14:paraId="5D8A8CDA" w14:textId="77777777" w:rsidR="00555E47" w:rsidRPr="00426331" w:rsidRDefault="00000000">
      <w:pPr>
        <w:pStyle w:val="Titolo1"/>
        <w:rPr>
          <w:lang w:val="it-IT"/>
        </w:rPr>
      </w:pPr>
      <w:r w:rsidRPr="00426331">
        <w:rPr>
          <w:lang w:val="it-IT"/>
        </w:rPr>
        <w:lastRenderedPageBreak/>
        <w:t>4. Chiusure obbligatorie prima di congelare le claim</w:t>
      </w:r>
    </w:p>
    <w:p w14:paraId="274A74C8" w14:textId="77777777" w:rsidR="00555E47" w:rsidRPr="00426331" w:rsidRDefault="00000000">
      <w:pPr>
        <w:pStyle w:val="Titolo2"/>
        <w:rPr>
          <w:lang w:val="it-IT"/>
        </w:rPr>
      </w:pPr>
      <w:r w:rsidRPr="00426331">
        <w:rPr>
          <w:lang w:val="it-IT"/>
        </w:rPr>
        <w:t>4.1 Null controls e inferenza statistica</w:t>
      </w:r>
    </w:p>
    <w:p w14:paraId="6E6ED5E6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Riprendere il manifest congelato dei null; verificare identità e stato di ciascuno dei 244 label-shuffle slot. Sono presenti 237 JSON: individuare i 7 mancanti, distinguendo run non partiti, fallimenti tecnici e risultati empirici; preservare i tentativi.</w:t>
      </w:r>
    </w:p>
    <w:p w14:paraId="2D10D011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Completare e validare i 48 slot di random A/B trial pairing previsti, oppure documentare una ragione metodologica concreta per cui un sottoinsieme è invalido. Non ridurre il denominatore senza traccia.</w:t>
      </w:r>
    </w:p>
    <w:p w14:paraId="790AEB39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Il temporal-order null non compare nel manifest del pacchetto finale. Poiché la temporal fidelity è una claim centrale, eseguire un null appropriato in un ramo addendum predefinito oppure restringere la claim a “risposta a perturbazione digitale R0/R10” e dichiarare esplicitamente che l’ordine temporale nullo non è stato testato. Non presentarlo come completato.</w:t>
      </w:r>
    </w:p>
    <w:p w14:paraId="32EEDBC0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Completare il trial-level bootstrap previsto (1000 repliche) sulle metriche primarie, ricampionando trial interi e preservando gli abbinamenti/struttura necessari. Mai trattare finestre sovrapposte come IID.</w:t>
      </w:r>
    </w:p>
    <w:p w14:paraId="107119E9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Pubblicare CI o intervalli di incertezza, numero di trial validi per endpoint, unità di ricampionamento, metodo di intervallo e seed del bootstrap. Se un endpoint non ammette bootstrap valido, motivarlo e riportare l’alternativa.</w:t>
      </w:r>
    </w:p>
    <w:p w14:paraId="5DFBCC38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Fissare la gerarchia primary/secondary/exploratory, confronti pianificati e correzione o controllo dei confronti multipli. Non scegliere il risultato più favorevole dopo avere visto i test.</w:t>
      </w:r>
    </w:p>
    <w:p w14:paraId="1FD6729D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Mantenere near-collapse nei summary; mostrare sensitivity con/without solo se predefinita e sempre con entrambe le versioni.</w:t>
      </w:r>
    </w:p>
    <w:p w14:paraId="00F7A497" w14:textId="77777777" w:rsidR="00555E47" w:rsidRPr="00426331" w:rsidRDefault="00000000">
      <w:pPr>
        <w:pStyle w:val="Titolo2"/>
        <w:rPr>
          <w:lang w:val="it-IT"/>
        </w:rPr>
      </w:pPr>
      <w:r w:rsidRPr="00426331">
        <w:rPr>
          <w:lang w:val="it-IT"/>
        </w:rPr>
        <w:t>4.2 Freeze dei risultati</w:t>
      </w:r>
    </w:p>
    <w:p w14:paraId="3771E722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Creare un registro finale di endpoint, popolazioni, supporto comune, rappresentazione raw/unit, aggregazioni, CI, esclusioni e test statistici.</w:t>
      </w:r>
    </w:p>
    <w:p w14:paraId="27BCD89F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Ricalcolare i summary pubblicabili direttamente dagli output congelati, con script versionato e hash degli input. Verificare conteggi e join tra embedding index, evaluation support e manifest.</w:t>
      </w:r>
    </w:p>
    <w:p w14:paraId="12CF25D4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Produrre un singolo pacchetto `final_thesis_v1` leggibile: tabelle principali, figure, caption, file di provenance, README di run e registro dei controlli. Conservare output pre-fix solo come audit trail, non come risultati concorrenti.</w:t>
      </w:r>
    </w:p>
    <w:p w14:paraId="2FEAF63B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Dopo il freeze, ogni correzione solo tecnica deve lasciare traccia: input, script, hash prima/dopo, motivo e prova che non ha selezionato il risultato scientifico.</w:t>
      </w:r>
    </w:p>
    <w:p w14:paraId="63F50275" w14:textId="77777777" w:rsidR="00555E47" w:rsidRPr="00426331" w:rsidRDefault="00000000">
      <w:pPr>
        <w:pStyle w:val="Titolo1"/>
        <w:rPr>
          <w:lang w:val="it-IT"/>
        </w:rPr>
      </w:pPr>
      <w:r w:rsidRPr="00426331">
        <w:rPr>
          <w:lang w:val="it-IT"/>
        </w:rPr>
        <w:t>5. Risultati che la tesi deve riportare</w:t>
      </w:r>
    </w:p>
    <w:p w14:paraId="496C3837" w14:textId="77777777" w:rsidR="00555E47" w:rsidRPr="00426331" w:rsidRDefault="00000000">
      <w:pPr>
        <w:pStyle w:val="Titolo2"/>
        <w:rPr>
          <w:lang w:val="it-IT"/>
        </w:rPr>
      </w:pPr>
      <w:r w:rsidRPr="00426331">
        <w:rPr>
          <w:lang w:val="it-IT"/>
        </w:rPr>
        <w:t>5.1 Synthetic: ground-truth benchmark</w:t>
      </w:r>
    </w:p>
    <w:p w14:paraId="57B57D88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Descrivere generatore, latent noto, condizioni, rumore/AR(1), emissioni delle popolazioni, shift imposto, campionamento trial e split train/validation/test a livello trial.</w:t>
      </w:r>
    </w:p>
    <w:p w14:paraId="689DA54B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Riportare HPO e configurazioni congelate; distinguere loss/validation usate per scegliere da metriche scientifiche calcolate sul test.</w:t>
      </w:r>
    </w:p>
    <w:p w14:paraId="02DB14C1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Geometry: Procrustes R², RSA Spearman/Pearson e CKA, specificando supporto, standardizzazione/normalizzazione e unità statistica. Non presentare PCA come una sorpresa teorica se il criterio è lineare.</w:t>
      </w:r>
    </w:p>
    <w:p w14:paraId="29B7CFCF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Accessibility: balanced accuracy delle condizioni (chance 0.125 per 8 classi), R²/MAE del progress; chiarire target, split del probe, selezione del probe e baseline.</w:t>
      </w:r>
    </w:p>
    <w:p w14:paraId="0BAC0BAD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Timing: curva completa, lag stimato, errore assoluto, peak margin/width e boundary/identifiability; mostrare casi non identificabili e non solo gli argmax favorevoli.</w:t>
      </w:r>
    </w:p>
    <w:p w14:paraId="62489D4C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Diagnosticare PR/effective rank, spettro, varianze, pairwise distance/cosine e norme; separare raw e unit e non scegliere post hoc quale versione raccontare.</w:t>
      </w:r>
    </w:p>
    <w:p w14:paraId="16C76852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Usare i numeri finali estratti dai CSV del pacchetto, con N, media/mediana, SD/range e incertezza. Non trasferire numeri dalla checklist o dalle slide se non corrispondono al run congelato.</w:t>
      </w:r>
    </w:p>
    <w:p w14:paraId="7AF9C0FE" w14:textId="77777777" w:rsidR="00555E47" w:rsidRPr="00426331" w:rsidRDefault="00000000">
      <w:pPr>
        <w:pStyle w:val="Titolo2"/>
        <w:rPr>
          <w:lang w:val="it-IT"/>
        </w:rPr>
      </w:pPr>
      <w:r w:rsidRPr="00426331">
        <w:rPr>
          <w:lang w:val="it-IT"/>
        </w:rPr>
        <w:t>5.2 Real monkey: consistency e accessibility</w:t>
      </w:r>
    </w:p>
    <w:p w14:paraId="5A6DBABF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Descrivere sessione/dataset, preprocessing già applicato, finestre e valid_mask, split trial-safe, feature/unit mapping disponibile e limiti documentali della mappatura originale.</w:t>
      </w:r>
    </w:p>
    <w:p w14:paraId="3EA20F92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lastRenderedPageBreak/>
        <w:t>[ ] Motivare W=201 e riportare confronto validation-only con 21/41/121/201. Precisare che il numero di centri validi varia con la finestra; non interpretare il rank come superiorità biologica intrinseca.</w:t>
      </w:r>
    </w:p>
    <w:p w14:paraId="6A3C3A3D" w14:textId="77777777" w:rsidR="00555E47" w:rsidRDefault="00000000">
      <w:pPr>
        <w:spacing w:after="40"/>
        <w:ind w:left="259" w:hanging="259"/>
        <w:rPr>
          <w:rFonts w:hint="eastAsia"/>
        </w:rPr>
      </w:pPr>
      <w:r w:rsidRPr="00426331">
        <w:rPr>
          <w:lang w:val="it-IT"/>
        </w:rPr>
        <w:t xml:space="preserve">[ ] Riportare risultati per TOTAL65, A_PROXIMAL e B_DISTAL, oltre ai confronti A/B ammessi. </w:t>
      </w:r>
      <w:r>
        <w:t>Specificare che A/B sono population subsets operative.</w:t>
      </w:r>
    </w:p>
    <w:p w14:paraId="23932D13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>
        <w:t xml:space="preserve">[ ] Presentare geometry come consistency/structure agreement, non true-latent recovery. </w:t>
      </w:r>
      <w:r w:rsidRPr="00426331">
        <w:rPr>
          <w:lang w:val="it-IT"/>
        </w:rPr>
        <w:t>Presentare balanced accuracy, progress e probe cinematici come accessibility, con split e baseline.</w:t>
      </w:r>
    </w:p>
    <w:p w14:paraId="6034EF7E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Riportare near-collapse/failure e i relativi diagnostic. Non omettere celle deboli, non eleggibili o con esito nullo.</w:t>
      </w:r>
    </w:p>
    <w:p w14:paraId="69D49A73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Mostrare effetti e incertezza per trial/seed; distinguere il checkpoint HPO 1101 dalle repliche indipendenti 1201/1301.</w:t>
      </w:r>
    </w:p>
    <w:p w14:paraId="1C361A47" w14:textId="2B9CFDDA" w:rsidR="00555E47" w:rsidRPr="006C6A0C" w:rsidRDefault="00000000">
      <w:pPr>
        <w:pStyle w:val="Titolo2"/>
        <w:rPr>
          <w:color w:val="EE0000"/>
          <w:lang w:val="it-IT"/>
        </w:rPr>
      </w:pPr>
      <w:r w:rsidRPr="006C6A0C">
        <w:rPr>
          <w:color w:val="EE0000"/>
          <w:lang w:val="it-IT"/>
        </w:rPr>
        <w:t>5.3 Perturbazione R0/R10 e lag</w:t>
      </w:r>
      <w:r w:rsidR="006C6A0C">
        <w:rPr>
          <w:color w:val="EE0000"/>
          <w:lang w:val="it-IT"/>
        </w:rPr>
        <w:t xml:space="preserve"> (rifare)</w:t>
      </w:r>
    </w:p>
    <w:p w14:paraId="629AC9DE" w14:textId="77777777" w:rsidR="00555E47" w:rsidRPr="006C6A0C" w:rsidRDefault="00000000">
      <w:pPr>
        <w:spacing w:after="40"/>
        <w:ind w:left="259" w:hanging="259"/>
        <w:rPr>
          <w:rFonts w:hint="eastAsia"/>
          <w:color w:val="EE0000"/>
          <w:lang w:val="it-IT"/>
        </w:rPr>
      </w:pPr>
      <w:r w:rsidRPr="006C6A0C">
        <w:rPr>
          <w:color w:val="EE0000"/>
          <w:lang w:val="it-IT"/>
        </w:rPr>
        <w:t>[ ] Definire R0 e R10, direzione e convenzione del segno, unità “bin”, gestione dei bordi, supporto comune, score della lag curve e criterio di identificabilità.</w:t>
      </w:r>
    </w:p>
    <w:p w14:paraId="673F2CB4" w14:textId="77777777" w:rsidR="00555E47" w:rsidRPr="006C6A0C" w:rsidRDefault="00000000">
      <w:pPr>
        <w:spacing w:after="40"/>
        <w:ind w:left="259" w:hanging="259"/>
        <w:rPr>
          <w:rFonts w:hint="eastAsia"/>
          <w:color w:val="EE0000"/>
          <w:lang w:val="it-IT"/>
        </w:rPr>
      </w:pPr>
      <w:r w:rsidRPr="006C6A0C">
        <w:rPr>
          <w:color w:val="EE0000"/>
          <w:lang w:val="it-IT"/>
        </w:rPr>
        <w:t>[ ] Riportare i 24 confronti: 11/24 identificabili; in questi 11, delta lag = +10 bin; 13/24 non identificabili. Aggiungere distribuzione dei peak margin/boundary e curve rappresentative, non solo stima media.</w:t>
      </w:r>
    </w:p>
    <w:p w14:paraId="7DA2D42C" w14:textId="77777777" w:rsidR="00555E47" w:rsidRPr="006C6A0C" w:rsidRDefault="00000000">
      <w:pPr>
        <w:spacing w:after="40"/>
        <w:ind w:left="259" w:hanging="259"/>
        <w:rPr>
          <w:rFonts w:hint="eastAsia"/>
          <w:color w:val="EE0000"/>
          <w:lang w:val="it-IT"/>
        </w:rPr>
      </w:pPr>
      <w:r w:rsidRPr="006C6A0C">
        <w:rPr>
          <w:color w:val="EE0000"/>
          <w:lang w:val="it-IT"/>
        </w:rPr>
        <w:t>[ ] Separare successo condizionato all’identificabilità dalla quota di casi non identificabili; non dichiarare accuratezza perfetta generalizzata.</w:t>
      </w:r>
    </w:p>
    <w:p w14:paraId="6AB29391" w14:textId="77777777" w:rsidR="00555E47" w:rsidRPr="006C6A0C" w:rsidRDefault="00000000">
      <w:pPr>
        <w:spacing w:after="40"/>
        <w:ind w:left="259" w:hanging="259"/>
        <w:rPr>
          <w:rFonts w:hint="eastAsia"/>
          <w:color w:val="EE0000"/>
          <w:lang w:val="it-IT"/>
        </w:rPr>
      </w:pPr>
      <w:r w:rsidRPr="006C6A0C">
        <w:rPr>
          <w:color w:val="EE0000"/>
          <w:lang w:val="it-IT"/>
        </w:rPr>
        <w:t>[ ] Non convertire bin in millisecondi senza citare il bin width specifico del dataset e la trasformazione effettivamente imposta.</w:t>
      </w:r>
    </w:p>
    <w:p w14:paraId="5FD41DFB" w14:textId="77777777" w:rsidR="00555E47" w:rsidRPr="00426331" w:rsidRDefault="00000000">
      <w:pPr>
        <w:pStyle w:val="Titolo2"/>
        <w:rPr>
          <w:lang w:val="it-IT"/>
        </w:rPr>
      </w:pPr>
      <w:r w:rsidRPr="00426331">
        <w:rPr>
          <w:lang w:val="it-IT"/>
        </w:rPr>
        <w:t>5.4 Frosolone Pipeline 1 su dati sintetici</w:t>
      </w:r>
    </w:p>
    <w:p w14:paraId="678F0D22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Descrivere esattamente PCA train-only → Neural Manifold Analysis → selezione finestra sul train → CSP one-vs-rest → MI feature selection → QDA → test held-out.</w:t>
      </w:r>
    </w:p>
    <w:p w14:paraId="75F7C137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>
        <w:t xml:space="preserve">[ ] Riportare confronto full-interval vs Pipeline 1: A test balanced accuracy 0.150 vs 0.150; B 0.075 vs 0.075; chance 0.125. </w:t>
      </w:r>
      <w:r w:rsidRPr="00426331">
        <w:rPr>
          <w:lang w:val="it-IT"/>
        </w:rPr>
        <w:t>Quindi la pipeline non migliora il decoding in questi dati/seed.</w:t>
      </w:r>
    </w:p>
    <w:p w14:paraId="3CBC6274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Riportare separatamente l’effetto delle finestre selezionate NMA sul test, la selezione svolta solo nel training e tutte le comparazioni candidate; chiarire che il risultato NMA non equivale a vantaggio classificativo.</w:t>
      </w:r>
    </w:p>
    <w:p w14:paraId="2219BF34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Etichettare l’esperimento come adattamento esplorativo ai dati sintetici, seed 42. La replica sui dataset EEG originali Graz 2a/2b non è stata eseguita e non va insinuata.</w:t>
      </w:r>
    </w:p>
    <w:p w14:paraId="50C8F72B" w14:textId="77777777" w:rsidR="00555E47" w:rsidRPr="00426331" w:rsidRDefault="00000000">
      <w:pPr>
        <w:pStyle w:val="Titolo1"/>
        <w:rPr>
          <w:lang w:val="it-IT"/>
        </w:rPr>
      </w:pPr>
      <w:r w:rsidRPr="00426331">
        <w:rPr>
          <w:lang w:val="it-IT"/>
        </w:rPr>
        <w:t>6. Metodi e documentazione procedurale da completare</w:t>
      </w:r>
    </w:p>
    <w:p w14:paraId="48BF1F30" w14:textId="77777777" w:rsidR="00555E47" w:rsidRPr="00426331" w:rsidRDefault="00000000">
      <w:pPr>
        <w:pStyle w:val="Titolo2"/>
        <w:rPr>
          <w:lang w:val="it-IT"/>
        </w:rPr>
      </w:pPr>
      <w:r w:rsidRPr="00426331">
        <w:rPr>
          <w:lang w:val="it-IT"/>
        </w:rPr>
        <w:t>6.1 Methods riproducibili</w:t>
      </w:r>
    </w:p>
    <w:p w14:paraId="671C43DC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Descrivere dataset, provenienza, preprocessing, unità osservazionale, definizione trial, split, filtri, finestre, padding, maschere, supporto comune, missingness ed esclusioni.</w:t>
      </w:r>
    </w:p>
    <w:p w14:paraId="42643D71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Specificare architetture, dimensionalità, trasformazioni, normalizzazione, loss con equazioni e notazione coerente; per ogni loss indicare anchor/positive/negative, batch/candidate semantics, sampling, offset, maschere, multi-positive e rischio di false negatives.</w:t>
      </w:r>
    </w:p>
    <w:p w14:paraId="1A95EED2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Descrivere train/validation/test nell’ordine corretto; spiegare HPO, candidati, loss di selezione, seed, regola di ranking, eleggibilità/near-collapse, freeze W=201 e riuso checkpoint HPO.</w:t>
      </w:r>
    </w:p>
    <w:p w14:paraId="04F7AECE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Definire matematicamente ogni metrica riportata: Procrustes R², RSA Pearson/Spearman, CKA, BA, progress R²/MAE, lag profile e criteri di peak/identifiability, PR/effective rank e collapse diagnostics.</w:t>
      </w:r>
    </w:p>
    <w:p w14:paraId="2CF9D760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Descrivere probe downstream: embedding frozen, target, scaler/fit, regolarizzazione, tuning ammesso, split, metriche, chance/baseline e prevenzione leakage.</w:t>
      </w:r>
    </w:p>
    <w:p w14:paraId="07C83CBE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Riportare implementazione/software, precisione numerica, device, versione framework, parametri, training updates, stopping, costi e risorse quando attestabili. Separare costo training da metriche downstream.</w:t>
      </w:r>
    </w:p>
    <w:p w14:paraId="27CF07B6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Dichiarare incertezze, bootstrap, null, multipli confronti, numerosità effettiva e limiti di generalizzazione.</w:t>
      </w:r>
    </w:p>
    <w:p w14:paraId="4C679DEB" w14:textId="77777777" w:rsidR="00555E47" w:rsidRPr="00426331" w:rsidRDefault="00000000">
      <w:pPr>
        <w:pStyle w:val="Titolo2"/>
        <w:rPr>
          <w:lang w:val="it-IT"/>
        </w:rPr>
      </w:pPr>
      <w:r w:rsidRPr="00426331">
        <w:rPr>
          <w:lang w:val="it-IT"/>
        </w:rPr>
        <w:t>6.2 Provenance e riproducibilità</w:t>
      </w:r>
    </w:p>
    <w:p w14:paraId="3E22212E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Risoluzione del problema del bundle: includere oppure rendere ricostruibile l’artefatto upstream `initial_plan.json` richiesto dai test; aggiungere input/config non sensibili, comandi esatti, environment lock e README.</w:t>
      </w:r>
    </w:p>
    <w:p w14:paraId="3E5FAF43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Eseguire suite completa in ambiente pulito e registrare commit/versione, comando, versioni dipendenze, test pass/fail e motivazione di ogni eccezione. Un test fallito non va liquidato come “solo packaging” senza riprodurlo.</w:t>
      </w:r>
    </w:p>
    <w:p w14:paraId="77D3771A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lastRenderedPageBreak/>
        <w:t>[ ] Verificare che manifest e SHA-256 includano ogni checkpoint, embedding, tabella e script di analisi usato nei risultati; controllare la lineage da sorgenti a figure/tabelle finali.</w:t>
      </w:r>
    </w:p>
    <w:p w14:paraId="068D1184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Preparare un archivio della tesi con script di report e output pubblicabili. Documentare vincoli di accesso ai dati e separare dati personali/riservati dagli artefatti distribuibili.</w:t>
      </w:r>
    </w:p>
    <w:p w14:paraId="6CE5AC2C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Aggiungere un README con ambiente, setup, ordine delle fasi, resume, tempi indicativi, spazio necessario, output attesi e comando per ricreare ciascuna tabella/figura.</w:t>
      </w:r>
    </w:p>
    <w:p w14:paraId="420B0F2B" w14:textId="77777777" w:rsidR="00555E47" w:rsidRPr="00426331" w:rsidRDefault="00000000">
      <w:pPr>
        <w:pStyle w:val="Titolo1"/>
        <w:rPr>
          <w:lang w:val="it-IT"/>
        </w:rPr>
      </w:pPr>
      <w:r w:rsidRPr="00426331">
        <w:rPr>
          <w:lang w:val="it-IT"/>
        </w:rPr>
        <w:t>7. Scrittura della tesi e presentazione</w:t>
      </w:r>
    </w:p>
    <w:p w14:paraId="3D51AFC6" w14:textId="77777777" w:rsidR="00555E47" w:rsidRPr="00426331" w:rsidRDefault="00000000">
      <w:pPr>
        <w:pStyle w:val="Titolo2"/>
        <w:rPr>
          <w:lang w:val="it-IT"/>
        </w:rPr>
      </w:pPr>
      <w:r w:rsidRPr="00426331">
        <w:rPr>
          <w:lang w:val="it-IT"/>
        </w:rPr>
        <w:t>7.1 Manuscript</w:t>
      </w:r>
    </w:p>
    <w:p w14:paraId="01D11FE4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Introduction: problema e motivazione neuroscientifica; representation learning; cosa significa “useful” e “faithful”; gap nella letteratura; domanda, contributi e mappa del testo.</w:t>
      </w:r>
    </w:p>
    <w:p w14:paraId="4EC122F4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Background: contrastive/temporal representation learning, manifold/structure, neural population analysis, evaluation geometry/accessibility/temporal fidelity; confronto puntuale col paper di Frosolone e con lavori di riferimento.</w:t>
      </w:r>
    </w:p>
    <w:p w14:paraId="6266BC2A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Methods: includere tutti i punti della sezione 6.1 e la separazione netta tra synthetic ground truth, real consistency e perturbazione digitale.</w:t>
      </w:r>
    </w:p>
    <w:p w14:paraId="1A4D79B7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Results: presentare prima risultati descrittivi e diagnostici, poi endpoint primari e controlli; ogni figura con N, unità, split, barra d’incertezza e caption autoesplicativa.</w:t>
      </w:r>
    </w:p>
    <w:p w14:paraId="29432EE2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Discussion: interpretare dissociazioni; separare evidenza, ipotesi e spiegazioni alternative; confrontare letteratura; discutere failure/near-collapse, non-identificabilità, single-animal, selection, rumore e validità esterna.</w:t>
      </w:r>
    </w:p>
    <w:p w14:paraId="116A5FEF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Conclusion: rispondere alle research questions senza estendere le claim oltre l’esperimento; future work separato dai risultati ottenuti.</w:t>
      </w:r>
    </w:p>
    <w:p w14:paraId="38EF0068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Bibliografia: fonti primarie per metodi e dataset; DOI/link, anno, versione software/dataset; ogni affermazione di stato dell’arte ha citazione; uniformare stile e controllare riferimenti citati ma non in lista e viceversa.</w:t>
      </w:r>
    </w:p>
    <w:p w14:paraId="43EF728B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Scrivere il manoscritto finale in inglese accademico chiaro; revisione tecnica, linguistica e di formattazione; abstract e titolo devono riflettere i risultati effettivi, incluso il risultato nullo Frosolone.</w:t>
      </w:r>
    </w:p>
    <w:p w14:paraId="540A1364" w14:textId="77777777" w:rsidR="00555E47" w:rsidRPr="00426331" w:rsidRDefault="00000000">
      <w:pPr>
        <w:pStyle w:val="Titolo2"/>
        <w:rPr>
          <w:lang w:val="it-IT"/>
        </w:rPr>
      </w:pPr>
      <w:r w:rsidRPr="00426331">
        <w:rPr>
          <w:lang w:val="it-IT"/>
        </w:rPr>
        <w:t>7.2 Slide deck attuale: correzioni puntuali e parti da aggiungere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8496"/>
      </w:tblGrid>
      <w:tr w:rsidR="00555E47" w14:paraId="1A9837E6" w14:textId="77777777">
        <w:trPr>
          <w:jc w:val="center"/>
        </w:trPr>
        <w:tc>
          <w:tcPr>
            <w:tcW w:w="2160" w:type="dxa"/>
            <w:shd w:val="clear" w:color="auto" w:fill="24476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196B574" w14:textId="77777777" w:rsidR="00555E4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Slide/parte</w:t>
            </w:r>
          </w:p>
        </w:tc>
        <w:tc>
          <w:tcPr>
            <w:tcW w:w="8496" w:type="dxa"/>
            <w:shd w:val="clear" w:color="auto" w:fill="24476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DBBD99D" w14:textId="77777777" w:rsidR="00555E4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Lavoro richiesto</w:t>
            </w:r>
          </w:p>
        </w:tc>
      </w:tr>
      <w:tr w:rsidR="00555E47" w:rsidRPr="00426331" w14:paraId="05E9BE74" w14:textId="77777777">
        <w:trPr>
          <w:jc w:val="center"/>
        </w:trPr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5408E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3 – modelli</w:t>
            </w:r>
          </w:p>
        </w:tc>
        <w:tc>
          <w:tcPr>
            <w:tcW w:w="84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A64CC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5"/>
                <w:lang w:val="it-IT"/>
              </w:rPr>
              <w:t>Rimuovere “PCA not really”; aggiungere formule/diagrammi sintetici per CNN1D e Transformer; precisare input/output, pooling e bias architetturale.</w:t>
            </w:r>
          </w:p>
        </w:tc>
      </w:tr>
      <w:tr w:rsidR="00555E47" w14:paraId="69068F5D" w14:textId="77777777">
        <w:trPr>
          <w:jc w:val="center"/>
        </w:trPr>
        <w:tc>
          <w:tcPr>
            <w:tcW w:w="216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C2188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4 – objectives</w:t>
            </w:r>
          </w:p>
        </w:tc>
        <w:tc>
          <w:tcPr>
            <w:tcW w:w="8496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F63DA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 w:rsidRPr="00426331">
              <w:rPr>
                <w:sz w:val="15"/>
                <w:lang w:val="it-IT"/>
              </w:rPr>
              <w:t xml:space="preserve">Scrivere equazioni e sampling effettivi per soft, InfoNCE, time-contrastive e behavior-contrastive; chiarire positivi/negativi, numero di positivi, offset e false negatives. </w:t>
            </w:r>
            <w:r>
              <w:rPr>
                <w:sz w:val="15"/>
              </w:rPr>
              <w:t>Non descrivere genericamente metodi diversi.</w:t>
            </w:r>
          </w:p>
        </w:tc>
      </w:tr>
      <w:tr w:rsidR="00555E47" w14:paraId="6E888416" w14:textId="77777777">
        <w:trPr>
          <w:jc w:val="center"/>
        </w:trPr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6D593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5–7 – metrics</w:t>
            </w:r>
          </w:p>
        </w:tc>
        <w:tc>
          <w:tcPr>
            <w:tcW w:w="84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2C4CBB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 w:rsidRPr="00426331">
              <w:rPr>
                <w:sz w:val="15"/>
                <w:lang w:val="it-IT"/>
              </w:rPr>
              <w:t xml:space="preserve">Correggere descrizioni/caption copiate; separare Procrustes, RSA, CKA; definire BA e lag curve/error. </w:t>
            </w:r>
            <w:r>
              <w:rPr>
                <w:sz w:val="15"/>
              </w:rPr>
              <w:t>Specificare supporto e unità di ogni metrica.</w:t>
            </w:r>
          </w:p>
        </w:tc>
      </w:tr>
      <w:tr w:rsidR="00555E47" w14:paraId="3662D0A1" w14:textId="77777777">
        <w:trPr>
          <w:jc w:val="center"/>
        </w:trPr>
        <w:tc>
          <w:tcPr>
            <w:tcW w:w="216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03E66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8 – diagnostics</w:t>
            </w:r>
          </w:p>
        </w:tc>
        <w:tc>
          <w:tcPr>
            <w:tcW w:w="8496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A69303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 w:rsidRPr="00426331">
              <w:rPr>
                <w:sz w:val="15"/>
                <w:lang w:val="it-IT"/>
              </w:rPr>
              <w:t xml:space="preserve">Mostrare PR/eigenspectrum e near-collapse con esempi interpretati; spiegare raw/unit. </w:t>
            </w:r>
            <w:r>
              <w:rPr>
                <w:sz w:val="15"/>
              </w:rPr>
              <w:t>Non usare diagnostics come classifica di qualità.</w:t>
            </w:r>
          </w:p>
        </w:tc>
      </w:tr>
      <w:tr w:rsidR="00555E47" w:rsidRPr="00426331" w14:paraId="6702ACE8" w14:textId="77777777">
        <w:trPr>
          <w:jc w:val="center"/>
        </w:trPr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A719B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9 – HPO</w:t>
            </w:r>
          </w:p>
        </w:tc>
        <w:tc>
          <w:tcPr>
            <w:tcW w:w="84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14F4DD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>
              <w:rPr>
                <w:sz w:val="15"/>
              </w:rPr>
              <w:t xml:space="preserve">Mostrare TRAIN → VALIDATION → FREEZE → TEST. </w:t>
            </w:r>
            <w:r w:rsidRPr="00426331">
              <w:rPr>
                <w:sz w:val="15"/>
                <w:lang w:val="it-IT"/>
              </w:rPr>
              <w:t>Indicare split trial-safe, criteri validation-only, W selection e ruolo distinto di 1101 rispetto a 1201/1301.</w:t>
            </w:r>
          </w:p>
        </w:tc>
      </w:tr>
      <w:tr w:rsidR="00555E47" w:rsidRPr="00426331" w14:paraId="745975B8" w14:textId="77777777">
        <w:trPr>
          <w:jc w:val="center"/>
        </w:trPr>
        <w:tc>
          <w:tcPr>
            <w:tcW w:w="216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02C53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10 – synthetic setup</w:t>
            </w:r>
          </w:p>
        </w:tc>
        <w:tc>
          <w:tcPr>
            <w:tcW w:w="8496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16982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5"/>
                <w:lang w:val="it-IT"/>
              </w:rPr>
              <w:t>Controllare unità del lag: distinguere durata di un bin e shift di 10 bin. Riportare generatore, rumore AR(1), partizione e split corretti; correggere ogni ms non verificato.</w:t>
            </w:r>
          </w:p>
        </w:tc>
      </w:tr>
      <w:tr w:rsidR="00555E47" w:rsidRPr="00426331" w14:paraId="2C02BA2C" w14:textId="77777777">
        <w:trPr>
          <w:jc w:val="center"/>
        </w:trPr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5F75A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15 – lag peak</w:t>
            </w:r>
          </w:p>
        </w:tc>
        <w:tc>
          <w:tcPr>
            <w:tcW w:w="84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EF391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5"/>
                <w:lang w:val="it-IT"/>
              </w:rPr>
              <w:t>Sostituire il grafico duplicato di stime/errori con curve lag, peak margin/width, boundary e stato identificabile/non identificabile.</w:t>
            </w:r>
          </w:p>
        </w:tc>
      </w:tr>
      <w:tr w:rsidR="00555E47" w:rsidRPr="00426331" w14:paraId="4FDF3AF2" w14:textId="77777777">
        <w:trPr>
          <w:jc w:val="center"/>
        </w:trPr>
        <w:tc>
          <w:tcPr>
            <w:tcW w:w="216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D022C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Nuove slide Real</w:t>
            </w:r>
          </w:p>
        </w:tc>
        <w:tc>
          <w:tcPr>
            <w:tcW w:w="8496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394A2C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5"/>
                <w:lang w:val="it-IT"/>
              </w:rPr>
              <w:t>Disegno monkey, A/B, W=201 validation freeze, risultati geometry/accessibility, near-collapse, R0/R10 e denominatore 11/24 identificabili.</w:t>
            </w:r>
          </w:p>
        </w:tc>
      </w:tr>
      <w:tr w:rsidR="00555E47" w:rsidRPr="00426331" w14:paraId="12F7B368" w14:textId="77777777">
        <w:trPr>
          <w:jc w:val="center"/>
        </w:trPr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54243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Nuove slide inferenza</w:t>
            </w:r>
          </w:p>
        </w:tc>
        <w:tc>
          <w:tcPr>
            <w:tcW w:w="84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2BD0D8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5"/>
                <w:lang w:val="it-IT"/>
              </w:rPr>
              <w:t>Null controls e bootstrap dopo completamento; seed caveat; limiti a single session e test di validità esterna.</w:t>
            </w:r>
          </w:p>
        </w:tc>
      </w:tr>
      <w:tr w:rsidR="00555E47" w:rsidRPr="00426331" w14:paraId="7E737491" w14:textId="77777777">
        <w:trPr>
          <w:jc w:val="center"/>
        </w:trPr>
        <w:tc>
          <w:tcPr>
            <w:tcW w:w="216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AA5474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Nuova slide Frosolone</w:t>
            </w:r>
          </w:p>
        </w:tc>
        <w:tc>
          <w:tcPr>
            <w:tcW w:w="8496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6BE67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5"/>
                <w:lang w:val="it-IT"/>
              </w:rPr>
              <w:t>Pipeline 1 sul sintetico e risultato nullo sul decoding; non chiamarla replica EEG.</w:t>
            </w:r>
          </w:p>
        </w:tc>
      </w:tr>
      <w:tr w:rsidR="00555E47" w14:paraId="287CA6A1" w14:textId="77777777">
        <w:trPr>
          <w:jc w:val="center"/>
        </w:trPr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BE852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Finale</w:t>
            </w:r>
          </w:p>
        </w:tc>
        <w:tc>
          <w:tcPr>
            <w:tcW w:w="84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C5F31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 w:rsidRPr="00426331">
              <w:rPr>
                <w:sz w:val="15"/>
                <w:lang w:val="it-IT"/>
              </w:rPr>
              <w:t xml:space="preserve">Sintesi del contributo, claim ammesse, limiti e 2–3 direzioni future motivate. </w:t>
            </w:r>
            <w:r>
              <w:rPr>
                <w:sz w:val="15"/>
              </w:rPr>
              <w:t>Rimuovere note editoriali, refusi e formulazioni provvisorie.</w:t>
            </w:r>
          </w:p>
        </w:tc>
      </w:tr>
    </w:tbl>
    <w:p w14:paraId="5111416F" w14:textId="77777777" w:rsidR="00555E47" w:rsidRDefault="00555E47">
      <w:pPr>
        <w:spacing w:after="20"/>
        <w:rPr>
          <w:rFonts w:hint="eastAsia"/>
        </w:rPr>
      </w:pPr>
    </w:p>
    <w:p w14:paraId="1E081C16" w14:textId="77777777" w:rsidR="00555E47" w:rsidRPr="00426331" w:rsidRDefault="00000000">
      <w:pPr>
        <w:pStyle w:val="Titolo1"/>
        <w:rPr>
          <w:lang w:val="it-IT"/>
        </w:rPr>
      </w:pPr>
      <w:r w:rsidRPr="00426331">
        <w:rPr>
          <w:lang w:val="it-IT"/>
        </w:rPr>
        <w:lastRenderedPageBreak/>
        <w:t>8. Estensioni: cosa serve davvero e cosa lasciare fuori</w:t>
      </w:r>
    </w:p>
    <w:p w14:paraId="382A4CE3" w14:textId="77777777" w:rsidR="00555E47" w:rsidRPr="00426331" w:rsidRDefault="00000000">
      <w:pPr>
        <w:rPr>
          <w:rFonts w:hint="eastAsia"/>
          <w:lang w:val="it-IT"/>
        </w:rPr>
      </w:pPr>
      <w:r w:rsidRPr="00426331">
        <w:rPr>
          <w:lang w:val="it-IT"/>
        </w:rPr>
        <w:t>Non iniziare nuovi modelli per far apparire il lavoro più grande. Prima chiudere i gate sopra e verificare che ogni claim regga con i dati congelati. Un risultato negativo o una non-identificabilità ben delimitati sono più informativi di un’estensione post hoc.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7416"/>
      </w:tblGrid>
      <w:tr w:rsidR="00555E47" w14:paraId="13D18F61" w14:textId="77777777">
        <w:trPr>
          <w:jc w:val="center"/>
        </w:trPr>
        <w:tc>
          <w:tcPr>
            <w:tcW w:w="3240" w:type="dxa"/>
            <w:shd w:val="clear" w:color="auto" w:fill="24476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9D47296" w14:textId="77777777" w:rsidR="00555E4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7416" w:type="dxa"/>
            <w:shd w:val="clear" w:color="auto" w:fill="24476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63CC153" w14:textId="77777777" w:rsidR="00555E4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Decisione per questa tesi</w:t>
            </w:r>
          </w:p>
        </w:tc>
      </w:tr>
      <w:tr w:rsidR="00555E47" w:rsidRPr="00426331" w14:paraId="6B4E5FA2" w14:textId="77777777">
        <w:trPr>
          <w:jc w:val="center"/>
        </w:trPr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64A63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5–10 training seed</w:t>
            </w:r>
          </w:p>
        </w:tc>
        <w:tc>
          <w:tcPr>
            <w:tcW w:w="74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0A31C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6"/>
                <w:lang w:val="it-IT"/>
              </w:rPr>
              <w:t>Facoltativo, non blocca: il report deve però riconoscere che 1201/1301 sono due refit indipendenti e 1101 è selezionato HPO.</w:t>
            </w:r>
          </w:p>
        </w:tc>
      </w:tr>
      <w:tr w:rsidR="00555E47" w:rsidRPr="00426331" w14:paraId="4CB0D9E0" w14:textId="77777777">
        <w:trPr>
          <w:jc w:val="center"/>
        </w:trPr>
        <w:tc>
          <w:tcPr>
            <w:tcW w:w="324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7AA6F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Multiple random A/B partitions</w:t>
            </w:r>
          </w:p>
        </w:tc>
        <w:tc>
          <w:tcPr>
            <w:tcW w:w="7416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24368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6"/>
                <w:lang w:val="it-IT"/>
              </w:rPr>
              <w:t>Estensione ad alto valore, ma non obbligatoria per la claim limitata alla partizione somatotopica fissata; indispensabile solo per generalizzare robustezza al campionamento dei neuroni.</w:t>
            </w:r>
          </w:p>
        </w:tc>
      </w:tr>
      <w:tr w:rsidR="00555E47" w:rsidRPr="00426331" w14:paraId="6976D8D0" w14:textId="77777777">
        <w:trPr>
          <w:jc w:val="center"/>
        </w:trPr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35233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Multiple lag 0/5/10/15, overlap control</w:t>
            </w:r>
          </w:p>
        </w:tc>
        <w:tc>
          <w:tcPr>
            <w:tcW w:w="74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5309E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6"/>
                <w:lang w:val="it-IT"/>
              </w:rPr>
              <w:t>Estensione forte. Il ramo attuale supporta il caso R0/R10 e synthetic esistente; non dichiarare calibrazione generale senza nuovi dati.</w:t>
            </w:r>
          </w:p>
        </w:tc>
      </w:tr>
      <w:tr w:rsidR="00555E47" w:rsidRPr="00426331" w14:paraId="3EE78578" w14:textId="77777777">
        <w:trPr>
          <w:jc w:val="center"/>
        </w:trPr>
        <w:tc>
          <w:tcPr>
            <w:tcW w:w="324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8A557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Full-sample</w:t>
            </w:r>
          </w:p>
        </w:tc>
        <w:tc>
          <w:tcPr>
            <w:tcW w:w="7416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BC529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6"/>
                <w:lang w:val="it-IT"/>
              </w:rPr>
              <w:t>Descrittivo/visuale facoltativo; non sostituisce held-out e non è necessario per chiudere la generalizzazione.</w:t>
            </w:r>
          </w:p>
        </w:tc>
      </w:tr>
      <w:tr w:rsidR="00555E47" w:rsidRPr="00426331" w14:paraId="7D1AFE7D" w14:textId="77777777">
        <w:trPr>
          <w:jc w:val="center"/>
        </w:trPr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822AF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6"/>
                <w:lang w:val="it-IT"/>
              </w:rPr>
              <w:t>Replica EEG Graz 2a/2b</w:t>
            </w:r>
          </w:p>
        </w:tc>
        <w:tc>
          <w:tcPr>
            <w:tcW w:w="74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78877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6"/>
                <w:lang w:val="it-IT"/>
              </w:rPr>
              <w:t>Non svolta. Da fare solo se la tesi vuole affermare validazione del metodo su EEG reale; altrimenti tenere Frosolone come adattamento sintetico esplorativo.</w:t>
            </w:r>
          </w:p>
        </w:tc>
      </w:tr>
      <w:tr w:rsidR="00555E47" w:rsidRPr="00426331" w14:paraId="13CFBC30" w14:textId="77777777">
        <w:trPr>
          <w:jc w:val="center"/>
        </w:trPr>
        <w:tc>
          <w:tcPr>
            <w:tcW w:w="324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209A2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6"/>
                <w:lang w:val="it-IT"/>
              </w:rPr>
              <w:t>CEBRA ufficiale, autoencoder, VAE, GRU/LSTM</w:t>
            </w:r>
          </w:p>
        </w:tc>
        <w:tc>
          <w:tcPr>
            <w:tcW w:w="7416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84805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6"/>
                <w:lang w:val="it-IT"/>
              </w:rPr>
              <w:t>Non necessari al core attuale; aumentano scope e tuning. Aggiungere solo con una domanda nuova e tempo sufficiente.</w:t>
            </w:r>
          </w:p>
        </w:tc>
      </w:tr>
      <w:tr w:rsidR="00555E47" w:rsidRPr="00426331" w14:paraId="153C6515" w14:textId="77777777">
        <w:trPr>
          <w:jc w:val="center"/>
        </w:trPr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34525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Geodesic RSA, neighborhood, equivariance, TDA</w:t>
            </w:r>
          </w:p>
        </w:tc>
        <w:tc>
          <w:tcPr>
            <w:tcW w:w="74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06FC4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6"/>
                <w:lang w:val="it-IT"/>
              </w:rPr>
              <w:t>Estensioni; TDA solo con ipotesi topologica definita prima. Non sono gate di validità del protocollo attuale.</w:t>
            </w:r>
          </w:p>
        </w:tc>
      </w:tr>
      <w:tr w:rsidR="00555E47" w:rsidRPr="00426331" w14:paraId="4BD2A660" w14:textId="77777777">
        <w:trPr>
          <w:jc w:val="center"/>
        </w:trPr>
        <w:tc>
          <w:tcPr>
            <w:tcW w:w="324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E96EB" w14:textId="77777777" w:rsidR="00555E4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Benchmark compute esteso</w:t>
            </w:r>
          </w:p>
        </w:tc>
        <w:tc>
          <w:tcPr>
            <w:tcW w:w="7416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0895D" w14:textId="77777777" w:rsidR="00555E47" w:rsidRPr="00426331" w:rsidRDefault="00000000">
            <w:pPr>
              <w:spacing w:after="0" w:line="240" w:lineRule="auto"/>
              <w:rPr>
                <w:rFonts w:hint="eastAsia"/>
                <w:lang w:val="it-IT"/>
              </w:rPr>
            </w:pPr>
            <w:r w:rsidRPr="00426331">
              <w:rPr>
                <w:sz w:val="16"/>
                <w:lang w:val="it-IT"/>
              </w:rPr>
              <w:t>Utile per una tesi/tesi-paper completa ma subordinato alle claim scientifiche; riportare almeno ambiente e costo essenziale verificabile.</w:t>
            </w:r>
          </w:p>
        </w:tc>
      </w:tr>
    </w:tbl>
    <w:p w14:paraId="6B4598CC" w14:textId="77777777" w:rsidR="00555E47" w:rsidRPr="00426331" w:rsidRDefault="00555E47">
      <w:pPr>
        <w:spacing w:after="20"/>
        <w:rPr>
          <w:rFonts w:hint="eastAsia"/>
          <w:lang w:val="it-IT"/>
        </w:rPr>
      </w:pPr>
    </w:p>
    <w:p w14:paraId="6803C7D6" w14:textId="77777777" w:rsidR="00555E47" w:rsidRPr="00426331" w:rsidRDefault="00000000">
      <w:pPr>
        <w:pStyle w:val="Titolo1"/>
        <w:rPr>
          <w:lang w:val="it-IT"/>
        </w:rPr>
      </w:pPr>
      <w:r w:rsidRPr="00426331">
        <w:rPr>
          <w:lang w:val="it-IT"/>
        </w:rPr>
        <w:t>9. Gate finale: non dichiarare la tesi chiusa finché</w:t>
      </w:r>
    </w:p>
    <w:p w14:paraId="74165526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I null pianificati hanno denominatori riconciliati e output verificati; bootstrap o alternativa motivata è pubblicata; il temporal-order gap è chiuso o trasformato in limite esplicito.</w:t>
      </w:r>
    </w:p>
    <w:p w14:paraId="17CD8F0A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Gli endpoint primari, comparazioni, unità d’analisi e regole di aggregazione sono congelati e riportati senza selezione post hoc.</w:t>
      </w:r>
    </w:p>
    <w:p w14:paraId="43F52C67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Ogni risultato nel testo è riconducibile a tabella/figura e script; ogni figura ha caption con dataset, N, split, metrica, incertezza e interpretazione minima.</w:t>
      </w:r>
    </w:p>
    <w:p w14:paraId="2FB546FB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Results includono esiti positivi, nulli e failure; i 13 casi non identificabili e i near-collapse non spariscono nella media.</w:t>
      </w:r>
    </w:p>
    <w:p w14:paraId="5870E3AC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Il pacchetto di codice è eseguibile o la non-riproducibilità residua è circoscritta e dichiarata; manifest/hash e comandi sono controllati in ambiente pulito.</w:t>
      </w:r>
    </w:p>
    <w:p w14:paraId="7DDB2B2D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Le slide non contengono note editoriali, unità ambigue o claim di true latent recovery sul monkey; la presentazione copre Real, controlli, Frosolone e limiti.</w:t>
      </w:r>
    </w:p>
    <w:p w14:paraId="5C145A8D" w14:textId="77777777" w:rsidR="00555E47" w:rsidRPr="00426331" w:rsidRDefault="00000000">
      <w:pPr>
        <w:spacing w:after="40"/>
        <w:ind w:left="259" w:hanging="259"/>
        <w:rPr>
          <w:rFonts w:hint="eastAsia"/>
          <w:lang w:val="it-IT"/>
        </w:rPr>
      </w:pPr>
      <w:r w:rsidRPr="00426331">
        <w:rPr>
          <w:lang w:val="it-IT"/>
        </w:rPr>
        <w:t>[ ] Relatore/commissione possono ricostruire perché il test non ha guidato selezione, cosa dimostra ogni metrica, quali conclusioni non sono identificate e cosa resta futuro lavoro.</w:t>
      </w:r>
    </w:p>
    <w:p w14:paraId="13E2C125" w14:textId="77777777" w:rsidR="00555E47" w:rsidRPr="00426331" w:rsidRDefault="00000000">
      <w:pPr>
        <w:pStyle w:val="Titolo2"/>
        <w:rPr>
          <w:lang w:val="it-IT"/>
        </w:rPr>
      </w:pPr>
      <w:r w:rsidRPr="00426331">
        <w:rPr>
          <w:lang w:val="it-IT"/>
        </w:rPr>
        <w:t>Regola conclusiva</w:t>
      </w:r>
    </w:p>
    <w:p w14:paraId="7D186DD2" w14:textId="77777777" w:rsidR="00555E47" w:rsidRPr="00426331" w:rsidRDefault="00000000">
      <w:pPr>
        <w:rPr>
          <w:rFonts w:hint="eastAsia"/>
          <w:lang w:val="it-IT"/>
        </w:rPr>
      </w:pPr>
      <w:r w:rsidRPr="00426331">
        <w:rPr>
          <w:lang w:val="it-IT"/>
        </w:rPr>
        <w:t>La tesi è pronta quando il lettore può ricostruire il protocollo, capire ogni risultato, distinguere ciò che è dimostrato da ciò che è solo suggestivo e riprodurre le analisi senza affidarsi a una narrazione orale. Aggiungere un altro modello non sostituisce nessuno di questi passaggi.</w:t>
      </w:r>
    </w:p>
    <w:p w14:paraId="2D3A1923" w14:textId="77777777" w:rsidR="00555E47" w:rsidRPr="00426331" w:rsidRDefault="00000000">
      <w:pPr>
        <w:pStyle w:val="Titolo1"/>
        <w:rPr>
          <w:lang w:val="it-IT"/>
        </w:rPr>
      </w:pPr>
      <w:r w:rsidRPr="00426331">
        <w:rPr>
          <w:lang w:val="it-IT"/>
        </w:rPr>
        <w:t>10. Provenienza dello snapshot usato per aggiornare la checklist</w:t>
      </w:r>
    </w:p>
    <w:p w14:paraId="28E31355" w14:textId="77777777" w:rsidR="00555E47" w:rsidRPr="00426331" w:rsidRDefault="00000000">
      <w:pPr>
        <w:rPr>
          <w:rFonts w:hint="eastAsia"/>
          <w:lang w:val="it-IT"/>
        </w:rPr>
      </w:pPr>
      <w:r w:rsidRPr="00426331">
        <w:rPr>
          <w:lang w:val="it-IT"/>
        </w:rPr>
        <w:t>La fotografia di stato è stata ricavata dai file caricati al 1 ottobre 2026: `Codici_tesi_01_10.zip`; `PHASE2A_INITIAL_HPO_REPORT(3).md`; `PHASE2A_REAL_WINDOW_AMENDMENT.md`; `PHASE2A_HPO_RUNNER_DRYRUN_REPORT(1).md`; `held_out_01_10.zip`; `Final_thesi_v1_final_evaluation_01_10.zip`; `frosolone_synthetic_pipeline1_seed42_complete_30_09.zip`; `Vers I ottobre 26.pptx`; checklist del 23 settembre. Gli stati sono riferiti a questa fotografia: vanno aggiornati se vengono prodotti nuovi output dopo tale data.</w:t>
      </w:r>
    </w:p>
    <w:p w14:paraId="2A695F86" w14:textId="77777777" w:rsidR="00555E47" w:rsidRPr="00426331" w:rsidRDefault="00000000">
      <w:pPr>
        <w:rPr>
          <w:rFonts w:hint="eastAsia"/>
          <w:lang w:val="it-IT"/>
        </w:rPr>
      </w:pPr>
      <w:r w:rsidRPr="00426331">
        <w:rPr>
          <w:lang w:val="it-IT"/>
        </w:rPr>
        <w:lastRenderedPageBreak/>
        <w:t>Non sono stati inventati risultati mancanti. Dove un report attesta un completamento, la checklist lo marca come chiuso; dove l’archivio contiene solo checkpoint parziali o manca un summary, il passaggio resta aperto o da verificare.</w:t>
      </w:r>
    </w:p>
    <w:sectPr w:rsidR="00555E47" w:rsidRPr="00426331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711609">
    <w:abstractNumId w:val="8"/>
  </w:num>
  <w:num w:numId="2" w16cid:durableId="660427146">
    <w:abstractNumId w:val="6"/>
  </w:num>
  <w:num w:numId="3" w16cid:durableId="1625965710">
    <w:abstractNumId w:val="5"/>
  </w:num>
  <w:num w:numId="4" w16cid:durableId="1776829152">
    <w:abstractNumId w:val="4"/>
  </w:num>
  <w:num w:numId="5" w16cid:durableId="994063174">
    <w:abstractNumId w:val="7"/>
  </w:num>
  <w:num w:numId="6" w16cid:durableId="1878732688">
    <w:abstractNumId w:val="3"/>
  </w:num>
  <w:num w:numId="7" w16cid:durableId="272245657">
    <w:abstractNumId w:val="2"/>
  </w:num>
  <w:num w:numId="8" w16cid:durableId="1767143602">
    <w:abstractNumId w:val="1"/>
  </w:num>
  <w:num w:numId="9" w16cid:durableId="1934776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0CB"/>
    <w:rsid w:val="0006063C"/>
    <w:rsid w:val="0015074B"/>
    <w:rsid w:val="0029639D"/>
    <w:rsid w:val="00326F90"/>
    <w:rsid w:val="00426331"/>
    <w:rsid w:val="005304E8"/>
    <w:rsid w:val="00555E47"/>
    <w:rsid w:val="006C6A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350F8"/>
  <w14:defaultImageDpi w14:val="300"/>
  <w15:docId w15:val="{DB4353D3-5E3F-4443-9B5C-1ED924BB7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80" w:line="259" w:lineRule="auto"/>
    </w:pPr>
    <w:rPr>
      <w:rFonts w:ascii="Aptos" w:hAnsi="Aptos"/>
      <w:color w:val="232A32"/>
      <w:sz w:val="19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000000"/>
      <w:sz w:val="20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color w:val="000000"/>
      <w:spacing w:val="15"/>
      <w:sz w:val="22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3501</Words>
  <Characters>19956</Characters>
  <Application>Microsoft Office Word</Application>
  <DocSecurity>0</DocSecurity>
  <Lines>166</Lines>
  <Paragraphs>46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NeuroBridge V2 checklist finale per una tesi competitiva a livello internazionale</vt:lpstr>
      <vt:lpstr/>
    </vt:vector>
  </TitlesOfParts>
  <Manager/>
  <Company/>
  <LinksUpToDate>false</LinksUpToDate>
  <CharactersWithSpaces>23411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NeuroBridge V2 checklist finale per una tesi competitiva a livello internazionale</dc:title>
  <dc:subject>Stato al 1 ottobre 2026: verifiche scientifiche, risultati, scrittura, presentazione e riproducibilità</dc:subject>
  <dc:creator>Lorenzo O.b.</dc:creator>
  <cp:keywords/>
  <dc:description>generated by python-docx</dc:description>
  <cp:lastModifiedBy>Lorenzo O.b.</cp:lastModifiedBy>
  <cp:revision>3</cp:revision>
  <dcterms:created xsi:type="dcterms:W3CDTF">2026-10-01T17:10:00Z</dcterms:created>
  <dcterms:modified xsi:type="dcterms:W3CDTF">2026-10-01T17:14:00Z</dcterms:modified>
  <cp:category/>
</cp:coreProperties>
</file>