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jc w:val="center"/>
      </w:pPr>
      <w:r>
        <w:rPr>
          <w:b/>
          <w:color w:val="1F4E79"/>
          <w:sz w:val="38"/>
        </w:rPr>
        <w:t xml:space="preserve">Carver Performance Metrics</w:t>
      </w:r>
    </w:p>
    <w:p>
      <w:pPr>
        <w:spacing w:before="0" w:after="240"/>
        <w:jc w:val="center"/>
      </w:pPr>
      <w:r>
        <w:rPr>
          <w:color w:val="666666"/>
          <w:sz w:val="20"/>
        </w:rPr>
        <w:t xml:space="preserve">Skew, tail ratios, alpha, and beta in plain English</w:t>
      </w:r>
    </w:p>
    <w:tbl>
      <w:tblPr>
        <w:tblStyle w:val="TableGrid"/>
        <w:tblBorders>
          <w:top w:val="single" w:sz="4" w:color="BFBFBF"/>
          <w:left w:val="single" w:sz="4" w:color="BFBFBF"/>
          <w:bottom w:val="single" w:sz="4" w:color="BFBFBF"/>
          <w:right w:val="single" w:sz="4" w:color="BFBFBF"/>
          <w:insideH w:val="single" w:sz="4" w:color="BFBFBF"/>
          <w:insideV w:val="single" w:sz="4" w:color="BFBFBF"/>
        </w:tblBorders>
      </w:tblPr>
      <w:tr>
        <w:tc>
          <w:tcPr>
            <w:tcW w:w="1800" w:type="dxa"/>
            <w:shd w:fill="1F4E79"/>
            <w:vAlign w:val="center"/>
            <w:tcMar>
              <w:top w:w="100" w:type="dxa"/>
              <w:left w:w="100" w:type="dxa"/>
              <w:bottom w:w="100" w:type="dxa"/>
              <w:right w:w="100" w:type="dxa"/>
            </w:tcMar>
          </w:tcPr>
          <w:p>
            <w:pPr>
              <w:spacing w:before="0" w:after="40"/>
            </w:pPr>
            <w:r>
              <w:rPr>
                <w:b/>
                <w:color w:val="FFFFFF"/>
                <w:sz w:val="18"/>
              </w:rPr>
              <w:t xml:space="preserve">Metric</w:t>
            </w:r>
          </w:p>
        </w:tc>
        <w:tc>
          <w:tcPr>
            <w:tcW w:w="3600" w:type="dxa"/>
            <w:shd w:fill="1F4E79"/>
            <w:vAlign w:val="center"/>
            <w:tcMar>
              <w:top w:w="100" w:type="dxa"/>
              <w:left w:w="100" w:type="dxa"/>
              <w:bottom w:w="100" w:type="dxa"/>
              <w:right w:w="100" w:type="dxa"/>
            </w:tcMar>
          </w:tcPr>
          <w:p>
            <w:pPr>
              <w:spacing w:before="0" w:after="40"/>
            </w:pPr>
            <w:r>
              <w:rPr>
                <w:b/>
                <w:color w:val="FFFFFF"/>
                <w:sz w:val="18"/>
              </w:rPr>
              <w:t xml:space="preserve">What it measures</w:t>
            </w:r>
          </w:p>
        </w:tc>
        <w:tc>
          <w:tcPr>
            <w:tcW w:w="4200" w:type="dxa"/>
            <w:shd w:fill="1F4E79"/>
            <w:vAlign w:val="center"/>
            <w:tcMar>
              <w:top w:w="100" w:type="dxa"/>
              <w:left w:w="100" w:type="dxa"/>
              <w:bottom w:w="100" w:type="dxa"/>
              <w:right w:w="100" w:type="dxa"/>
            </w:tcMar>
          </w:tcPr>
          <w:p>
            <w:pPr>
              <w:spacing w:before="0" w:after="40"/>
            </w:pPr>
            <w:r>
              <w:rPr>
                <w:b/>
                <w:color w:val="FFFFFF"/>
                <w:sz w:val="18"/>
              </w:rPr>
              <w:t xml:space="preserve">Interpretation</w:t>
            </w:r>
          </w:p>
        </w:tc>
      </w:tr>
      <w:tr>
        <w:tc>
          <w:tcPr>
            <w:tcW w:w="1800" w:type="dxa"/>
            <w:shd w:fill="FFFFFF"/>
            <w:vAlign w:val="center"/>
            <w:tcMar>
              <w:top w:w="100" w:type="dxa"/>
              <w:left w:w="100" w:type="dxa"/>
              <w:bottom w:w="100" w:type="dxa"/>
              <w:right w:w="100" w:type="dxa"/>
            </w:tcMar>
          </w:tcPr>
          <w:p>
            <w:pPr>
              <w:spacing w:before="0" w:after="40"/>
            </w:pPr>
            <w:r>
              <w:rPr>
                <w:color w:val="000000"/>
                <w:sz w:val="18"/>
              </w:rPr>
              <w:t xml:space="preserve">Skew</w:t>
            </w:r>
          </w:p>
        </w:tc>
        <w:tc>
          <w:tcPr>
            <w:tcW w:w="3600" w:type="dxa"/>
            <w:shd w:fill="FFFFFF"/>
            <w:vAlign w:val="center"/>
            <w:tcMar>
              <w:top w:w="100" w:type="dxa"/>
              <w:left w:w="100" w:type="dxa"/>
              <w:bottom w:w="100" w:type="dxa"/>
              <w:right w:w="100" w:type="dxa"/>
            </w:tcMar>
          </w:tcPr>
          <w:p>
            <w:pPr>
              <w:spacing w:before="0" w:after="40"/>
            </w:pPr>
            <w:r>
              <w:rPr>
                <w:color w:val="000000"/>
                <w:sz w:val="18"/>
              </w:rPr>
              <w:t xml:space="preserve">Shape of returns</w:t>
            </w:r>
          </w:p>
        </w:tc>
        <w:tc>
          <w:tcPr>
            <w:tcW w:w="4200" w:type="dxa"/>
            <w:shd w:fill="FFFFFF"/>
            <w:vAlign w:val="center"/>
            <w:tcMar>
              <w:top w:w="100" w:type="dxa"/>
              <w:left w:w="100" w:type="dxa"/>
              <w:bottom w:w="100" w:type="dxa"/>
              <w:right w:w="100" w:type="dxa"/>
            </w:tcMar>
          </w:tcPr>
          <w:p>
            <w:pPr>
              <w:spacing w:before="0" w:after="40"/>
            </w:pPr>
            <w:r>
              <w:rPr>
                <w:color w:val="000000"/>
                <w:sz w:val="18"/>
              </w:rPr>
              <w:t xml:space="preserve">Positive is often desirable for crisis/convex strategies.</w:t>
            </w:r>
          </w:p>
        </w:tc>
      </w:tr>
      <w:tr>
        <w:tc>
          <w:tcPr>
            <w:tcW w:w="1800" w:type="dxa"/>
            <w:shd w:fill="FFFFFF"/>
            <w:vAlign w:val="center"/>
            <w:tcMar>
              <w:top w:w="100" w:type="dxa"/>
              <w:left w:w="100" w:type="dxa"/>
              <w:bottom w:w="100" w:type="dxa"/>
              <w:right w:w="100" w:type="dxa"/>
            </w:tcMar>
          </w:tcPr>
          <w:p>
            <w:pPr>
              <w:spacing w:before="0" w:after="40"/>
            </w:pPr>
            <w:r>
              <w:rPr>
                <w:color w:val="000000"/>
                <w:sz w:val="18"/>
              </w:rPr>
              <w:t xml:space="preserve">Lower Tail</w:t>
            </w:r>
          </w:p>
        </w:tc>
        <w:tc>
          <w:tcPr>
            <w:tcW w:w="3600" w:type="dxa"/>
            <w:shd w:fill="FFFFFF"/>
            <w:vAlign w:val="center"/>
            <w:tcMar>
              <w:top w:w="100" w:type="dxa"/>
              <w:left w:w="100" w:type="dxa"/>
              <w:bottom w:w="100" w:type="dxa"/>
              <w:right w:w="100" w:type="dxa"/>
            </w:tcMar>
          </w:tcPr>
          <w:p>
            <w:pPr>
              <w:spacing w:before="0" w:after="40"/>
            </w:pPr>
            <w:r>
              <w:rPr>
                <w:color w:val="000000"/>
                <w:sz w:val="18"/>
              </w:rPr>
              <w:t xml:space="preserve">Bad extreme outcomes</w:t>
            </w:r>
          </w:p>
        </w:tc>
        <w:tc>
          <w:tcPr>
            <w:tcW w:w="4200" w:type="dxa"/>
            <w:shd w:fill="FFFFFF"/>
            <w:vAlign w:val="center"/>
            <w:tcMar>
              <w:top w:w="100" w:type="dxa"/>
              <w:left w:w="100" w:type="dxa"/>
              <w:bottom w:w="100" w:type="dxa"/>
              <w:right w:w="100" w:type="dxa"/>
            </w:tcMar>
          </w:tcPr>
          <w:p>
            <w:pPr>
              <w:spacing w:before="0" w:after="40"/>
            </w:pPr>
            <w:r>
              <w:rPr>
                <w:color w:val="000000"/>
                <w:sz w:val="18"/>
              </w:rPr>
              <w:t xml:space="preserve">Lower crash risk is better.</w:t>
            </w:r>
          </w:p>
        </w:tc>
      </w:tr>
      <w:tr>
        <w:tc>
          <w:tcPr>
            <w:tcW w:w="1800" w:type="dxa"/>
            <w:shd w:fill="FFFFFF"/>
            <w:vAlign w:val="center"/>
            <w:tcMar>
              <w:top w:w="100" w:type="dxa"/>
              <w:left w:w="100" w:type="dxa"/>
              <w:bottom w:w="100" w:type="dxa"/>
              <w:right w:w="100" w:type="dxa"/>
            </w:tcMar>
          </w:tcPr>
          <w:p>
            <w:pPr>
              <w:spacing w:before="0" w:after="40"/>
            </w:pPr>
            <w:r>
              <w:rPr>
                <w:color w:val="000000"/>
                <w:sz w:val="18"/>
              </w:rPr>
              <w:t xml:space="preserve">Upper Tail</w:t>
            </w:r>
          </w:p>
        </w:tc>
        <w:tc>
          <w:tcPr>
            <w:tcW w:w="3600" w:type="dxa"/>
            <w:shd w:fill="FFFFFF"/>
            <w:vAlign w:val="center"/>
            <w:tcMar>
              <w:top w:w="100" w:type="dxa"/>
              <w:left w:w="100" w:type="dxa"/>
              <w:bottom w:w="100" w:type="dxa"/>
              <w:right w:w="100" w:type="dxa"/>
            </w:tcMar>
          </w:tcPr>
          <w:p>
            <w:pPr>
              <w:spacing w:before="0" w:after="40"/>
            </w:pPr>
            <w:r>
              <w:rPr>
                <w:color w:val="000000"/>
                <w:sz w:val="18"/>
              </w:rPr>
              <w:t xml:space="preserve">Good extreme outcomes</w:t>
            </w:r>
          </w:p>
        </w:tc>
        <w:tc>
          <w:tcPr>
            <w:tcW w:w="4200" w:type="dxa"/>
            <w:shd w:fill="FFFFFF"/>
            <w:vAlign w:val="center"/>
            <w:tcMar>
              <w:top w:w="100" w:type="dxa"/>
              <w:left w:w="100" w:type="dxa"/>
              <w:bottom w:w="100" w:type="dxa"/>
              <w:right w:w="100" w:type="dxa"/>
            </w:tcMar>
          </w:tcPr>
          <w:p>
            <w:pPr>
              <w:spacing w:before="0" w:after="40"/>
            </w:pPr>
            <w:r>
              <w:rPr>
                <w:color w:val="000000"/>
                <w:sz w:val="18"/>
              </w:rPr>
              <w:t xml:space="preserve">Higher upside tail can be useful.</w:t>
            </w:r>
          </w:p>
        </w:tc>
      </w:tr>
      <w:tr>
        <w:tc>
          <w:tcPr>
            <w:tcW w:w="1800" w:type="dxa"/>
            <w:shd w:fill="FFFFFF"/>
            <w:vAlign w:val="center"/>
            <w:tcMar>
              <w:top w:w="100" w:type="dxa"/>
              <w:left w:w="100" w:type="dxa"/>
              <w:bottom w:w="100" w:type="dxa"/>
              <w:right w:w="100" w:type="dxa"/>
            </w:tcMar>
          </w:tcPr>
          <w:p>
            <w:pPr>
              <w:spacing w:before="0" w:after="40"/>
            </w:pPr>
            <w:r>
              <w:rPr>
                <w:color w:val="000000"/>
                <w:sz w:val="18"/>
              </w:rPr>
              <w:t xml:space="preserve">Alpha</w:t>
            </w:r>
          </w:p>
        </w:tc>
        <w:tc>
          <w:tcPr>
            <w:tcW w:w="3600" w:type="dxa"/>
            <w:shd w:fill="FFFFFF"/>
            <w:vAlign w:val="center"/>
            <w:tcMar>
              <w:top w:w="100" w:type="dxa"/>
              <w:left w:w="100" w:type="dxa"/>
              <w:bottom w:w="100" w:type="dxa"/>
              <w:right w:w="100" w:type="dxa"/>
            </w:tcMar>
          </w:tcPr>
          <w:p>
            <w:pPr>
              <w:spacing w:before="0" w:after="40"/>
            </w:pPr>
            <w:r>
              <w:rPr>
                <w:color w:val="000000"/>
                <w:sz w:val="18"/>
              </w:rPr>
              <w:t xml:space="preserve">Excess return after benchmark exposure</w:t>
            </w:r>
          </w:p>
        </w:tc>
        <w:tc>
          <w:tcPr>
            <w:tcW w:w="4200" w:type="dxa"/>
            <w:shd w:fill="FFFFFF"/>
            <w:vAlign w:val="center"/>
            <w:tcMar>
              <w:top w:w="100" w:type="dxa"/>
              <w:left w:w="100" w:type="dxa"/>
              <w:bottom w:w="100" w:type="dxa"/>
              <w:right w:w="100" w:type="dxa"/>
            </w:tcMar>
          </w:tcPr>
          <w:p>
            <w:pPr>
              <w:spacing w:before="0" w:after="40"/>
            </w:pPr>
            <w:r>
              <w:rPr>
                <w:color w:val="000000"/>
                <w:sz w:val="18"/>
              </w:rPr>
              <w:t xml:space="preserve">Positive alpha suggests added value.</w:t>
            </w:r>
          </w:p>
        </w:tc>
      </w:tr>
      <w:tr>
        <w:tc>
          <w:tcPr>
            <w:tcW w:w="1800" w:type="dxa"/>
            <w:shd w:fill="FFFFFF"/>
            <w:vAlign w:val="center"/>
            <w:tcMar>
              <w:top w:w="100" w:type="dxa"/>
              <w:left w:w="100" w:type="dxa"/>
              <w:bottom w:w="100" w:type="dxa"/>
              <w:right w:w="100" w:type="dxa"/>
            </w:tcMar>
          </w:tcPr>
          <w:p>
            <w:pPr>
              <w:spacing w:before="0" w:after="40"/>
            </w:pPr>
            <w:r>
              <w:rPr>
                <w:color w:val="000000"/>
                <w:sz w:val="18"/>
              </w:rPr>
              <w:t xml:space="preserve">Beta</w:t>
            </w:r>
          </w:p>
        </w:tc>
        <w:tc>
          <w:tcPr>
            <w:tcW w:w="3600" w:type="dxa"/>
            <w:shd w:fill="FFFFFF"/>
            <w:vAlign w:val="center"/>
            <w:tcMar>
              <w:top w:w="100" w:type="dxa"/>
              <w:left w:w="100" w:type="dxa"/>
              <w:bottom w:w="100" w:type="dxa"/>
              <w:right w:w="100" w:type="dxa"/>
            </w:tcMar>
          </w:tcPr>
          <w:p>
            <w:pPr>
              <w:spacing w:before="0" w:after="40"/>
            </w:pPr>
            <w:r>
              <w:rPr>
                <w:color w:val="000000"/>
                <w:sz w:val="18"/>
              </w:rPr>
              <w:t xml:space="preserve">Benchmark exposure</w:t>
            </w:r>
          </w:p>
        </w:tc>
        <w:tc>
          <w:tcPr>
            <w:tcW w:w="4200" w:type="dxa"/>
            <w:shd w:fill="FFFFFF"/>
            <w:vAlign w:val="center"/>
            <w:tcMar>
              <w:top w:w="100" w:type="dxa"/>
              <w:left w:w="100" w:type="dxa"/>
              <w:bottom w:w="100" w:type="dxa"/>
              <w:right w:w="100" w:type="dxa"/>
            </w:tcMar>
          </w:tcPr>
          <w:p>
            <w:pPr>
              <w:spacing w:before="0" w:after="40"/>
            </w:pPr>
            <w:r>
              <w:rPr>
                <w:color w:val="000000"/>
                <w:sz w:val="18"/>
              </w:rPr>
              <w:t xml:space="preserve">Low beta can mean more diversifying returns.</w:t>
            </w:r>
          </w:p>
        </w:tc>
      </w:tr>
    </w:tbl>
    <w:p>
      <w:pPr>
        <w:spacing w:before="180" w:after="70"/>
      </w:pPr>
      <w:r>
        <w:rPr>
          <w:b/>
          <w:color w:val="1F4E79"/>
          <w:sz w:val="26"/>
        </w:rPr>
        <w:t xml:space="preserve">Skew</w:t>
      </w:r>
    </w:p>
    <w:p>
      <w:pPr>
        <w:spacing w:before="0" w:after="120"/>
      </w:pPr>
      <w:r>
        <w:rPr>
          <w:sz w:val="21"/>
        </w:rPr>
        <w:t xml:space="preserve">Skew tells you whether returns are lopsided. Positive skew means many small losses with occasional big wins. Negative skew means many small wins with occasional large losses. Near-zero skew means the return distribution is roughly balanced.</w:t>
      </w:r>
    </w:p>
    <w:p>
      <w:pPr>
        <w:spacing w:before="180" w:after="70"/>
      </w:pPr>
      <w:r>
        <w:rPr>
          <w:b/>
          <w:color w:val="1F4E79"/>
          <w:sz w:val="26"/>
        </w:rPr>
        <w:t xml:space="preserve">Lower Tail</w:t>
      </w:r>
    </w:p>
    <w:p>
      <w:pPr>
        <w:spacing w:before="0" w:after="120"/>
      </w:pPr>
      <w:r>
        <w:rPr>
          <w:sz w:val="21"/>
        </w:rPr>
        <w:t xml:space="preserve">Lower tail measures how extreme the bad losses are. It asks whether the worst returns are much worse than a normal distribution would suggest. A weak lower tail points to crash risk or occasional large drawdowns.</w:t>
      </w:r>
    </w:p>
    <w:p>
      <w:pPr>
        <w:spacing w:before="180" w:after="70"/>
      </w:pPr>
      <w:r>
        <w:rPr>
          <w:b/>
          <w:color w:val="1F4E79"/>
          <w:sz w:val="26"/>
        </w:rPr>
        <w:t xml:space="preserve">Upper Tail</w:t>
      </w:r>
    </w:p>
    <w:p>
      <w:pPr>
        <w:spacing w:before="0" w:after="120"/>
      </w:pPr>
      <w:r>
        <w:rPr>
          <w:sz w:val="21"/>
        </w:rPr>
        <w:t xml:space="preserve">Upper tail measures how extreme the good returns are. It asks whether the best returns are much better than a normal distribution would suggest. Trend-following strategies often benefit from a strong upper tail.</w:t>
      </w:r>
    </w:p>
    <w:p>
      <w:pPr>
        <w:spacing w:before="180" w:after="70"/>
      </w:pPr>
      <w:r>
        <w:rPr>
          <w:b/>
          <w:color w:val="1F4E79"/>
          <w:sz w:val="26"/>
        </w:rPr>
        <w:t xml:space="preserve">Alpha</w:t>
      </w:r>
    </w:p>
    <w:p>
      <w:pPr>
        <w:spacing w:before="0" w:after="120"/>
      </w:pPr>
      <w:r>
        <w:rPr>
          <w:sz w:val="21"/>
        </w:rPr>
        <w:t xml:space="preserve">Alpha is the return left after removing normal benchmark exposure. It asks whether the strategy added value beyond simply being long the market or benchmark. Positive alpha means the strategy generated excess return after accounting for beta.</w:t>
      </w:r>
    </w:p>
    <w:p>
      <w:pPr>
        <w:spacing w:before="180" w:after="70"/>
      </w:pPr>
      <w:r>
        <w:rPr>
          <w:b/>
          <w:color w:val="1F4E79"/>
          <w:sz w:val="26"/>
        </w:rPr>
        <w:t xml:space="preserve">Beta</w:t>
      </w:r>
    </w:p>
    <w:p>
      <w:pPr>
        <w:spacing w:before="0" w:after="120"/>
      </w:pPr>
      <w:r>
        <w:rPr>
          <w:sz w:val="21"/>
        </w:rPr>
        <w:t xml:space="preserve">Beta measures how much the strategy moves with the benchmark. Beta near 1 means it behaves like the benchmark, beta near 0 means little linear relationship, and negative beta means it tends to move opposite the benchmark.</w:t>
      </w:r>
    </w:p>
    <w:p>
      <w:pPr>
        <w:spacing w:before="180" w:after="70"/>
      </w:pPr>
      <w:r>
        <w:rPr>
          <w:b/>
          <w:color w:val="1F4E79"/>
          <w:sz w:val="26"/>
        </w:rPr>
        <w:t xml:space="preserve">Regression form for alpha and beta</w:t>
      </w:r>
    </w:p>
    <w:p>
      <w:pPr>
        <w:spacing w:before="0" w:after="70"/>
      </w:pPr>
      <w:r>
        <w:rPr>
          <w:sz w:val="21"/>
        </w:rPr>
        <w:t xml:space="preserve">strategy return = alpha + beta x benchmark return</w:t>
      </w:r>
    </w:p>
    <w:p>
      <w:pPr>
        <w:spacing w:before="0" w:after="120"/>
      </w:pPr>
      <w:r>
        <w:rPr>
          <w:sz w:val="21"/>
        </w:rPr>
        <w:t xml:space="preserve">Beta is the slope of the regression. Alpha is the intercept, usually annualised by multiplying daily alpha by the number of trading days per year.</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table" w:styleId="TableGrid">
    <w:name w:val="Table Grid"/>
  </w:style>
</w:styles>
</file>

<file path=word/_rels/document.xml.rels><?xml version="1.0" encoding="UTF-8" standalone="yes"?><Relationships xmlns="http://schemas.openxmlformats.org/package/2006/relationships"/>
</file>