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42F826">
      <w:pPr>
        <w:rPr>
          <w:rFonts w:hint="default"/>
        </w:rPr>
      </w:pPr>
      <w:r>
        <w:rPr>
          <w:rFonts w:hint="default"/>
        </w:rPr>
        <w:t>can you summarise the what features are you using ?</w:t>
      </w:r>
    </w:p>
    <w:p w14:paraId="7F69DBC5">
      <w:pPr>
        <w:rPr>
          <w:rFonts w:hint="default"/>
        </w:rPr>
      </w:pPr>
      <w:r>
        <w:rPr>
          <w:rFonts w:hint="default"/>
        </w:rPr>
        <w:t>ChatGPT said:</w:t>
      </w:r>
    </w:p>
    <w:p w14:paraId="30725E87">
      <w:pPr>
        <w:rPr>
          <w:rFonts w:hint="default"/>
        </w:rPr>
      </w:pPr>
      <w:r>
        <w:rPr>
          <w:rFonts w:hint="default"/>
        </w:rPr>
        <w:t>Thought for 44s</w:t>
      </w:r>
    </w:p>
    <w:p w14:paraId="3B29645D">
      <w:pPr>
        <w:rPr>
          <w:rFonts w:hint="default"/>
        </w:rPr>
      </w:pPr>
    </w:p>
    <w:p w14:paraId="3436EA52">
      <w:pPr>
        <w:rPr>
          <w:rFonts w:hint="default"/>
        </w:rPr>
      </w:pPr>
      <w:r>
        <w:rPr>
          <w:rFonts w:hint="default"/>
        </w:rPr>
        <w:t>Here’s the feature set you’re using right now in the multi-asset build (the one that predicts next week’s Mon-open → Fri-close move). All features are weekly (W-FRI), computed from info available by the end of week t to predict week t+1, and the model z-scores &amp; median-imputes them.</w:t>
      </w:r>
    </w:p>
    <w:p w14:paraId="52B0A338">
      <w:pPr>
        <w:rPr>
          <w:rFonts w:hint="default"/>
        </w:rPr>
      </w:pPr>
    </w:p>
    <w:p w14:paraId="1FCC8B21">
      <w:pPr>
        <w:rPr>
          <w:rFonts w:hint="default"/>
          <w:b/>
          <w:bCs/>
        </w:rPr>
      </w:pPr>
      <w:r>
        <w:rPr>
          <w:rFonts w:hint="default"/>
          <w:b/>
          <w:bCs/>
        </w:rPr>
        <w:t>Price/vol (per instrument)</w:t>
      </w:r>
    </w:p>
    <w:p w14:paraId="28FF604E">
      <w:pPr>
        <w:rPr>
          <w:rFonts w:hint="default"/>
        </w:rPr>
      </w:pPr>
    </w:p>
    <w:p w14:paraId="57A6151A">
      <w:pPr>
        <w:rPr>
          <w:rFonts w:hint="default"/>
        </w:rPr>
      </w:pPr>
      <w:r>
        <w:rPr>
          <w:rFonts w:hint="default"/>
        </w:rPr>
        <w:t>ret_1w, ret_2w — 1- and 2-week returns</w:t>
      </w:r>
    </w:p>
    <w:p w14:paraId="13816F39">
      <w:pPr>
        <w:rPr>
          <w:rFonts w:hint="default"/>
        </w:rPr>
      </w:pPr>
    </w:p>
    <w:p w14:paraId="2808212F">
      <w:pPr>
        <w:rPr>
          <w:rFonts w:hint="default"/>
        </w:rPr>
      </w:pPr>
      <w:r>
        <w:rPr>
          <w:rFonts w:hint="default"/>
        </w:rPr>
        <w:t>mom_4_12 — 4w MA / 12w MA − 1 (momentum)</w:t>
      </w:r>
    </w:p>
    <w:p w14:paraId="657A2E6C">
      <w:pPr>
        <w:rPr>
          <w:rFonts w:hint="default"/>
        </w:rPr>
      </w:pPr>
    </w:p>
    <w:p w14:paraId="33E111C2">
      <w:pPr>
        <w:rPr>
          <w:rFonts w:hint="default"/>
        </w:rPr>
      </w:pPr>
      <w:r>
        <w:rPr>
          <w:rFonts w:hint="default"/>
        </w:rPr>
        <w:t>rv_4w, rv_4w_ann — 4-week realized vol (weekly) and its annualized version</w:t>
      </w:r>
    </w:p>
    <w:p w14:paraId="2AD72442">
      <w:pPr>
        <w:rPr>
          <w:rFonts w:hint="default"/>
        </w:rPr>
      </w:pPr>
    </w:p>
    <w:p w14:paraId="3A2D0690">
      <w:pPr>
        <w:rPr>
          <w:rFonts w:hint="default"/>
          <w:b/>
          <w:bCs/>
        </w:rPr>
      </w:pPr>
      <w:r>
        <w:rPr>
          <w:rFonts w:hint="default"/>
          <w:b/>
          <w:bCs/>
        </w:rPr>
        <w:t>Implied vol &amp; carry (per instrument, if vol series exists)</w:t>
      </w:r>
    </w:p>
    <w:p w14:paraId="4E2AC733">
      <w:pPr>
        <w:rPr>
          <w:rFonts w:hint="default"/>
          <w:b/>
          <w:bCs/>
        </w:rPr>
      </w:pPr>
    </w:p>
    <w:p w14:paraId="2ACBC28A">
      <w:pPr>
        <w:rPr>
          <w:rFonts w:hint="default"/>
        </w:rPr>
      </w:pPr>
      <w:r>
        <w:rPr>
          <w:rFonts w:hint="default"/>
        </w:rPr>
        <w:t>vol_idx — the index’s implied vol level (e.g., VIX/V2X/VXN)</w:t>
      </w:r>
    </w:p>
    <w:p w14:paraId="6193E44A">
      <w:pPr>
        <w:rPr>
          <w:rFonts w:hint="default"/>
        </w:rPr>
      </w:pPr>
    </w:p>
    <w:p w14:paraId="5A97AC95">
      <w:pPr>
        <w:rPr>
          <w:rFonts w:hint="default"/>
        </w:rPr>
      </w:pPr>
      <w:r>
        <w:rPr>
          <w:rFonts w:hint="default"/>
        </w:rPr>
        <w:t>vol_chg_1w — 1-week change in implied vol</w:t>
      </w:r>
    </w:p>
    <w:p w14:paraId="3559DE15">
      <w:pPr>
        <w:rPr>
          <w:rFonts w:hint="default"/>
        </w:rPr>
      </w:pPr>
    </w:p>
    <w:p w14:paraId="0D6132BA">
      <w:pPr>
        <w:rPr>
          <w:rFonts w:hint="default"/>
        </w:rPr>
      </w:pPr>
      <w:r>
        <w:rPr>
          <w:rFonts w:hint="default"/>
        </w:rPr>
        <w:t>vrp — variance risk premium ≈ vol_idx − rv_4w_ann*100</w:t>
      </w:r>
    </w:p>
    <w:p w14:paraId="0E903F53">
      <w:pPr>
        <w:rPr>
          <w:rFonts w:hint="default"/>
        </w:rPr>
      </w:pPr>
    </w:p>
    <w:p w14:paraId="076021E8">
      <w:pPr>
        <w:rPr>
          <w:rFonts w:hint="default"/>
          <w:b/>
          <w:bCs/>
        </w:rPr>
      </w:pPr>
      <w:r>
        <w:rPr>
          <w:rFonts w:hint="default"/>
          <w:b/>
          <w:bCs/>
        </w:rPr>
        <w:t>Rates (levels and slopes)</w:t>
      </w:r>
    </w:p>
    <w:p w14:paraId="2DD45442">
      <w:pPr>
        <w:rPr>
          <w:rFonts w:hint="default"/>
        </w:rPr>
      </w:pPr>
    </w:p>
    <w:p w14:paraId="183E7135">
      <w:pPr>
        <w:rPr>
          <w:rFonts w:hint="default"/>
        </w:rPr>
      </w:pPr>
      <w:r>
        <w:rPr>
          <w:rFonts w:hint="default"/>
        </w:rPr>
        <w:t>ust10y, ust2y — 10y and 2y Treasury yields</w:t>
      </w:r>
    </w:p>
    <w:p w14:paraId="17E9A21B">
      <w:pPr>
        <w:rPr>
          <w:rFonts w:hint="default"/>
        </w:rPr>
      </w:pPr>
    </w:p>
    <w:p w14:paraId="05F07EB4">
      <w:pPr>
        <w:rPr>
          <w:rFonts w:hint="default"/>
        </w:rPr>
      </w:pPr>
      <w:r>
        <w:rPr>
          <w:rFonts w:hint="default"/>
        </w:rPr>
        <w:t>slope_10y_2y — 10y − 2y</w:t>
      </w:r>
    </w:p>
    <w:p w14:paraId="50303126">
      <w:pPr>
        <w:rPr>
          <w:rFonts w:hint="default"/>
        </w:rPr>
      </w:pPr>
    </w:p>
    <w:p w14:paraId="35A479B5">
      <w:pPr>
        <w:rPr>
          <w:rFonts w:hint="default"/>
        </w:rPr>
      </w:pPr>
      <w:r>
        <w:rPr>
          <w:rFonts w:hint="default"/>
        </w:rPr>
        <w:t>ust10y_chg, slope_chg — 1-week changes</w:t>
      </w:r>
    </w:p>
    <w:p w14:paraId="060C228B">
      <w:pPr>
        <w:rPr>
          <w:rFonts w:hint="default"/>
        </w:rPr>
      </w:pPr>
    </w:p>
    <w:p w14:paraId="479F2E85">
      <w:pPr>
        <w:rPr>
          <w:rFonts w:hint="default"/>
        </w:rPr>
      </w:pPr>
      <w:r>
        <w:rPr>
          <w:rFonts w:hint="default"/>
        </w:rPr>
        <w:t>FX (broad USD &amp; majors; levels)</w:t>
      </w:r>
    </w:p>
    <w:p w14:paraId="17662E56">
      <w:pPr>
        <w:rPr>
          <w:rFonts w:hint="default"/>
        </w:rPr>
      </w:pPr>
    </w:p>
    <w:p w14:paraId="67DD7E05">
      <w:pPr>
        <w:rPr>
          <w:rFonts w:hint="default"/>
        </w:rPr>
      </w:pPr>
      <w:r>
        <w:rPr>
          <w:rFonts w:hint="default"/>
        </w:rPr>
        <w:t>dxy, eurusd, usdjpy</w:t>
      </w:r>
    </w:p>
    <w:p w14:paraId="54BE1685">
      <w:pPr>
        <w:rPr>
          <w:rFonts w:hint="default"/>
        </w:rPr>
      </w:pPr>
    </w:p>
    <w:p w14:paraId="208A7F96">
      <w:pPr>
        <w:rPr>
          <w:rFonts w:hint="default"/>
          <w:b/>
          <w:bCs/>
        </w:rPr>
      </w:pPr>
      <w:r>
        <w:rPr>
          <w:rFonts w:hint="default"/>
          <w:b/>
          <w:bCs/>
        </w:rPr>
        <w:t>Commodities (levels)</w:t>
      </w:r>
    </w:p>
    <w:p w14:paraId="20A8F9E3">
      <w:pPr>
        <w:rPr>
          <w:rFonts w:hint="default"/>
        </w:rPr>
      </w:pPr>
    </w:p>
    <w:p w14:paraId="1CEC96DC">
      <w:pPr>
        <w:rPr>
          <w:rFonts w:hint="default"/>
        </w:rPr>
      </w:pPr>
      <w:r>
        <w:rPr>
          <w:rFonts w:hint="default"/>
        </w:rPr>
        <w:t>wti, brent, gold, copper</w:t>
      </w:r>
    </w:p>
    <w:p w14:paraId="33C47CA8">
      <w:pPr>
        <w:rPr>
          <w:rFonts w:hint="default"/>
        </w:rPr>
      </w:pPr>
    </w:p>
    <w:p w14:paraId="5A8A0884">
      <w:pPr>
        <w:rPr>
          <w:rFonts w:hint="default"/>
          <w:b/>
          <w:bCs/>
        </w:rPr>
      </w:pPr>
      <w:r>
        <w:rPr>
          <w:rFonts w:hint="default"/>
          <w:b/>
          <w:bCs/>
        </w:rPr>
        <w:t>Credit (spreads)</w:t>
      </w:r>
    </w:p>
    <w:p w14:paraId="458A1723">
      <w:pPr>
        <w:rPr>
          <w:rFonts w:hint="default"/>
        </w:rPr>
      </w:pPr>
    </w:p>
    <w:p w14:paraId="12418F72">
      <w:pPr>
        <w:rPr>
          <w:rFonts w:hint="default"/>
        </w:rPr>
      </w:pPr>
      <w:r>
        <w:rPr>
          <w:rFonts w:hint="default"/>
        </w:rPr>
        <w:t>hy_oas, ig_oas — HY and IG option-adjusted spreads</w:t>
      </w:r>
    </w:p>
    <w:p w14:paraId="71D41B38">
      <w:pPr>
        <w:rPr>
          <w:rFonts w:hint="default"/>
        </w:rPr>
      </w:pPr>
    </w:p>
    <w:p w14:paraId="79C104FD">
      <w:pPr>
        <w:rPr>
          <w:rFonts w:hint="default"/>
        </w:rPr>
      </w:pPr>
      <w:r>
        <w:rPr>
          <w:rFonts w:hint="default"/>
        </w:rPr>
        <w:t>hy_ig_oas_spread — HY − IG</w:t>
      </w:r>
    </w:p>
    <w:p w14:paraId="5CDD0FAD">
      <w:pPr>
        <w:rPr>
          <w:rFonts w:hint="default"/>
        </w:rPr>
      </w:pPr>
    </w:p>
    <w:p w14:paraId="48FF8B6C">
      <w:pPr>
        <w:rPr>
          <w:rFonts w:hint="default"/>
        </w:rPr>
      </w:pPr>
      <w:r>
        <w:rPr>
          <w:rFonts w:hint="default"/>
        </w:rPr>
        <w:t>hy_oas_chg, ig_oas_chg, hy_ig_oas_spread_chg — 1-week changes</w:t>
      </w:r>
    </w:p>
    <w:p w14:paraId="1816A99C">
      <w:pPr>
        <w:rPr>
          <w:rFonts w:hint="default"/>
        </w:rPr>
      </w:pPr>
    </w:p>
    <w:p w14:paraId="6BF49B56">
      <w:pPr>
        <w:rPr>
          <w:rFonts w:hint="default"/>
          <w:b/>
          <w:bCs/>
        </w:rPr>
      </w:pPr>
      <w:r>
        <w:rPr>
          <w:rFonts w:hint="default"/>
          <w:b/>
          <w:bCs/>
        </w:rPr>
        <w:t>Not fed to the model</w:t>
      </w:r>
    </w:p>
    <w:p w14:paraId="0FCD8D0D">
      <w:pPr>
        <w:rPr>
          <w:rFonts w:hint="default"/>
        </w:rPr>
      </w:pPr>
    </w:p>
    <w:p w14:paraId="402D5251">
      <w:pPr>
        <w:rPr>
          <w:rFonts w:hint="default"/>
        </w:rPr>
      </w:pPr>
      <w:r>
        <w:rPr>
          <w:rFonts w:hint="default"/>
        </w:rPr>
        <w:t>ret_fwd_1w — target = next week’s Mon-open → Fri-close return</w:t>
      </w:r>
    </w:p>
    <w:p w14:paraId="457929C7">
      <w:pPr>
        <w:rPr>
          <w:rFonts w:hint="default"/>
        </w:rPr>
      </w:pPr>
    </w:p>
    <w:p w14:paraId="2A4EA7A1">
      <w:pPr>
        <w:rPr>
          <w:rFonts w:hint="default"/>
        </w:rPr>
      </w:pPr>
      <w:r>
        <w:rPr>
          <w:rFonts w:hint="default"/>
        </w:rPr>
        <w:t>y — up/down label from ret_fwd_1w</w:t>
      </w:r>
    </w:p>
    <w:p w14:paraId="72CEC2E8">
      <w:pPr>
        <w:rPr>
          <w:rFonts w:hint="default"/>
        </w:rPr>
      </w:pPr>
    </w:p>
    <w:p w14:paraId="405909CC">
      <w:pPr>
        <w:rPr>
          <w:rFonts w:hint="default"/>
        </w:rPr>
      </w:pPr>
      <w:r>
        <w:rPr>
          <w:rFonts w:hint="default"/>
        </w:rPr>
        <w:t>date, asset — identifiers</w:t>
      </w:r>
    </w:p>
    <w:p w14:paraId="642C346D">
      <w:pPr>
        <w:rPr>
          <w:rFonts w:hint="default"/>
        </w:rPr>
      </w:pPr>
    </w:p>
    <w:p w14:paraId="5A9665CB">
      <w:pPr>
        <w:rPr>
          <w:rFonts w:hint="default"/>
        </w:rPr>
      </w:pPr>
      <w:r>
        <w:rPr>
          <w:rFonts w:hint="default"/>
        </w:rPr>
        <w:t>If you want me to add the extra breadth/flow/macro features we discussed earlier (e.g., % above 50/200dma, put/call, CESI surprises, claims, CFTC positioning), say the word and I’ll wire them into the panel so they’re included across assets where available.</w:t>
      </w:r>
    </w:p>
    <w:p w14:paraId="04951D2D">
      <w:pPr>
        <w:rPr>
          <w:rFonts w:hint="default"/>
        </w:rPr>
      </w:pPr>
    </w:p>
    <w:p w14:paraId="3CABCD6F">
      <w:pPr>
        <w:rPr>
          <w:rFonts w:hint="default"/>
        </w:rPr>
      </w:pPr>
    </w:p>
    <w:p w14:paraId="55A0E472">
      <w:pPr>
        <w:rPr>
          <w:rFonts w:hint="default"/>
        </w:rPr>
      </w:pPr>
      <w:r>
        <w:rPr>
          <w:rFonts w:hint="default"/>
        </w:rPr>
        <w:t>so we did the following first long only then we added short too then we addeda thresholf level is that hwat we did?</w:t>
      </w:r>
      <w:r>
        <w:rPr>
          <w:rFonts w:hint="default"/>
        </w:rPr>
        <w:br w:type="textWrapping"/>
      </w:r>
      <w:r>
        <w:rPr>
          <w:rFonts w:hint="default"/>
        </w:rPr>
        <w:t>Yep—that’s the arc. Quick recap:</w:t>
      </w:r>
    </w:p>
    <w:p w14:paraId="3092C5CF">
      <w:pPr>
        <w:rPr>
          <w:rFonts w:hint="default"/>
        </w:rPr>
      </w:pPr>
    </w:p>
    <w:p w14:paraId="04161610">
      <w:pPr>
        <w:rPr>
          <w:rFonts w:hint="default"/>
        </w:rPr>
      </w:pPr>
      <w:r>
        <w:rPr>
          <w:rFonts w:hint="default"/>
        </w:rPr>
        <w:t>1. **Long-only overlay (probability-sized):**</w:t>
      </w:r>
    </w:p>
    <w:p w14:paraId="3777DDA6">
      <w:pPr>
        <w:rPr>
          <w:rFonts w:hint="default"/>
        </w:rPr>
      </w:pPr>
      <w:r>
        <w:rPr>
          <w:rFonts w:hint="default"/>
        </w:rPr>
        <w:t xml:space="preserve">   Position = $p_{\text{up}}\in[0,1]$. Tracked the index closely → high corr.</w:t>
      </w:r>
    </w:p>
    <w:p w14:paraId="6E6ED5BA">
      <w:pPr>
        <w:rPr>
          <w:rFonts w:hint="default"/>
        </w:rPr>
      </w:pPr>
    </w:p>
    <w:p w14:paraId="070D0571">
      <w:pPr>
        <w:rPr>
          <w:rFonts w:hint="default"/>
        </w:rPr>
      </w:pPr>
      <w:r>
        <w:rPr>
          <w:rFonts w:hint="default"/>
        </w:rPr>
        <w:t>2. **Directional long/short (always invested):**</w:t>
      </w:r>
    </w:p>
    <w:p w14:paraId="0F6580E9">
      <w:pPr>
        <w:rPr>
          <w:rFonts w:hint="default"/>
        </w:rPr>
      </w:pPr>
      <w:r>
        <w:rPr>
          <w:rFonts w:hint="default"/>
        </w:rPr>
        <w:t xml:space="preserve">   Switched to **binary** (+1 if up, −1 if down), initially on **close→close**.</w:t>
      </w:r>
    </w:p>
    <w:p w14:paraId="5D13A344">
      <w:pPr>
        <w:rPr>
          <w:rFonts w:hint="default"/>
        </w:rPr>
      </w:pPr>
    </w:p>
    <w:p w14:paraId="2453316C">
      <w:pPr>
        <w:rPr>
          <w:rFonts w:hint="default"/>
        </w:rPr>
      </w:pPr>
      <w:r>
        <w:rPr>
          <w:rFonts w:hint="default"/>
        </w:rPr>
        <w:t>3. **Target changed to execution-realistic:**</w:t>
      </w:r>
    </w:p>
    <w:p w14:paraId="799FAF97">
      <w:pPr>
        <w:rPr>
          <w:rFonts w:hint="default"/>
        </w:rPr>
      </w:pPr>
      <w:r>
        <w:rPr>
          <w:rFonts w:hint="default"/>
        </w:rPr>
        <w:t xml:space="preserve">   Rebuilt the target as **next week Mon-open → Fri-close**.</w:t>
      </w:r>
    </w:p>
    <w:p w14:paraId="4B7A23FD">
      <w:pPr>
        <w:rPr>
          <w:rFonts w:hint="default"/>
        </w:rPr>
      </w:pPr>
    </w:p>
    <w:p w14:paraId="11BD55F5">
      <w:pPr>
        <w:rPr>
          <w:rFonts w:hint="default"/>
        </w:rPr>
      </w:pPr>
      <w:r>
        <w:rPr>
          <w:rFonts w:hint="default"/>
        </w:rPr>
        <w:t>4. **Base-rate-aware threshold:**</w:t>
      </w:r>
    </w:p>
    <w:p w14:paraId="7B8627CD">
      <w:pPr>
        <w:rPr>
          <w:rFonts w:hint="default"/>
        </w:rPr>
      </w:pPr>
      <w:r>
        <w:rPr>
          <w:rFonts w:hint="default"/>
        </w:rPr>
        <w:t xml:space="preserve">   Compared $p_{\text{up}}$ to each asset’s in-sample **base up-rate** (vs fixed 0.5) to reduce long bias.</w:t>
      </w:r>
    </w:p>
    <w:p w14:paraId="547E83B9">
      <w:pPr>
        <w:rPr>
          <w:rFonts w:hint="default"/>
        </w:rPr>
      </w:pPr>
    </w:p>
    <w:p w14:paraId="36D64DA3">
      <w:pPr>
        <w:rPr>
          <w:rFonts w:hint="default"/>
        </w:rPr>
      </w:pPr>
      <w:r>
        <w:rPr>
          <w:rFonts w:hint="default"/>
        </w:rPr>
        <w:t>5. **Confidence band (abstain):**</w:t>
      </w:r>
    </w:p>
    <w:p w14:paraId="2A22A4FE">
      <w:pPr>
        <w:rPr>
          <w:rFonts w:hint="default"/>
        </w:rPr>
      </w:pPr>
      <w:r>
        <w:rPr>
          <w:rFonts w:hint="default"/>
        </w:rPr>
        <w:t xml:space="preserve">   Only trade when $|p_{\text{up}}-\text{threshold}|\ge$ band (e.g., 8ppt), otherwise **flat**.</w:t>
      </w:r>
    </w:p>
    <w:p w14:paraId="33D8731B">
      <w:pPr>
        <w:rPr>
          <w:rFonts w:hint="default"/>
        </w:rPr>
      </w:pPr>
      <w:r>
        <w:rPr>
          <w:rFonts w:hint="default"/>
        </w:rPr>
        <w:t xml:space="preserve">   Portfolio = equal-weight over **active** legs.</w:t>
      </w:r>
    </w:p>
    <w:p w14:paraId="609CA91B">
      <w:pPr>
        <w:rPr>
          <w:rFonts w:hint="default"/>
        </w:rPr>
      </w:pPr>
    </w:p>
    <w:p w14:paraId="4774004C">
      <w:pPr>
        <w:rPr>
          <w:rFonts w:hint="default"/>
        </w:rPr>
      </w:pPr>
      <w:r>
        <w:rPr>
          <w:rFonts w:hint="default"/>
        </w:rPr>
        <w:t>6. **Calibration &amp; diagnostics:**</w:t>
      </w:r>
    </w:p>
    <w:p w14:paraId="672F8B29">
      <w:pPr>
        <w:rPr>
          <w:rFonts w:hint="default"/>
        </w:rPr>
      </w:pPr>
      <w:r>
        <w:rPr>
          <w:rFonts w:hint="default"/>
        </w:rPr>
        <w:t xml:space="preserve">   Isotonic calibration on train windows, standardized-logit **feature importance** tracking, full **strategy vs underlying** metrics per asset and for the EW portfolio.</w:t>
      </w:r>
    </w:p>
    <w:p w14:paraId="574B82E6">
      <w:pPr>
        <w:rPr>
          <w:rFonts w:hint="default"/>
        </w:rPr>
      </w:pPr>
    </w:p>
    <w:p w14:paraId="61CED298">
      <w:pPr>
        <w:rPr>
          <w:rFonts w:hint="default"/>
        </w:rPr>
      </w:pPr>
      <w:r>
        <w:rPr>
          <w:rFonts w:hint="default"/>
        </w:rPr>
        <w:t>If you want the next tweak for Sharpe lift, the two we discussed are:</w:t>
      </w:r>
    </w:p>
    <w:p w14:paraId="7A68FD3B">
      <w:pPr>
        <w:rPr>
          <w:rFonts w:hint="default"/>
        </w:rPr>
      </w:pPr>
    </w:p>
    <w:p w14:paraId="5FCC1859">
      <w:pPr>
        <w:rPr>
          <w:rFonts w:hint="default"/>
        </w:rPr>
      </w:pPr>
      <w:r>
        <w:rPr>
          <w:rFonts w:hint="default"/>
        </w:rPr>
        <w:t>* **Long-when-confident, else flat** (no shorts), or</w:t>
      </w:r>
    </w:p>
    <w:p w14:paraId="3DB1C3C9">
      <w:pPr>
        <w:rPr>
          <w:rFonts w:hint="default"/>
        </w:rPr>
      </w:pPr>
      <w:r>
        <w:rPr>
          <w:rFonts w:hint="default"/>
        </w:rPr>
        <w:t>* **Risk-targeted probability sizing** (centered at the base rate).</w:t>
      </w:r>
    </w:p>
    <w:p w14:paraId="36998BA2">
      <w:pPr>
        <w:pStyle w:val="5"/>
        <w:keepNext w:val="0"/>
        <w:keepLines w:val="0"/>
        <w:widowControl/>
        <w:suppressLineNumbers w:val="0"/>
        <w:rPr>
          <w:rFonts w:hint="default" w:ascii="Calibri" w:hAnsi="Calibri" w:cs="Calibri"/>
          <w:sz w:val="20"/>
          <w:szCs w:val="20"/>
        </w:rPr>
      </w:pPr>
      <w:r>
        <w:rPr>
          <w:rFonts w:hint="default"/>
        </w:rPr>
        <w:br w:type="textWrapping"/>
      </w:r>
      <w:r>
        <w:rPr>
          <w:rFonts w:hint="default"/>
          <w:i/>
          <w:iCs/>
        </w:rPr>
        <w:t xml:space="preserve">i must be able to predict both when we predict markets going up or down so it can't be long only, but we can try risk target probability sizing, can you tell me what that means though </w:t>
      </w:r>
      <w:r>
        <w:rPr>
          <w:rFonts w:hint="default"/>
          <w:i/>
          <w:iCs/>
        </w:rPr>
        <w:br w:type="textWrapping"/>
      </w:r>
      <w:r>
        <w:rPr>
          <w:rFonts w:hint="default"/>
          <w:i/>
          <w:iCs/>
        </w:rPr>
        <w:br w:type="textWrapping"/>
      </w:r>
      <w:r>
        <w:rPr>
          <w:rFonts w:hint="default" w:ascii="Calibri" w:hAnsi="Calibri" w:cs="Calibri"/>
          <w:sz w:val="20"/>
          <w:szCs w:val="20"/>
        </w:rPr>
        <w:t xml:space="preserve">Great question — here’s what </w:t>
      </w:r>
      <w:r>
        <w:rPr>
          <w:rStyle w:val="6"/>
          <w:rFonts w:hint="default" w:ascii="Calibri" w:hAnsi="Calibri" w:cs="Calibri"/>
          <w:sz w:val="20"/>
          <w:szCs w:val="20"/>
        </w:rPr>
        <w:t>risk-targeted probability sizing</w:t>
      </w:r>
      <w:r>
        <w:rPr>
          <w:rFonts w:hint="default" w:ascii="Calibri" w:hAnsi="Calibri" w:cs="Calibri"/>
          <w:sz w:val="20"/>
          <w:szCs w:val="20"/>
        </w:rPr>
        <w:t xml:space="preserve"> means, and the exact Cell 7 you can paste to use it.</w:t>
      </w:r>
    </w:p>
    <w:p w14:paraId="0715F99C">
      <w:pPr>
        <w:pStyle w:val="2"/>
        <w:keepNext w:val="0"/>
        <w:keepLines w:val="0"/>
        <w:widowControl/>
        <w:suppressLineNumbers w:val="0"/>
        <w:rPr>
          <w:rFonts w:hint="default" w:ascii="Calibri" w:hAnsi="Calibri" w:cs="Calibri"/>
          <w:sz w:val="20"/>
          <w:szCs w:val="20"/>
        </w:rPr>
      </w:pPr>
      <w:r>
        <w:rPr>
          <w:rFonts w:hint="default" w:ascii="Calibri" w:hAnsi="Calibri" w:cs="Calibri"/>
          <w:sz w:val="20"/>
          <w:szCs w:val="20"/>
        </w:rPr>
        <w:t>What it means (in plain English)</w:t>
      </w:r>
    </w:p>
    <w:p w14:paraId="6D8C9EE3">
      <w:pPr>
        <w:pStyle w:val="5"/>
        <w:keepNext w:val="0"/>
        <w:keepLines w:val="0"/>
        <w:widowControl/>
        <w:suppressLineNumbers w:val="0"/>
        <w:rPr>
          <w:rFonts w:hint="default" w:ascii="Calibri" w:hAnsi="Calibri" w:cs="Calibri"/>
          <w:sz w:val="20"/>
          <w:szCs w:val="20"/>
        </w:rPr>
      </w:pPr>
      <w:r>
        <w:rPr>
          <w:rFonts w:hint="default" w:ascii="Calibri" w:hAnsi="Calibri" w:cs="Calibri"/>
          <w:sz w:val="20"/>
          <w:szCs w:val="20"/>
        </w:rPr>
        <w:t>Each week, for each index:</w:t>
      </w:r>
    </w:p>
    <w:p w14:paraId="1B86997D">
      <w:pPr>
        <w:keepNext w:val="0"/>
        <w:keepLines w:val="0"/>
        <w:widowControl/>
        <w:numPr>
          <w:ilvl w:val="0"/>
          <w:numId w:val="1"/>
        </w:numPr>
        <w:suppressLineNumbers w:val="0"/>
        <w:spacing w:before="0" w:beforeAutospacing="1" w:after="0" w:afterAutospacing="1"/>
        <w:ind w:left="1440" w:hanging="360"/>
        <w:rPr>
          <w:rFonts w:hint="default" w:ascii="Calibri" w:hAnsi="Calibri" w:cs="Calibri"/>
          <w:sz w:val="20"/>
          <w:szCs w:val="20"/>
        </w:rPr>
      </w:pPr>
    </w:p>
    <w:p w14:paraId="4754016C">
      <w:pPr>
        <w:pStyle w:val="5"/>
        <w:keepNext w:val="0"/>
        <w:keepLines w:val="0"/>
        <w:widowControl/>
        <w:suppressLineNumbers w:val="0"/>
        <w:ind w:left="720"/>
        <w:rPr>
          <w:rFonts w:hint="default" w:ascii="Calibri" w:hAnsi="Calibri" w:cs="Calibri"/>
          <w:sz w:val="20"/>
          <w:szCs w:val="20"/>
        </w:rPr>
      </w:pPr>
      <w:r>
        <w:rPr>
          <w:rStyle w:val="6"/>
          <w:rFonts w:hint="default" w:ascii="Calibri" w:hAnsi="Calibri" w:cs="Calibri"/>
          <w:sz w:val="20"/>
          <w:szCs w:val="20"/>
        </w:rPr>
        <w:t>Turn probability into “edge.”</w:t>
      </w:r>
      <w:r>
        <w:rPr>
          <w:rFonts w:hint="default" w:ascii="Calibri" w:hAnsi="Calibri" w:cs="Calibri"/>
          <w:sz w:val="20"/>
          <w:szCs w:val="20"/>
        </w:rPr>
        <w:br w:type="textWrapping"/>
      </w:r>
      <w:r>
        <w:rPr>
          <w:rFonts w:hint="default" w:ascii="Calibri" w:hAnsi="Calibri" w:cs="Calibri"/>
          <w:sz w:val="20"/>
          <w:szCs w:val="20"/>
        </w:rPr>
        <w:t>e=pup−base_ratee = p_{\text{up}} - \text{base\_rate}e=pup​−base_rate (center at the asset’s up-week base rate, not 0.5).</w:t>
      </w:r>
    </w:p>
    <w:p w14:paraId="0C2E78AE">
      <w:pPr>
        <w:keepNext w:val="0"/>
        <w:keepLines w:val="0"/>
        <w:widowControl/>
        <w:numPr>
          <w:ilvl w:val="0"/>
          <w:numId w:val="1"/>
        </w:numPr>
        <w:suppressLineNumbers w:val="0"/>
        <w:spacing w:before="0" w:beforeAutospacing="1" w:after="0" w:afterAutospacing="1"/>
        <w:ind w:left="1440" w:hanging="360"/>
        <w:rPr>
          <w:rFonts w:hint="default" w:ascii="Calibri" w:hAnsi="Calibri" w:cs="Calibri"/>
          <w:sz w:val="20"/>
          <w:szCs w:val="20"/>
        </w:rPr>
      </w:pPr>
    </w:p>
    <w:p w14:paraId="5618B69B">
      <w:pPr>
        <w:keepNext w:val="0"/>
        <w:keepLines w:val="0"/>
        <w:widowControl/>
        <w:numPr>
          <w:ilvl w:val="0"/>
          <w:numId w:val="1"/>
        </w:numPr>
        <w:suppressLineNumbers w:val="0"/>
        <w:spacing w:before="0" w:beforeAutospacing="1" w:after="0" w:afterAutospacing="1"/>
        <w:ind w:left="1440" w:hanging="360"/>
        <w:rPr>
          <w:rFonts w:hint="default" w:ascii="Calibri" w:hAnsi="Calibri" w:cs="Calibri"/>
          <w:sz w:val="20"/>
          <w:szCs w:val="20"/>
        </w:rPr>
      </w:pPr>
    </w:p>
    <w:p w14:paraId="56CB7A12">
      <w:pPr>
        <w:pStyle w:val="5"/>
        <w:keepNext w:val="0"/>
        <w:keepLines w:val="0"/>
        <w:widowControl/>
        <w:suppressLineNumbers w:val="0"/>
        <w:ind w:left="720"/>
        <w:rPr>
          <w:rFonts w:hint="default" w:ascii="Calibri" w:hAnsi="Calibri" w:cs="Calibri"/>
          <w:sz w:val="20"/>
          <w:szCs w:val="20"/>
        </w:rPr>
      </w:pPr>
      <w:r>
        <w:rPr>
          <w:rStyle w:val="6"/>
          <w:rFonts w:hint="default" w:ascii="Calibri" w:hAnsi="Calibri" w:cs="Calibri"/>
          <w:sz w:val="20"/>
          <w:szCs w:val="20"/>
        </w:rPr>
        <w:t>Map edge to a signed raw size.</w:t>
      </w:r>
      <w:r>
        <w:rPr>
          <w:rFonts w:hint="default" w:ascii="Calibri" w:hAnsi="Calibri" w:cs="Calibri"/>
          <w:sz w:val="20"/>
          <w:szCs w:val="20"/>
        </w:rPr>
        <w:br w:type="textWrapping"/>
      </w:r>
      <w:r>
        <w:rPr>
          <w:rFonts w:hint="default" w:ascii="Calibri" w:hAnsi="Calibri" w:cs="Calibri"/>
          <w:sz w:val="20"/>
          <w:szCs w:val="20"/>
        </w:rPr>
        <w:t xml:space="preserve">If a </w:t>
      </w:r>
      <w:r>
        <w:rPr>
          <w:rStyle w:val="6"/>
          <w:rFonts w:hint="default" w:ascii="Calibri" w:hAnsi="Calibri" w:cs="Calibri"/>
          <w:sz w:val="20"/>
          <w:szCs w:val="20"/>
        </w:rPr>
        <w:t>25-ppt</w:t>
      </w:r>
      <w:r>
        <w:rPr>
          <w:rFonts w:hint="default" w:ascii="Calibri" w:hAnsi="Calibri" w:cs="Calibri"/>
          <w:sz w:val="20"/>
          <w:szCs w:val="20"/>
        </w:rPr>
        <w:t xml:space="preserve"> edge should be a full position, set</w:t>
      </w:r>
      <w:r>
        <w:rPr>
          <w:rFonts w:hint="default" w:ascii="Calibri" w:hAnsi="Calibri" w:cs="Calibri"/>
          <w:sz w:val="20"/>
          <w:szCs w:val="20"/>
        </w:rPr>
        <w:br w:type="textWrapping"/>
      </w:r>
      <w:r>
        <w:rPr>
          <w:rFonts w:hint="default" w:ascii="Calibri" w:hAnsi="Calibri" w:cs="Calibri"/>
          <w:sz w:val="20"/>
          <w:szCs w:val="20"/>
        </w:rPr>
        <w:t>sraw=clip⁡(e/0.25, −1, +1)s_{\text{raw}}=\operatorname{clip}(e / 0.25,\,-1,\,+1)sraw​=clip(e/0.25,−1,+1).</w:t>
      </w:r>
    </w:p>
    <w:p w14:paraId="7FF21657">
      <w:pPr>
        <w:keepNext w:val="0"/>
        <w:keepLines w:val="0"/>
        <w:widowControl/>
        <w:numPr>
          <w:ilvl w:val="0"/>
          <w:numId w:val="1"/>
        </w:numPr>
        <w:suppressLineNumbers w:val="0"/>
        <w:spacing w:before="0" w:beforeAutospacing="1" w:after="0" w:afterAutospacing="1"/>
        <w:ind w:left="1440" w:hanging="360"/>
        <w:rPr>
          <w:rFonts w:hint="default" w:ascii="Calibri" w:hAnsi="Calibri" w:cs="Calibri"/>
          <w:sz w:val="20"/>
          <w:szCs w:val="20"/>
        </w:rPr>
      </w:pPr>
    </w:p>
    <w:p w14:paraId="41F9D69E">
      <w:pPr>
        <w:keepNext w:val="0"/>
        <w:keepLines w:val="0"/>
        <w:widowControl/>
        <w:numPr>
          <w:ilvl w:val="0"/>
          <w:numId w:val="1"/>
        </w:numPr>
        <w:suppressLineNumbers w:val="0"/>
        <w:spacing w:before="0" w:beforeAutospacing="1" w:after="0" w:afterAutospacing="1"/>
        <w:ind w:left="1440" w:hanging="360"/>
        <w:rPr>
          <w:rFonts w:hint="default" w:ascii="Calibri" w:hAnsi="Calibri" w:cs="Calibri"/>
          <w:sz w:val="20"/>
          <w:szCs w:val="20"/>
        </w:rPr>
      </w:pPr>
    </w:p>
    <w:p w14:paraId="7F43D4D9">
      <w:pPr>
        <w:pStyle w:val="5"/>
        <w:keepNext w:val="0"/>
        <w:keepLines w:val="0"/>
        <w:widowControl/>
        <w:suppressLineNumbers w:val="0"/>
        <w:ind w:left="720"/>
        <w:rPr>
          <w:rFonts w:hint="default" w:ascii="Calibri" w:hAnsi="Calibri" w:cs="Calibri"/>
          <w:sz w:val="20"/>
          <w:szCs w:val="20"/>
        </w:rPr>
      </w:pPr>
      <w:r>
        <w:rPr>
          <w:rStyle w:val="6"/>
          <w:rFonts w:hint="default" w:ascii="Calibri" w:hAnsi="Calibri" w:cs="Calibri"/>
          <w:sz w:val="20"/>
          <w:szCs w:val="20"/>
        </w:rPr>
        <w:t>Forecast next week’s volatility.</w:t>
      </w:r>
      <w:r>
        <w:rPr>
          <w:rFonts w:hint="default" w:ascii="Calibri" w:hAnsi="Calibri" w:cs="Calibri"/>
          <w:sz w:val="20"/>
          <w:szCs w:val="20"/>
        </w:rPr>
        <w:br w:type="textWrapping"/>
      </w:r>
      <w:r>
        <w:rPr>
          <w:rFonts w:hint="default" w:ascii="Calibri" w:hAnsi="Calibri" w:cs="Calibri"/>
          <w:sz w:val="20"/>
          <w:szCs w:val="20"/>
        </w:rPr>
        <w:t xml:space="preserve">Blend </w:t>
      </w:r>
      <w:r>
        <w:rPr>
          <w:rStyle w:val="6"/>
          <w:rFonts w:hint="default" w:ascii="Calibri" w:hAnsi="Calibri" w:cs="Calibri"/>
          <w:sz w:val="20"/>
          <w:szCs w:val="20"/>
        </w:rPr>
        <w:t>implied</w:t>
      </w:r>
      <w:r>
        <w:rPr>
          <w:rFonts w:hint="default" w:ascii="Calibri" w:hAnsi="Calibri" w:cs="Calibri"/>
          <w:sz w:val="20"/>
          <w:szCs w:val="20"/>
        </w:rPr>
        <w:t xml:space="preserve"> and </w:t>
      </w:r>
      <w:r>
        <w:rPr>
          <w:rStyle w:val="6"/>
          <w:rFonts w:hint="default" w:ascii="Calibri" w:hAnsi="Calibri" w:cs="Calibri"/>
          <w:sz w:val="20"/>
          <w:szCs w:val="20"/>
        </w:rPr>
        <w:t>realized</w:t>
      </w:r>
      <w:r>
        <w:rPr>
          <w:rFonts w:hint="default" w:ascii="Calibri" w:hAnsi="Calibri" w:cs="Calibri"/>
          <w:sz w:val="20"/>
          <w:szCs w:val="20"/>
        </w:rPr>
        <w:t xml:space="preserve"> weekly vol:</w:t>
      </w:r>
      <w:r>
        <w:rPr>
          <w:rFonts w:hint="default" w:ascii="Calibri" w:hAnsi="Calibri" w:cs="Calibri"/>
          <w:sz w:val="20"/>
          <w:szCs w:val="20"/>
        </w:rPr>
        <w:br w:type="textWrapping"/>
      </w:r>
      <w:r>
        <w:rPr>
          <w:rFonts w:hint="default" w:ascii="Calibri" w:hAnsi="Calibri" w:cs="Calibri"/>
          <w:sz w:val="20"/>
          <w:szCs w:val="20"/>
        </w:rPr>
        <w:t>σw=w⋅σimp+(1−w)⋅σreal\sigma_w = w\cdot \sigma_{\text{imp}} + (1-w)\cdot \sigma_{\text{real}}σw​=w⋅σimp​+(1−w)⋅σreal​,</w:t>
      </w:r>
      <w:r>
        <w:rPr>
          <w:rFonts w:hint="default" w:ascii="Calibri" w:hAnsi="Calibri" w:cs="Calibri"/>
          <w:sz w:val="20"/>
          <w:szCs w:val="20"/>
        </w:rPr>
        <w:br w:type="textWrapping"/>
      </w:r>
      <w:r>
        <w:rPr>
          <w:rFonts w:hint="default" w:ascii="Calibri" w:hAnsi="Calibri" w:cs="Calibri"/>
          <w:sz w:val="20"/>
          <w:szCs w:val="20"/>
        </w:rPr>
        <w:t>where σreal=rv_4w_ann/52\sigma_{\text{real}} = \text{rv\_4w\_ann}/\sqrt{52}σreal​=rv_4w_ann/52​ and</w:t>
      </w:r>
      <w:r>
        <w:rPr>
          <w:rFonts w:hint="default" w:ascii="Calibri" w:hAnsi="Calibri" w:cs="Calibri"/>
          <w:sz w:val="20"/>
          <w:szCs w:val="20"/>
        </w:rPr>
        <w:br w:type="textWrapping"/>
      </w:r>
      <w:r>
        <w:rPr>
          <w:rFonts w:hint="default" w:ascii="Calibri" w:hAnsi="Calibri" w:cs="Calibri"/>
          <w:sz w:val="20"/>
          <w:szCs w:val="20"/>
        </w:rPr>
        <w:t>σimp=vol_idx/100/52\sigma_{\text{imp}} = \text{vol\_idx}/100/\sqrt{52}σimp​=vol_idx/100/52​.</w:t>
      </w:r>
      <w:r>
        <w:rPr>
          <w:rFonts w:hint="default" w:ascii="Calibri" w:hAnsi="Calibri" w:cs="Calibri"/>
          <w:sz w:val="20"/>
          <w:szCs w:val="20"/>
        </w:rPr>
        <w:br w:type="textWrapping"/>
      </w:r>
      <w:r>
        <w:rPr>
          <w:rFonts w:hint="default" w:ascii="Calibri" w:hAnsi="Calibri" w:cs="Calibri"/>
          <w:sz w:val="20"/>
          <w:szCs w:val="20"/>
        </w:rPr>
        <w:t>(Falls back gracefully if one is missing.)</w:t>
      </w:r>
    </w:p>
    <w:p w14:paraId="6F817845">
      <w:pPr>
        <w:keepNext w:val="0"/>
        <w:keepLines w:val="0"/>
        <w:widowControl/>
        <w:numPr>
          <w:ilvl w:val="0"/>
          <w:numId w:val="1"/>
        </w:numPr>
        <w:suppressLineNumbers w:val="0"/>
        <w:spacing w:before="0" w:beforeAutospacing="1" w:after="0" w:afterAutospacing="1"/>
        <w:ind w:left="1440" w:hanging="360"/>
        <w:rPr>
          <w:rFonts w:hint="default" w:ascii="Calibri" w:hAnsi="Calibri" w:cs="Calibri"/>
          <w:sz w:val="20"/>
          <w:szCs w:val="20"/>
        </w:rPr>
      </w:pPr>
    </w:p>
    <w:p w14:paraId="7EA592BE">
      <w:pPr>
        <w:keepNext w:val="0"/>
        <w:keepLines w:val="0"/>
        <w:widowControl/>
        <w:numPr>
          <w:ilvl w:val="0"/>
          <w:numId w:val="1"/>
        </w:numPr>
        <w:suppressLineNumbers w:val="0"/>
        <w:spacing w:before="0" w:beforeAutospacing="1" w:after="0" w:afterAutospacing="1"/>
        <w:ind w:left="1440" w:hanging="360"/>
        <w:rPr>
          <w:rFonts w:hint="default" w:ascii="Calibri" w:hAnsi="Calibri" w:cs="Calibri"/>
          <w:sz w:val="20"/>
          <w:szCs w:val="20"/>
        </w:rPr>
      </w:pPr>
    </w:p>
    <w:p w14:paraId="1019D48E">
      <w:pPr>
        <w:pStyle w:val="5"/>
        <w:keepNext w:val="0"/>
        <w:keepLines w:val="0"/>
        <w:widowControl/>
        <w:suppressLineNumbers w:val="0"/>
        <w:ind w:left="720"/>
        <w:rPr>
          <w:rFonts w:hint="default" w:ascii="Calibri" w:hAnsi="Calibri" w:cs="Calibri"/>
          <w:sz w:val="20"/>
          <w:szCs w:val="20"/>
        </w:rPr>
      </w:pPr>
      <w:r>
        <w:rPr>
          <w:rStyle w:val="6"/>
          <w:rFonts w:hint="default" w:ascii="Calibri" w:hAnsi="Calibri" w:cs="Calibri"/>
          <w:sz w:val="20"/>
          <w:szCs w:val="20"/>
        </w:rPr>
        <w:t>Scale to a fixed risk per trade.</w:t>
      </w:r>
      <w:r>
        <w:rPr>
          <w:rFonts w:hint="default" w:ascii="Calibri" w:hAnsi="Calibri" w:cs="Calibri"/>
          <w:sz w:val="20"/>
          <w:szCs w:val="20"/>
        </w:rPr>
        <w:br w:type="textWrapping"/>
      </w:r>
      <w:r>
        <w:rPr>
          <w:rFonts w:hint="default" w:ascii="Calibri" w:hAnsi="Calibri" w:cs="Calibri"/>
          <w:sz w:val="20"/>
          <w:szCs w:val="20"/>
        </w:rPr>
        <w:t xml:space="preserve">Target weekly vol per leg, e.g. </w:t>
      </w:r>
      <w:r>
        <w:rPr>
          <w:rStyle w:val="6"/>
          <w:rFonts w:hint="default" w:ascii="Calibri" w:hAnsi="Calibri" w:cs="Calibri"/>
          <w:sz w:val="20"/>
          <w:szCs w:val="20"/>
        </w:rPr>
        <w:t>0.8%</w:t>
      </w:r>
      <w:r>
        <w:rPr>
          <w:rFonts w:hint="default" w:ascii="Calibri" w:hAnsi="Calibri" w:cs="Calibri"/>
          <w:sz w:val="20"/>
          <w:szCs w:val="20"/>
        </w:rPr>
        <w:t>:</w:t>
      </w:r>
      <w:r>
        <w:rPr>
          <w:rFonts w:hint="default" w:ascii="Calibri" w:hAnsi="Calibri" w:cs="Calibri"/>
          <w:sz w:val="20"/>
          <w:szCs w:val="20"/>
        </w:rPr>
        <w:br w:type="textWrapping"/>
      </w:r>
      <w:r>
        <w:rPr>
          <w:rFonts w:hint="default" w:ascii="Calibri" w:hAnsi="Calibri" w:cs="Calibri"/>
          <w:sz w:val="20"/>
          <w:szCs w:val="20"/>
        </w:rPr>
        <w:t>a=clip⁡(TARGET_W_VOLσw, 0, MAX_SCALE)a=\operatorname{clip}(\tfrac{\text{TARGET\_W\_VOL}}{\sigma_w},\,0,\,\text{MAX\_SCALE})a=clip(σw​TARGET_W_VOL​,0,MAX_SCALE).</w:t>
      </w:r>
    </w:p>
    <w:p w14:paraId="6AA0DDF0">
      <w:pPr>
        <w:keepNext w:val="0"/>
        <w:keepLines w:val="0"/>
        <w:widowControl/>
        <w:numPr>
          <w:ilvl w:val="0"/>
          <w:numId w:val="1"/>
        </w:numPr>
        <w:suppressLineNumbers w:val="0"/>
        <w:spacing w:before="0" w:beforeAutospacing="1" w:after="0" w:afterAutospacing="1"/>
        <w:ind w:left="1440" w:hanging="360"/>
        <w:rPr>
          <w:rFonts w:hint="default" w:ascii="Calibri" w:hAnsi="Calibri" w:cs="Calibri"/>
          <w:sz w:val="20"/>
          <w:szCs w:val="20"/>
        </w:rPr>
      </w:pPr>
      <w:bookmarkStart w:id="0" w:name="_GoBack"/>
      <w:bookmarkEnd w:id="0"/>
    </w:p>
    <w:p w14:paraId="30F656FB">
      <w:pPr>
        <w:keepNext w:val="0"/>
        <w:keepLines w:val="0"/>
        <w:widowControl/>
        <w:numPr>
          <w:ilvl w:val="0"/>
          <w:numId w:val="1"/>
        </w:numPr>
        <w:suppressLineNumbers w:val="0"/>
        <w:spacing w:before="0" w:beforeAutospacing="1" w:after="0" w:afterAutospacing="1"/>
        <w:ind w:left="1440" w:hanging="360"/>
        <w:rPr>
          <w:rFonts w:hint="default" w:ascii="Calibri" w:hAnsi="Calibri" w:cs="Calibri"/>
          <w:sz w:val="20"/>
          <w:szCs w:val="20"/>
        </w:rPr>
      </w:pPr>
    </w:p>
    <w:p w14:paraId="267F9D2D">
      <w:pPr>
        <w:pStyle w:val="5"/>
        <w:keepNext w:val="0"/>
        <w:keepLines w:val="0"/>
        <w:widowControl/>
        <w:suppressLineNumbers w:val="0"/>
        <w:ind w:left="720"/>
        <w:rPr>
          <w:rFonts w:hint="default" w:ascii="Calibri" w:hAnsi="Calibri" w:cs="Calibri"/>
          <w:sz w:val="20"/>
          <w:szCs w:val="20"/>
        </w:rPr>
      </w:pPr>
      <w:r>
        <w:rPr>
          <w:rStyle w:val="6"/>
          <w:rFonts w:hint="default" w:ascii="Calibri" w:hAnsi="Calibri" w:cs="Calibri"/>
          <w:sz w:val="20"/>
          <w:szCs w:val="20"/>
        </w:rPr>
        <w:t>Final position.</w:t>
      </w:r>
      <w:r>
        <w:rPr>
          <w:rFonts w:hint="default" w:ascii="Calibri" w:hAnsi="Calibri" w:cs="Calibri"/>
          <w:sz w:val="20"/>
          <w:szCs w:val="20"/>
        </w:rPr>
        <w:br w:type="textWrapping"/>
      </w:r>
      <w:r>
        <w:rPr>
          <w:rFonts w:hint="default" w:ascii="Calibri" w:hAnsi="Calibri" w:cs="Calibri"/>
          <w:sz w:val="20"/>
          <w:szCs w:val="20"/>
        </w:rPr>
        <w:t>pos=clip⁡(sraw⋅a, −MAX_LEV, +MAX_LEV)\text{pos}=\operatorname{clip}( s_{\text{raw}}\cdot a,\,-\text{MAX\_LEV},\,+\text{MAX\_LEV})pos=clip(sraw​⋅a,−MAX_LEV,+MAX_LEV),</w:t>
      </w:r>
      <w:r>
        <w:rPr>
          <w:rFonts w:hint="default" w:ascii="Calibri" w:hAnsi="Calibri" w:cs="Calibri"/>
          <w:sz w:val="20"/>
          <w:szCs w:val="20"/>
        </w:rPr>
        <w:br w:type="textWrapping"/>
      </w:r>
      <w:r>
        <w:rPr>
          <w:rFonts w:hint="default" w:ascii="Calibri" w:hAnsi="Calibri" w:cs="Calibri"/>
          <w:sz w:val="20"/>
          <w:szCs w:val="20"/>
        </w:rPr>
        <w:t xml:space="preserve">with a tiny </w:t>
      </w:r>
      <w:r>
        <w:rPr>
          <w:rStyle w:val="6"/>
          <w:rFonts w:hint="default" w:ascii="Calibri" w:hAnsi="Calibri" w:cs="Calibri"/>
          <w:sz w:val="20"/>
          <w:szCs w:val="20"/>
        </w:rPr>
        <w:t>micro-band</w:t>
      </w:r>
      <w:r>
        <w:rPr>
          <w:rFonts w:hint="default" w:ascii="Calibri" w:hAnsi="Calibri" w:cs="Calibri"/>
          <w:sz w:val="20"/>
          <w:szCs w:val="20"/>
        </w:rPr>
        <w:t xml:space="preserve"> (e.g. 2 ppt) setting pos to </w:t>
      </w:r>
      <w:r>
        <w:rPr>
          <w:rStyle w:val="6"/>
          <w:rFonts w:hint="default" w:ascii="Calibri" w:hAnsi="Calibri" w:cs="Calibri"/>
          <w:sz w:val="20"/>
          <w:szCs w:val="20"/>
        </w:rPr>
        <w:t>0</w:t>
      </w:r>
      <w:r>
        <w:rPr>
          <w:rFonts w:hint="default" w:ascii="Calibri" w:hAnsi="Calibri" w:cs="Calibri"/>
          <w:sz w:val="20"/>
          <w:szCs w:val="20"/>
        </w:rPr>
        <w:t xml:space="preserve"> when edge is trivial.</w:t>
      </w:r>
    </w:p>
    <w:p w14:paraId="41E00102">
      <w:pPr>
        <w:keepNext w:val="0"/>
        <w:keepLines w:val="0"/>
        <w:widowControl/>
        <w:numPr>
          <w:ilvl w:val="0"/>
          <w:numId w:val="1"/>
        </w:numPr>
        <w:suppressLineNumbers w:val="0"/>
        <w:spacing w:before="0" w:beforeAutospacing="1" w:after="0" w:afterAutospacing="1"/>
        <w:ind w:left="1440" w:hanging="360"/>
        <w:rPr>
          <w:rFonts w:hint="default" w:ascii="Calibri" w:hAnsi="Calibri" w:cs="Calibri"/>
          <w:sz w:val="20"/>
          <w:szCs w:val="20"/>
        </w:rPr>
      </w:pPr>
    </w:p>
    <w:p w14:paraId="37722B5C">
      <w:pPr>
        <w:pStyle w:val="5"/>
        <w:keepNext w:val="0"/>
        <w:keepLines w:val="0"/>
        <w:widowControl/>
        <w:suppressLineNumbers w:val="0"/>
        <w:rPr>
          <w:rFonts w:hint="default" w:ascii="Calibri" w:hAnsi="Calibri" w:cs="Calibri"/>
          <w:sz w:val="20"/>
          <w:szCs w:val="20"/>
        </w:rPr>
      </w:pPr>
      <w:r>
        <w:rPr>
          <w:rFonts w:hint="default" w:ascii="Calibri" w:hAnsi="Calibri" w:cs="Calibri"/>
          <w:sz w:val="20"/>
          <w:szCs w:val="20"/>
        </w:rPr>
        <w:t xml:space="preserve">This keeps you </w:t>
      </w:r>
      <w:r>
        <w:rPr>
          <w:rStyle w:val="6"/>
          <w:rFonts w:hint="default" w:ascii="Calibri" w:hAnsi="Calibri" w:cs="Calibri"/>
          <w:sz w:val="20"/>
          <w:szCs w:val="20"/>
        </w:rPr>
        <w:t>long or short</w:t>
      </w:r>
      <w:r>
        <w:rPr>
          <w:rFonts w:hint="default" w:ascii="Calibri" w:hAnsi="Calibri" w:cs="Calibri"/>
          <w:sz w:val="20"/>
          <w:szCs w:val="20"/>
        </w:rPr>
        <w:t xml:space="preserve"> (sign comes from edge) but aims for </w:t>
      </w:r>
      <w:r>
        <w:rPr>
          <w:rStyle w:val="6"/>
          <w:rFonts w:hint="default" w:ascii="Calibri" w:hAnsi="Calibri" w:cs="Calibri"/>
          <w:sz w:val="20"/>
          <w:szCs w:val="20"/>
        </w:rPr>
        <w:t>similar risk</w:t>
      </w:r>
      <w:r>
        <w:rPr>
          <w:rFonts w:hint="default" w:ascii="Calibri" w:hAnsi="Calibri" w:cs="Calibri"/>
          <w:sz w:val="20"/>
          <w:szCs w:val="20"/>
        </w:rPr>
        <w:t xml:space="preserve"> each week, so Sharpe usually improves if the probabilities carry signal.</w:t>
      </w:r>
    </w:p>
    <w:p w14:paraId="18B4F746">
      <w:pPr>
        <w:pStyle w:val="5"/>
        <w:keepNext w:val="0"/>
        <w:keepLines w:val="0"/>
        <w:widowControl/>
        <w:suppressLineNumbers w:val="0"/>
        <w:rPr>
          <w:rFonts w:hint="default" w:ascii="Calibri" w:hAnsi="Calibri" w:cs="Calibri"/>
          <w:b/>
          <w:bCs/>
          <w:sz w:val="20"/>
          <w:szCs w:val="20"/>
        </w:rPr>
      </w:pPr>
      <w:r>
        <w:rPr>
          <w:rFonts w:hint="default" w:ascii="Calibri" w:hAnsi="Calibri"/>
          <w:b/>
          <w:bCs/>
          <w:sz w:val="20"/>
          <w:szCs w:val="20"/>
        </w:rPr>
        <w:t>just be clear the end game is to try to guess next week direction if it thinks is going to be an upweek it buys at the open on monday and sells at the close on friday. If it thinks it's going to be a downweek it sell at the open on monday to buy back at the close friday is that what it does?</w:t>
      </w:r>
    </w:p>
    <w:p w14:paraId="1A4BB28B">
      <w:pPr>
        <w:rPr>
          <w:rFonts w:hint="default"/>
        </w:rPr>
      </w:pPr>
      <w:r>
        <w:rPr>
          <w:rFonts w:hint="default"/>
          <w:lang w:val="en-GB"/>
        </w:rPr>
        <w:t>s</w:t>
      </w:r>
      <w:r>
        <w:rPr>
          <w:rFonts w:hint="default"/>
        </w:rPr>
        <w:t>hort answer: yes—that’s exactly what the backtest is doing (with one caveat about sizing).</w:t>
      </w:r>
    </w:p>
    <w:p w14:paraId="2F04B8FE">
      <w:pPr>
        <w:rPr>
          <w:rFonts w:hint="default"/>
        </w:rPr>
      </w:pPr>
    </w:p>
    <w:p w14:paraId="09613AC7">
      <w:pPr>
        <w:rPr>
          <w:rFonts w:hint="default"/>
        </w:rPr>
      </w:pPr>
      <w:r>
        <w:rPr>
          <w:rFonts w:hint="default"/>
        </w:rPr>
        <w:t>We build the target as Mon open → Fri close:</w:t>
      </w:r>
    </w:p>
    <w:p w14:paraId="5BE727BF">
      <w:pPr>
        <w:rPr>
          <w:rFonts w:hint="default"/>
        </w:rPr>
      </w:pPr>
      <w:r>
        <w:rPr>
          <w:rFonts w:hint="default"/>
        </w:rPr>
        <w:t>ret_fwd_1w = next_week_last_close / next_week_first_open - 1.</w:t>
      </w:r>
    </w:p>
    <w:p w14:paraId="0C938D51">
      <w:pPr>
        <w:rPr>
          <w:rFonts w:hint="default"/>
        </w:rPr>
      </w:pPr>
    </w:p>
    <w:p w14:paraId="48D569E3">
      <w:pPr>
        <w:rPr>
          <w:rFonts w:hint="default"/>
        </w:rPr>
      </w:pPr>
      <w:r>
        <w:rPr>
          <w:rFonts w:hint="default"/>
        </w:rPr>
        <w:t>Each Friday (at the end of week t) the model forms a view for week t+1:</w:t>
      </w:r>
    </w:p>
    <w:p w14:paraId="6C89EA8C">
      <w:pPr>
        <w:rPr>
          <w:rFonts w:hint="default"/>
        </w:rPr>
      </w:pPr>
    </w:p>
    <w:p w14:paraId="30F5D41F">
      <w:pPr>
        <w:rPr>
          <w:rFonts w:hint="default"/>
        </w:rPr>
      </w:pPr>
      <w:r>
        <w:rPr>
          <w:rFonts w:hint="default"/>
        </w:rPr>
        <w:t>If it expects up (positive expected return), it takes a long at Monday open and exits at Friday close.</w:t>
      </w:r>
    </w:p>
    <w:p w14:paraId="1109EA0C">
      <w:pPr>
        <w:rPr>
          <w:rFonts w:hint="default"/>
        </w:rPr>
      </w:pPr>
    </w:p>
    <w:p w14:paraId="78FFC1E9">
      <w:pPr>
        <w:rPr>
          <w:rFonts w:hint="default"/>
        </w:rPr>
      </w:pPr>
      <w:r>
        <w:rPr>
          <w:rFonts w:hint="default"/>
        </w:rPr>
        <w:t>If it expects down (negative expected return), it shorts at Monday open and covers at Friday close.</w:t>
      </w:r>
    </w:p>
    <w:p w14:paraId="0057CCAC">
      <w:pPr>
        <w:rPr>
          <w:rFonts w:hint="default"/>
        </w:rPr>
      </w:pPr>
    </w:p>
    <w:p w14:paraId="410E4335">
      <w:pPr>
        <w:rPr>
          <w:rFonts w:hint="default"/>
        </w:rPr>
      </w:pPr>
      <w:r>
        <w:rPr>
          <w:rFonts w:hint="default"/>
        </w:rPr>
        <w:t>The PnL for that week is: position * ret_fwd_1w (minus any costs), where position is held constant all week and re-set the following Monday.</w:t>
      </w:r>
    </w:p>
    <w:p w14:paraId="2E4F52F2">
      <w:pPr>
        <w:rPr>
          <w:rFonts w:hint="default"/>
        </w:rPr>
      </w:pPr>
    </w:p>
    <w:p w14:paraId="48CB8DF9">
      <w:pPr>
        <w:rPr>
          <w:rFonts w:hint="default"/>
        </w:rPr>
      </w:pPr>
      <w:r>
        <w:rPr>
          <w:rFonts w:hint="default"/>
        </w:rPr>
        <w:t>The caveat (current “Base” version)</w:t>
      </w:r>
    </w:p>
    <w:p w14:paraId="5654F382">
      <w:pPr>
        <w:rPr>
          <w:rFonts w:hint="default"/>
        </w:rPr>
      </w:pPr>
    </w:p>
    <w:p w14:paraId="30B054CE">
      <w:pPr>
        <w:rPr>
          <w:rFonts w:hint="default"/>
        </w:rPr>
      </w:pPr>
      <w:r>
        <w:rPr>
          <w:rFonts w:hint="default"/>
        </w:rPr>
        <w:t>Right now the position is sized by expected edge and risk (not forced to ±1). So:</w:t>
      </w:r>
    </w:p>
    <w:p w14:paraId="1217ED33">
      <w:pPr>
        <w:rPr>
          <w:rFonts w:hint="default"/>
        </w:rPr>
      </w:pPr>
    </w:p>
    <w:p w14:paraId="26EDB559">
      <w:pPr>
        <w:rPr>
          <w:rFonts w:hint="default"/>
        </w:rPr>
      </w:pPr>
      <w:r>
        <w:rPr>
          <w:rFonts w:hint="default"/>
        </w:rPr>
        <w:t>Sign of the trade = up vs down, as you described.</w:t>
      </w:r>
    </w:p>
    <w:p w14:paraId="28483F2F">
      <w:pPr>
        <w:rPr>
          <w:rFonts w:hint="default"/>
        </w:rPr>
      </w:pPr>
    </w:p>
    <w:p w14:paraId="334948C3">
      <w:pPr>
        <w:rPr>
          <w:rFonts w:hint="default"/>
        </w:rPr>
      </w:pPr>
      <w:r>
        <w:rPr>
          <w:rFonts w:hint="default"/>
        </w:rPr>
        <w:t>Size is fractional (e.g., 0.3, −0.7) based on expected return and weekly vol forecast.</w:t>
      </w:r>
    </w:p>
    <w:p w14:paraId="6E5BD69E">
      <w:pPr>
        <w:rPr>
          <w:rFonts w:hint="default"/>
        </w:rPr>
      </w:pPr>
    </w:p>
    <w:p w14:paraId="5EC07227">
      <w:pPr>
        <w:rPr>
          <w:rFonts w:hint="default"/>
        </w:rPr>
      </w:pPr>
      <w:r>
        <w:rPr>
          <w:rFonts w:hint="default"/>
        </w:rPr>
        <w:t>If the edge is tiny (below MIN_ABS_ER), it may go flat for that week.</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S PGothic">
    <w:panose1 w:val="020B0600070205080204"/>
    <w:charset w:val="80"/>
    <w:family w:val="auto"/>
    <w:pitch w:val="default"/>
    <w:sig w:usb0="E00002FF" w:usb1="6AC7FDFB" w:usb2="08000012" w:usb3="00000000" w:csb0="4002009F" w:csb1="DFD70000"/>
  </w:font>
  <w:font w:name="Cambria">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3416899"/>
    <w:multiLevelType w:val="multilevel"/>
    <w:tmpl w:val="3341689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C6B4C08"/>
    <w:rsid w:val="216A2E2B"/>
    <w:rsid w:val="405A7D04"/>
    <w:rsid w:val="5E417349"/>
    <w:rsid w:val="7C6B4C08"/>
    <w:rsid w:val="7CC6314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39</TotalTime>
  <ScaleCrop>false</ScaleCrop>
  <LinksUpToDate>false</LinksUpToDate>
  <CharactersWithSpaces>0</CharactersWithSpaces>
  <Application>WPS Office_12.2.0.22556_F1E327BC-269C-435d-A152-05C5408002CA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2025-09-23T21:14:00Z</dcterms:created>
  <dc:creator>Lorenzo Cingolani</dc:creator>
  <cp:lastModifiedBy>Lorenzo Cingolani</cp:lastModifiedBy>
  <dcterms:modified xsi:type="dcterms:W3CDTF">2025-09-23T22:56:38Z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2057-12.2.0.22556</vt:lpwstr>
  </property>
  <property fmtid="{D5CDD505-2E9C-101B-9397-08002B2CF9AE}" pid="3" name="ICV">
    <vt:lpwstr>AC3697A350414C1D903265FD22EABDBE_11</vt:lpwstr>
  </property>
</Properties>
</file>