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59689">
      <w:pPr>
        <w:spacing w:before="0" w:after="80"/>
        <w:jc w:val="center"/>
      </w:pPr>
      <w:r>
        <w:rPr>
          <w:b/>
          <w:color w:val="1F4E79"/>
          <w:sz w:val="36"/>
        </w:rPr>
        <w:t>Trading Webapp File Save Paths</w:t>
      </w:r>
    </w:p>
    <w:p w14:paraId="1384B899">
      <w:pPr>
        <w:spacing w:before="0" w:after="220"/>
        <w:jc w:val="center"/>
      </w:pPr>
      <w:r>
        <w:rPr>
          <w:color w:val="666666"/>
          <w:sz w:val="18"/>
        </w:rPr>
        <w:t>Workspace: c:\Users\loci_\Desktop\trading_webapp</w:t>
      </w:r>
    </w:p>
    <w:p w14:paraId="59910A0F">
      <w:pPr>
        <w:spacing w:before="0" w:after="180"/>
      </w:pPr>
      <w:r>
        <w:rPr>
          <w:sz w:val="20"/>
        </w:rPr>
        <w:t>Summary: Main Analysis saves strategy files, Validation creates combined forecasts, PDM saves the portfolio multiplier, Forecast creates order files, and Sharpe saves JSON results.</w:t>
      </w:r>
    </w:p>
    <w:tbl>
      <w:tblPr>
        <w:tblStyle w:val="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3"/>
        <w:gridCol w:w="1697"/>
        <w:gridCol w:w="4332"/>
        <w:gridCol w:w="3548"/>
      </w:tblGrid>
      <w:tr w14:paraId="670502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AF979">
            <w:pPr>
              <w:spacing w:before="0" w:after="4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20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EC168">
            <w:pPr>
              <w:spacing w:before="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80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CB4A5">
            <w:pPr>
              <w:spacing w:before="0" w:after="40"/>
            </w:pPr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320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90F01">
            <w:pPr>
              <w:spacing w:before="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14:paraId="2ED171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F7098">
            <w:pPr>
              <w:spacing w:before="0" w:after="40"/>
            </w:pPr>
            <w:r>
              <w:rPr>
                <w:color w:val="000000"/>
                <w:sz w:val="18"/>
              </w:rPr>
              <w:t>Input Stage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2B40E">
            <w:pPr>
              <w:spacing w:before="0" w:after="40"/>
            </w:pPr>
            <w:r>
              <w:rPr>
                <w:color w:val="000000"/>
                <w:sz w:val="18"/>
              </w:rPr>
              <w:t>Reads instrument CSVs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C0558">
            <w:pPr>
              <w:spacing w:before="0" w:after="40"/>
            </w:pPr>
            <w:r>
              <w:rPr>
                <w:color w:val="000000"/>
                <w:sz w:val="18"/>
              </w:rPr>
              <w:t>DATA\input_instruments\*.csv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9FA9E">
            <w:pPr>
              <w:spacing w:before="0" w:after="40"/>
            </w:pPr>
            <w:r>
              <w:rPr>
                <w:color w:val="000000"/>
                <w:sz w:val="18"/>
              </w:rPr>
              <w:t>Example: ADAUSDT_daily.csv, AVAXUSDT_daily.csv</w:t>
            </w:r>
          </w:p>
        </w:tc>
      </w:tr>
      <w:tr w14:paraId="5C1413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9DE14">
            <w:pPr>
              <w:spacing w:before="0" w:after="40"/>
            </w:pPr>
            <w:r>
              <w:rPr>
                <w:color w:val="000000"/>
                <w:sz w:val="18"/>
              </w:rPr>
              <w:t>Input Stage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CE92F">
            <w:pPr>
              <w:spacing w:before="0" w:after="40"/>
            </w:pPr>
            <w:r>
              <w:rPr>
                <w:color w:val="000000"/>
                <w:sz w:val="18"/>
              </w:rPr>
              <w:t>Reads instrument weights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F571">
            <w:pPr>
              <w:spacing w:before="0" w:after="40"/>
            </w:pPr>
            <w:r>
              <w:rPr>
                <w:color w:val="000000"/>
                <w:sz w:val="18"/>
              </w:rPr>
              <w:t>DATA\input_main\input_main.csv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8AA6A">
            <w:pPr>
              <w:spacing w:before="0" w:after="40"/>
            </w:pPr>
            <w:r>
              <w:rPr>
                <w:color w:val="000000"/>
                <w:sz w:val="18"/>
              </w:rPr>
              <w:t>Contains INSTRUMENT and INSTRUMENT_WEIGHTS.</w:t>
            </w:r>
          </w:p>
        </w:tc>
      </w:tr>
      <w:tr w14:paraId="3D6FF8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102BE">
            <w:pPr>
              <w:spacing w:before="0" w:after="40"/>
            </w:pPr>
            <w:r>
              <w:rPr>
                <w:color w:val="000000"/>
                <w:sz w:val="18"/>
              </w:rPr>
              <w:t>Main Analysis / Lysis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51D5F">
            <w:pPr>
              <w:spacing w:before="0" w:after="40"/>
            </w:pPr>
            <w:r>
              <w:rPr>
                <w:color w:val="000000"/>
                <w:sz w:val="18"/>
              </w:rPr>
              <w:t>Saves Carry strategy output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ADA0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DATA\output_instruments\&lt;instrument&gt;_CARRY.csv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3FEFD">
            <w:pPr>
              <w:spacing w:before="0" w:after="40"/>
            </w:pPr>
            <w:r>
              <w:rPr>
                <w:color w:val="000000"/>
                <w:sz w:val="18"/>
              </w:rPr>
              <w:t>Created by strategies/carry.py.</w:t>
            </w:r>
          </w:p>
        </w:tc>
      </w:tr>
      <w:tr w14:paraId="2E7EEC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D99F4">
            <w:pPr>
              <w:spacing w:before="0" w:after="40"/>
            </w:pPr>
            <w:r>
              <w:rPr>
                <w:color w:val="000000"/>
                <w:sz w:val="18"/>
              </w:rPr>
              <w:t>Main Analysis / Lysis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5C21D">
            <w:pPr>
              <w:spacing w:before="0" w:after="40"/>
            </w:pPr>
            <w:r>
              <w:rPr>
                <w:color w:val="000000"/>
                <w:sz w:val="18"/>
              </w:rPr>
              <w:t>Saves EWMA strategy outputs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D124D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DATA\output_instruments\&lt;instrument&gt;_EWMA002.csv</w:t>
            </w:r>
          </w:p>
          <w:p w14:paraId="17E5149A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DATA\output_instruments\&lt;instrument&gt;_EWMA004.csv</w:t>
            </w:r>
          </w:p>
          <w:p w14:paraId="6418440B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DATA\output_instruments\&lt;instrument&gt;_EWMA008.csv</w:t>
            </w:r>
          </w:p>
          <w:p w14:paraId="72BA25A5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DATA\output_instruments\&lt;instrument&gt;_EWMA016.csv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25340">
            <w:pPr>
              <w:spacing w:before="0" w:after="40"/>
            </w:pPr>
            <w:r>
              <w:rPr>
                <w:color w:val="000000"/>
                <w:sz w:val="18"/>
              </w:rPr>
              <w:t>Added in steps/p1_analysis.py. These include capped_forecast and forecast*returns.</w:t>
            </w:r>
          </w:p>
        </w:tc>
      </w:tr>
      <w:tr w14:paraId="3A0946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95BDB">
            <w:pPr>
              <w:spacing w:before="0" w:after="40"/>
            </w:pPr>
            <w:r>
              <w:rPr>
                <w:color w:val="000000"/>
                <w:sz w:val="18"/>
              </w:rPr>
              <w:t>Main Analysis / Lysis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07D72">
            <w:pPr>
              <w:spacing w:before="0" w:after="40"/>
            </w:pPr>
            <w:r>
              <w:rPr>
                <w:color w:val="000000"/>
                <w:sz w:val="18"/>
              </w:rPr>
              <w:t>Saves control output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BD071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DATA\output_instruments\control_output.csv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89679">
            <w:pPr>
              <w:spacing w:before="0" w:after="40"/>
            </w:pPr>
            <w:r>
              <w:rPr>
                <w:color w:val="000000"/>
                <w:sz w:val="18"/>
              </w:rPr>
              <w:t>Contains instrument metadata used by later stages.</w:t>
            </w:r>
          </w:p>
        </w:tc>
      </w:tr>
      <w:tr w14:paraId="0140A2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F33C2">
            <w:pPr>
              <w:spacing w:before="0" w:after="40"/>
            </w:pPr>
            <w:r>
              <w:rPr>
                <w:color w:val="000000"/>
                <w:sz w:val="18"/>
              </w:rPr>
              <w:t>Validation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DA493">
            <w:pPr>
              <w:spacing w:before="0" w:after="40"/>
            </w:pPr>
            <w:r>
              <w:rPr>
                <w:color w:val="000000"/>
                <w:sz w:val="18"/>
              </w:rPr>
              <w:t>Reads strategy files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34813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DATA\output_instruments\*.csv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5D8CA">
            <w:pPr>
              <w:spacing w:before="0" w:after="40"/>
            </w:pPr>
            <w:r>
              <w:rPr>
                <w:color w:val="000000"/>
                <w:sz w:val="18"/>
              </w:rPr>
              <w:t>Loads all model CSVs for each instrument.</w:t>
            </w:r>
          </w:p>
        </w:tc>
      </w:tr>
      <w:tr w14:paraId="13A871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82A5E">
            <w:pPr>
              <w:spacing w:before="0" w:after="40"/>
            </w:pPr>
            <w:r>
              <w:rPr>
                <w:color w:val="000000"/>
                <w:sz w:val="18"/>
              </w:rPr>
              <w:t>Validation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187E5">
            <w:pPr>
              <w:spacing w:before="0" w:after="40"/>
            </w:pPr>
            <w:r>
              <w:rPr>
                <w:color w:val="000000"/>
                <w:sz w:val="18"/>
              </w:rPr>
              <w:t>Saves combined forecasts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1AC66">
            <w:pPr>
              <w:spacing w:before="0" w:after="40"/>
            </w:pPr>
            <w:r>
              <w:rPr>
                <w:color w:val="000000"/>
                <w:sz w:val="18"/>
              </w:rPr>
              <w:t>DATA\combinedForecast\&lt;instrument&gt;.csv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B183C">
            <w:pPr>
              <w:spacing w:before="0" w:after="40"/>
            </w:pPr>
            <w:r>
              <w:rPr>
                <w:color w:val="000000"/>
                <w:sz w:val="18"/>
              </w:rPr>
              <w:t>Example: DATA\combinedForecast\ADAUSDT_daily.csv.</w:t>
            </w:r>
          </w:p>
        </w:tc>
      </w:tr>
      <w:tr w14:paraId="7A660C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F3891">
            <w:pPr>
              <w:spacing w:before="0" w:after="40"/>
            </w:pPr>
            <w:r>
              <w:rPr>
                <w:color w:val="000000"/>
                <w:sz w:val="18"/>
              </w:rPr>
              <w:t>PDM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0655E">
            <w:pPr>
              <w:spacing w:before="0" w:after="40"/>
            </w:pPr>
            <w:r>
              <w:rPr>
                <w:color w:val="000000"/>
                <w:sz w:val="18"/>
              </w:rPr>
              <w:t>Saves portfolio diversification multiplier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2456">
            <w:pPr>
              <w:spacing w:before="0" w:after="40"/>
            </w:pPr>
            <w:r>
              <w:rPr>
                <w:color w:val="000000"/>
                <w:sz w:val="18"/>
              </w:rPr>
              <w:t>DATA\combinedForecast\PDM_portfolio.h5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6F126">
            <w:pPr>
              <w:spacing w:before="0" w:after="40"/>
            </w:pPr>
            <w:r>
              <w:rPr>
                <w:color w:val="000000"/>
                <w:sz w:val="18"/>
              </w:rPr>
              <w:t>Created by steps/p3_pdm.py.</w:t>
            </w:r>
          </w:p>
        </w:tc>
      </w:tr>
      <w:tr w14:paraId="392A1A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C0409">
            <w:pPr>
              <w:spacing w:before="0" w:after="40"/>
            </w:pPr>
            <w:r>
              <w:rPr>
                <w:color w:val="000000"/>
                <w:sz w:val="18"/>
              </w:rPr>
              <w:t>Forecast / Orders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FFB25">
            <w:pPr>
              <w:spacing w:before="0" w:after="40"/>
            </w:pPr>
            <w:r>
              <w:rPr>
                <w:color w:val="000000"/>
                <w:sz w:val="18"/>
              </w:rPr>
              <w:t>Reads combined forecasts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DBA10">
            <w:pPr>
              <w:spacing w:before="0" w:after="40"/>
            </w:pPr>
            <w:r>
              <w:rPr>
                <w:color w:val="000000"/>
                <w:sz w:val="18"/>
              </w:rPr>
              <w:t>DATA\combinedForecast\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E585C">
            <w:pPr>
              <w:spacing w:before="0" w:after="40"/>
            </w:pPr>
            <w:r>
              <w:rPr>
                <w:color w:val="000000"/>
                <w:sz w:val="18"/>
              </w:rPr>
              <w:t>Used by steps/p5_framework_one_function.py.</w:t>
            </w:r>
          </w:p>
        </w:tc>
      </w:tr>
      <w:tr w14:paraId="5A5361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A2AF1">
            <w:pPr>
              <w:spacing w:before="0" w:after="40"/>
            </w:pPr>
            <w:r>
              <w:rPr>
                <w:color w:val="000000"/>
                <w:sz w:val="18"/>
              </w:rPr>
              <w:t>Forecast / Orders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5C432">
            <w:pPr>
              <w:spacing w:before="0" w:after="40"/>
            </w:pPr>
            <w:r>
              <w:rPr>
                <w:color w:val="000000"/>
                <w:sz w:val="18"/>
              </w:rPr>
              <w:t>Saves order file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E0BAE">
            <w:pPr>
              <w:spacing w:before="0" w:after="40"/>
            </w:pPr>
            <w:r>
              <w:rPr>
                <w:color w:val="000000"/>
                <w:sz w:val="18"/>
              </w:rPr>
              <w:t>DATA\order_folder\orders_&lt;timestamp&gt;.csv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99F1B">
            <w:pPr>
              <w:spacing w:before="0" w:after="40"/>
            </w:pPr>
            <w:r>
              <w:rPr>
                <w:color w:val="000000"/>
                <w:sz w:val="18"/>
              </w:rPr>
              <w:t>Example: orders_20260511_133623.csv.</w:t>
            </w:r>
          </w:p>
        </w:tc>
      </w:tr>
      <w:tr w14:paraId="2BCE0E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1846E">
            <w:pPr>
              <w:spacing w:before="0" w:after="40"/>
            </w:pPr>
            <w:r>
              <w:rPr>
                <w:color w:val="000000"/>
                <w:sz w:val="18"/>
              </w:rPr>
              <w:t>Sharpe Ratio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17ECD">
            <w:pPr>
              <w:spacing w:before="0" w:after="40"/>
            </w:pPr>
            <w:r>
              <w:rPr>
                <w:color w:val="000000"/>
                <w:sz w:val="18"/>
              </w:rPr>
              <w:t>Reads strategy files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DBCBA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DATA\output_instruments\*.csv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D345E">
            <w:pPr>
              <w:spacing w:before="0" w:after="40"/>
            </w:pPr>
            <w:r>
              <w:rPr>
                <w:color w:val="000000"/>
                <w:sz w:val="18"/>
              </w:rPr>
              <w:t>Calculates Sharpe from forecast*returns.</w:t>
            </w:r>
          </w:p>
        </w:tc>
      </w:tr>
      <w:tr w14:paraId="1273A3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28036">
            <w:pPr>
              <w:spacing w:before="0" w:after="40"/>
            </w:pPr>
            <w:r>
              <w:rPr>
                <w:color w:val="000000"/>
                <w:sz w:val="18"/>
              </w:rPr>
              <w:t>Sharpe Ratio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22497">
            <w:pPr>
              <w:spacing w:before="0" w:after="40"/>
            </w:pPr>
            <w:r>
              <w:rPr>
                <w:color w:val="000000"/>
                <w:sz w:val="18"/>
              </w:rPr>
              <w:t>Saves Sharpe JSON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2A593">
            <w:pPr>
              <w:spacing w:before="0" w:after="40"/>
            </w:pPr>
            <w:r>
              <w:rPr>
                <w:color w:val="000000"/>
                <w:sz w:val="18"/>
              </w:rPr>
              <w:t>DATA\output_instruments\sharpe_results.json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5524B">
            <w:pPr>
              <w:spacing w:before="0" w:after="40"/>
            </w:pPr>
            <w:r>
              <w:rPr>
                <w:color w:val="000000"/>
                <w:sz w:val="18"/>
              </w:rPr>
              <w:t>Created by p_pages/sharpe_ratio_page.py.</w:t>
            </w:r>
          </w:p>
        </w:tc>
      </w:tr>
    </w:tbl>
    <w:p w14:paraId="4CFAAF80">
      <w:pPr>
        <w:spacing w:before="220" w:after="80"/>
      </w:pPr>
      <w:r>
        <w:rPr>
          <w:b/>
          <w:color w:val="1F4E79"/>
          <w:sz w:val="24"/>
        </w:rPr>
        <w:t>Important folder note</w:t>
      </w:r>
    </w:p>
    <w:p w14:paraId="11678813">
      <w:pPr>
        <w:spacing w:before="0" w:after="120"/>
      </w:pPr>
      <w:r>
        <w:rPr>
          <w:sz w:val="20"/>
        </w:rPr>
        <w:t>The active combined forecast folder is DATA\combinedForecast. There is also DATA\combined_forecast, but the current Validation, PDM, and Forecast stages use DATA\combinedForecast.</w:t>
      </w:r>
    </w:p>
    <w:p w14:paraId="276C58B5">
      <w:pPr>
        <w:spacing w:before="120" w:after="80"/>
      </w:pPr>
      <w:r>
        <w:rPr>
          <w:b/>
          <w:color w:val="1F4E79"/>
          <w:sz w:val="24"/>
        </w:rPr>
        <w:t>Standard Cost source</w:t>
      </w:r>
    </w:p>
    <w:p w14:paraId="4A00CC27">
      <w:pPr>
        <w:spacing w:before="0" w:after="120"/>
      </w:pPr>
      <w:r>
        <w:rPr>
          <w:sz w:val="20"/>
        </w:rPr>
        <w:t>STANDARD_COST in control_output.csv comes from the first row of the instrument CSV column named "Standard Cost": DATA\input_instruments\&lt;instrument&gt;.csv.</w:t>
      </w:r>
    </w:p>
    <w:sectPr>
      <w:pgSz w:w="12240" w:h="1584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2260C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2795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2026-05-11T18:04:26Z</dcterms:created>
  <dc:creator>loci_</dc:creator>
  <cp:lastModifiedBy>Lorenzo Cingolani</cp:lastModifiedBy>
  <dcterms:modified xsi:type="dcterms:W3CDTF">2026-05-19T04:23:53Z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98459458B73243818D7033898786EA62_12</vt:lpwstr>
  </property>
</Properties>
</file>