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48731" w14:textId="21063050" w:rsidR="00595B92" w:rsidRDefault="00B661BF">
      <w:pPr>
        <w:pStyle w:val="Titre1"/>
      </w:pPr>
      <w:r>
        <w:rPr>
          <w:b/>
          <w:bCs/>
        </w:rPr>
        <w:t xml:space="preserve">M291 </w:t>
      </w:r>
      <w:r w:rsidR="00C715AA">
        <w:rPr>
          <w:b/>
          <w:bCs/>
        </w:rPr>
        <w:t>-</w:t>
      </w:r>
      <w:r>
        <w:rPr>
          <w:b/>
          <w:bCs/>
        </w:rPr>
        <w:t xml:space="preserve"> Grille de </w:t>
      </w:r>
      <w:proofErr w:type="spellStart"/>
      <w:r>
        <w:rPr>
          <w:b/>
          <w:bCs/>
        </w:rPr>
        <w:t>roast</w:t>
      </w:r>
      <w:proofErr w:type="spellEnd"/>
      <w:r>
        <w:rPr>
          <w:b/>
          <w:bCs/>
        </w:rPr>
        <w:t xml:space="preserve"> </w:t>
      </w:r>
      <w:r w:rsidR="00C715AA">
        <w:rPr>
          <w:b/>
          <w:bCs/>
        </w:rPr>
        <w:t>-</w:t>
      </w:r>
      <w:r>
        <w:rPr>
          <w:b/>
          <w:bCs/>
        </w:rPr>
        <w:t xml:space="preserve"> e2-1</w:t>
      </w:r>
    </w:p>
    <w:p w14:paraId="1984E038" w14:textId="77777777" w:rsidR="00C715AA" w:rsidRDefault="00C715AA">
      <w:pPr>
        <w:spacing w:after="200"/>
        <w:rPr>
          <w:i/>
          <w:iCs/>
        </w:rPr>
      </w:pPr>
    </w:p>
    <w:p w14:paraId="7443FFE1" w14:textId="77777777" w:rsidR="00C715AA" w:rsidRDefault="00C715AA">
      <w:pPr>
        <w:spacing w:after="200"/>
      </w:pPr>
    </w:p>
    <w:tbl>
      <w:tblPr>
        <w:tblW w:w="10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900"/>
        <w:gridCol w:w="900"/>
        <w:gridCol w:w="900"/>
        <w:gridCol w:w="900"/>
        <w:gridCol w:w="1000"/>
        <w:gridCol w:w="4606"/>
      </w:tblGrid>
      <w:tr w:rsidR="00595B92" w14:paraId="46714C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2E2E2E"/>
            <w:vAlign w:val="center"/>
          </w:tcPr>
          <w:p w14:paraId="689BD80C" w14:textId="77777777" w:rsidR="00595B92" w:rsidRDefault="00B661BF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Capture</w:t>
            </w:r>
          </w:p>
        </w:tc>
        <w:tc>
          <w:tcPr>
            <w:tcW w:w="900" w:type="dxa"/>
            <w:shd w:val="clear" w:color="auto" w:fill="2E2E2E"/>
            <w:vAlign w:val="center"/>
          </w:tcPr>
          <w:p w14:paraId="3DBC2671" w14:textId="77777777" w:rsidR="00595B92" w:rsidRDefault="00B661BF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Lisibilité</w:t>
            </w:r>
          </w:p>
        </w:tc>
        <w:tc>
          <w:tcPr>
            <w:tcW w:w="900" w:type="dxa"/>
            <w:shd w:val="clear" w:color="auto" w:fill="2E2E2E"/>
            <w:vAlign w:val="center"/>
          </w:tcPr>
          <w:p w14:paraId="761B8DF8" w14:textId="77777777" w:rsidR="00595B92" w:rsidRDefault="00B661BF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Navigation</w:t>
            </w:r>
          </w:p>
        </w:tc>
        <w:tc>
          <w:tcPr>
            <w:tcW w:w="900" w:type="dxa"/>
            <w:shd w:val="clear" w:color="auto" w:fill="2E2E2E"/>
            <w:vAlign w:val="center"/>
          </w:tcPr>
          <w:p w14:paraId="1A2269E4" w14:textId="77777777" w:rsidR="00595B92" w:rsidRDefault="00B661BF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Feedback</w:t>
            </w:r>
          </w:p>
        </w:tc>
        <w:tc>
          <w:tcPr>
            <w:tcW w:w="900" w:type="dxa"/>
            <w:shd w:val="clear" w:color="auto" w:fill="2E2E2E"/>
            <w:vAlign w:val="center"/>
          </w:tcPr>
          <w:p w14:paraId="354520FA" w14:textId="77777777" w:rsidR="00595B92" w:rsidRDefault="00B661BF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Cohérence</w:t>
            </w:r>
          </w:p>
        </w:tc>
        <w:tc>
          <w:tcPr>
            <w:tcW w:w="1000" w:type="dxa"/>
            <w:shd w:val="clear" w:color="auto" w:fill="2E2E2E"/>
            <w:vAlign w:val="center"/>
          </w:tcPr>
          <w:p w14:paraId="380EE5CC" w14:textId="77777777" w:rsidR="00595B92" w:rsidRDefault="00B661BF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Accessibilité</w:t>
            </w:r>
          </w:p>
        </w:tc>
        <w:tc>
          <w:tcPr>
            <w:tcW w:w="4606" w:type="dxa"/>
            <w:shd w:val="clear" w:color="auto" w:fill="2E2E2E"/>
            <w:vAlign w:val="center"/>
          </w:tcPr>
          <w:p w14:paraId="2E9287D2" w14:textId="77777777" w:rsidR="00595B92" w:rsidRDefault="00B661BF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Phrase précise</w:t>
            </w:r>
          </w:p>
        </w:tc>
      </w:tr>
      <w:tr w:rsidR="00595B92" w14:paraId="087CC10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14:paraId="038D8981" w14:textId="49E23190" w:rsidR="00595B92" w:rsidRDefault="00B661BF">
            <w:r>
              <w:rPr>
                <w:b/>
                <w:bCs/>
                <w:sz w:val="15"/>
                <w:szCs w:val="15"/>
              </w:rPr>
              <w:t xml:space="preserve">01 </w:t>
            </w:r>
            <w:r w:rsidR="00282DEF">
              <w:rPr>
                <w:b/>
                <w:bCs/>
                <w:sz w:val="15"/>
                <w:szCs w:val="15"/>
              </w:rPr>
              <w:t xml:space="preserve">- </w:t>
            </w:r>
            <w:r>
              <w:rPr>
                <w:b/>
                <w:bCs/>
                <w:sz w:val="15"/>
                <w:szCs w:val="15"/>
              </w:rPr>
              <w:t>Mur de texte</w:t>
            </w:r>
          </w:p>
        </w:tc>
        <w:tc>
          <w:tcPr>
            <w:tcW w:w="900" w:type="dxa"/>
            <w:vAlign w:val="center"/>
          </w:tcPr>
          <w:p w14:paraId="67E0CB2A" w14:textId="77777777" w:rsidR="00595B92" w:rsidRDefault="00B661BF">
            <w:pPr>
              <w:jc w:val="center"/>
            </w:pPr>
            <w:r>
              <w:rPr>
                <w:b/>
                <w:bCs/>
                <w:color w:val="C0392B"/>
                <w:sz w:val="22"/>
                <w:szCs w:val="22"/>
              </w:rPr>
              <w:t>1</w:t>
            </w:r>
          </w:p>
        </w:tc>
        <w:tc>
          <w:tcPr>
            <w:tcW w:w="900" w:type="dxa"/>
            <w:vAlign w:val="center"/>
          </w:tcPr>
          <w:p w14:paraId="35DEF807" w14:textId="77777777" w:rsidR="00595B92" w:rsidRDefault="00B661BF">
            <w:pPr>
              <w:jc w:val="center"/>
            </w:pPr>
            <w:r>
              <w:rPr>
                <w:b/>
                <w:bCs/>
                <w:color w:val="E67E22"/>
                <w:sz w:val="22"/>
                <w:szCs w:val="22"/>
              </w:rPr>
              <w:t>2</w:t>
            </w:r>
          </w:p>
        </w:tc>
        <w:tc>
          <w:tcPr>
            <w:tcW w:w="900" w:type="dxa"/>
            <w:vAlign w:val="center"/>
          </w:tcPr>
          <w:p w14:paraId="45DE025A" w14:textId="77777777" w:rsidR="00595B92" w:rsidRDefault="00B661BF">
            <w:pPr>
              <w:jc w:val="center"/>
            </w:pPr>
            <w:r>
              <w:rPr>
                <w:b/>
                <w:bCs/>
                <w:color w:val="C0392B"/>
                <w:sz w:val="22"/>
                <w:szCs w:val="22"/>
              </w:rPr>
              <w:t>1</w:t>
            </w:r>
          </w:p>
        </w:tc>
        <w:tc>
          <w:tcPr>
            <w:tcW w:w="900" w:type="dxa"/>
            <w:vAlign w:val="center"/>
          </w:tcPr>
          <w:p w14:paraId="710D206B" w14:textId="77777777" w:rsidR="00595B92" w:rsidRDefault="00B661BF">
            <w:pPr>
              <w:jc w:val="center"/>
            </w:pPr>
            <w:r>
              <w:rPr>
                <w:b/>
                <w:bCs/>
                <w:color w:val="E67E22"/>
                <w:sz w:val="22"/>
                <w:szCs w:val="22"/>
              </w:rPr>
              <w:t>2</w:t>
            </w:r>
          </w:p>
        </w:tc>
        <w:tc>
          <w:tcPr>
            <w:tcW w:w="1000" w:type="dxa"/>
            <w:vAlign w:val="center"/>
          </w:tcPr>
          <w:p w14:paraId="1FA18E07" w14:textId="77777777" w:rsidR="00595B92" w:rsidRDefault="00B661BF">
            <w:pPr>
              <w:jc w:val="center"/>
            </w:pPr>
            <w:r>
              <w:rPr>
                <w:b/>
                <w:bCs/>
                <w:color w:val="C0392B"/>
                <w:sz w:val="22"/>
                <w:szCs w:val="22"/>
              </w:rPr>
              <w:t>1</w:t>
            </w:r>
          </w:p>
        </w:tc>
        <w:tc>
          <w:tcPr>
            <w:tcW w:w="4606" w:type="dxa"/>
            <w:vAlign w:val="center"/>
          </w:tcPr>
          <w:p w14:paraId="13D25E6A" w14:textId="77777777" w:rsidR="00595B92" w:rsidRDefault="00B661BF">
            <w:r>
              <w:rPr>
                <w:sz w:val="15"/>
                <w:szCs w:val="15"/>
              </w:rPr>
              <w:t>Tout le texte (titres, paragraphes, liens) a la même taille 11px et le même gris #888 sur fond blanc : rien ne dépasse, rien ne guide l'œil.</w:t>
            </w:r>
          </w:p>
        </w:tc>
      </w:tr>
      <w:tr w:rsidR="00595B92" w14:paraId="4205C25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14:paraId="35051B8E" w14:textId="1DFCBFD3" w:rsidR="00595B92" w:rsidRDefault="00B661BF">
            <w:r>
              <w:rPr>
                <w:b/>
                <w:bCs/>
                <w:sz w:val="15"/>
                <w:szCs w:val="15"/>
              </w:rPr>
              <w:t xml:space="preserve">02 </w:t>
            </w:r>
            <w:r w:rsidR="00282DEF">
              <w:rPr>
                <w:b/>
                <w:bCs/>
                <w:sz w:val="15"/>
                <w:szCs w:val="15"/>
              </w:rPr>
              <w:t xml:space="preserve">- </w:t>
            </w:r>
            <w:r>
              <w:rPr>
                <w:b/>
                <w:bCs/>
                <w:sz w:val="15"/>
                <w:szCs w:val="15"/>
              </w:rPr>
              <w:t>Labyrinthe</w:t>
            </w:r>
          </w:p>
        </w:tc>
        <w:tc>
          <w:tcPr>
            <w:tcW w:w="900" w:type="dxa"/>
            <w:vAlign w:val="center"/>
          </w:tcPr>
          <w:p w14:paraId="1FFEE869" w14:textId="77777777" w:rsidR="00595B92" w:rsidRDefault="00B661BF">
            <w:pPr>
              <w:jc w:val="center"/>
            </w:pPr>
            <w:r>
              <w:rPr>
                <w:b/>
                <w:bCs/>
                <w:color w:val="F1C40F"/>
                <w:sz w:val="22"/>
                <w:szCs w:val="22"/>
              </w:rPr>
              <w:t>3</w:t>
            </w:r>
          </w:p>
        </w:tc>
        <w:tc>
          <w:tcPr>
            <w:tcW w:w="900" w:type="dxa"/>
            <w:vAlign w:val="center"/>
          </w:tcPr>
          <w:p w14:paraId="1126C51C" w14:textId="77777777" w:rsidR="00595B92" w:rsidRDefault="00B661BF">
            <w:pPr>
              <w:jc w:val="center"/>
            </w:pPr>
            <w:r>
              <w:rPr>
                <w:b/>
                <w:bCs/>
                <w:color w:val="C0392B"/>
                <w:sz w:val="22"/>
                <w:szCs w:val="22"/>
              </w:rPr>
              <w:t>1</w:t>
            </w:r>
          </w:p>
        </w:tc>
        <w:tc>
          <w:tcPr>
            <w:tcW w:w="900" w:type="dxa"/>
            <w:vAlign w:val="center"/>
          </w:tcPr>
          <w:p w14:paraId="17648928" w14:textId="77777777" w:rsidR="00595B92" w:rsidRDefault="00B661BF">
            <w:pPr>
              <w:jc w:val="center"/>
            </w:pPr>
            <w:r>
              <w:rPr>
                <w:b/>
                <w:bCs/>
                <w:color w:val="E67E22"/>
                <w:sz w:val="22"/>
                <w:szCs w:val="22"/>
              </w:rPr>
              <w:t>2</w:t>
            </w:r>
          </w:p>
        </w:tc>
        <w:tc>
          <w:tcPr>
            <w:tcW w:w="900" w:type="dxa"/>
            <w:vAlign w:val="center"/>
          </w:tcPr>
          <w:p w14:paraId="06EE9009" w14:textId="77777777" w:rsidR="00595B92" w:rsidRDefault="00B661BF">
            <w:pPr>
              <w:jc w:val="center"/>
            </w:pPr>
            <w:r>
              <w:rPr>
                <w:b/>
                <w:bCs/>
                <w:color w:val="C0392B"/>
                <w:sz w:val="22"/>
                <w:szCs w:val="22"/>
              </w:rPr>
              <w:t>1</w:t>
            </w:r>
          </w:p>
        </w:tc>
        <w:tc>
          <w:tcPr>
            <w:tcW w:w="1000" w:type="dxa"/>
            <w:vAlign w:val="center"/>
          </w:tcPr>
          <w:p w14:paraId="09186E35" w14:textId="77777777" w:rsidR="00595B92" w:rsidRDefault="00B661BF">
            <w:pPr>
              <w:jc w:val="center"/>
            </w:pPr>
            <w:r>
              <w:rPr>
                <w:b/>
                <w:bCs/>
                <w:color w:val="E67E22"/>
                <w:sz w:val="22"/>
                <w:szCs w:val="22"/>
              </w:rPr>
              <w:t>2</w:t>
            </w:r>
          </w:p>
        </w:tc>
        <w:tc>
          <w:tcPr>
            <w:tcW w:w="4606" w:type="dxa"/>
            <w:vAlign w:val="center"/>
          </w:tcPr>
          <w:p w14:paraId="09489EEE" w14:textId="77777777" w:rsidR="00595B92" w:rsidRDefault="00B661BF">
            <w:r>
              <w:rPr>
                <w:sz w:val="15"/>
                <w:szCs w:val="15"/>
              </w:rPr>
              <w:t>Les blocs sont placés en position absolue à des endroits arbitraires (70% à gauche, 80px en haut) sans grille ni logique de lecture.</w:t>
            </w:r>
          </w:p>
        </w:tc>
      </w:tr>
      <w:tr w:rsidR="00595B92" w14:paraId="7FCEA49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14:paraId="71FE4293" w14:textId="37531C0D" w:rsidR="00595B92" w:rsidRDefault="00B661BF">
            <w:r>
              <w:rPr>
                <w:b/>
                <w:bCs/>
                <w:sz w:val="15"/>
                <w:szCs w:val="15"/>
              </w:rPr>
              <w:t xml:space="preserve">03 </w:t>
            </w:r>
            <w:r w:rsidR="00282DEF">
              <w:rPr>
                <w:b/>
                <w:bCs/>
                <w:sz w:val="15"/>
                <w:szCs w:val="15"/>
              </w:rPr>
              <w:t>-</w:t>
            </w:r>
            <w:r>
              <w:rPr>
                <w:b/>
                <w:bCs/>
                <w:sz w:val="15"/>
                <w:szCs w:val="15"/>
              </w:rPr>
              <w:t xml:space="preserve"> Silence</w:t>
            </w:r>
          </w:p>
        </w:tc>
        <w:tc>
          <w:tcPr>
            <w:tcW w:w="900" w:type="dxa"/>
            <w:vAlign w:val="center"/>
          </w:tcPr>
          <w:p w14:paraId="424CE49C" w14:textId="77777777" w:rsidR="00595B92" w:rsidRDefault="00B661BF">
            <w:pPr>
              <w:jc w:val="center"/>
            </w:pPr>
            <w:r>
              <w:rPr>
                <w:b/>
                <w:bCs/>
                <w:color w:val="F1C40F"/>
                <w:sz w:val="22"/>
                <w:szCs w:val="22"/>
              </w:rPr>
              <w:t>3</w:t>
            </w:r>
          </w:p>
        </w:tc>
        <w:tc>
          <w:tcPr>
            <w:tcW w:w="900" w:type="dxa"/>
            <w:vAlign w:val="center"/>
          </w:tcPr>
          <w:p w14:paraId="1AEAFB08" w14:textId="77777777" w:rsidR="00595B92" w:rsidRDefault="00B661BF">
            <w:pPr>
              <w:jc w:val="center"/>
            </w:pPr>
            <w:r>
              <w:rPr>
                <w:b/>
                <w:bCs/>
                <w:color w:val="E67E22"/>
                <w:sz w:val="22"/>
                <w:szCs w:val="22"/>
              </w:rPr>
              <w:t>2</w:t>
            </w:r>
          </w:p>
        </w:tc>
        <w:tc>
          <w:tcPr>
            <w:tcW w:w="900" w:type="dxa"/>
            <w:vAlign w:val="center"/>
          </w:tcPr>
          <w:p w14:paraId="43AD2AE3" w14:textId="77777777" w:rsidR="00595B92" w:rsidRDefault="00B661BF">
            <w:pPr>
              <w:jc w:val="center"/>
            </w:pPr>
            <w:r>
              <w:rPr>
                <w:b/>
                <w:bCs/>
                <w:color w:val="C0392B"/>
                <w:sz w:val="22"/>
                <w:szCs w:val="22"/>
              </w:rPr>
              <w:t>1</w:t>
            </w:r>
          </w:p>
        </w:tc>
        <w:tc>
          <w:tcPr>
            <w:tcW w:w="900" w:type="dxa"/>
            <w:vAlign w:val="center"/>
          </w:tcPr>
          <w:p w14:paraId="65531D28" w14:textId="77777777" w:rsidR="00595B92" w:rsidRDefault="00B661BF">
            <w:pPr>
              <w:jc w:val="center"/>
            </w:pPr>
            <w:r>
              <w:rPr>
                <w:b/>
                <w:bCs/>
                <w:color w:val="E67E22"/>
                <w:sz w:val="22"/>
                <w:szCs w:val="22"/>
              </w:rPr>
              <w:t>2</w:t>
            </w:r>
          </w:p>
        </w:tc>
        <w:tc>
          <w:tcPr>
            <w:tcW w:w="1000" w:type="dxa"/>
            <w:vAlign w:val="center"/>
          </w:tcPr>
          <w:p w14:paraId="40926771" w14:textId="77777777" w:rsidR="00595B92" w:rsidRDefault="00B661BF">
            <w:pPr>
              <w:jc w:val="center"/>
            </w:pPr>
            <w:r>
              <w:rPr>
                <w:b/>
                <w:bCs/>
                <w:color w:val="C0392B"/>
                <w:sz w:val="22"/>
                <w:szCs w:val="22"/>
              </w:rPr>
              <w:t>1</w:t>
            </w:r>
          </w:p>
        </w:tc>
        <w:tc>
          <w:tcPr>
            <w:tcW w:w="4606" w:type="dxa"/>
            <w:vAlign w:val="center"/>
          </w:tcPr>
          <w:p w14:paraId="4B9720B5" w14:textId="77777777" w:rsidR="00595B92" w:rsidRDefault="00B661BF">
            <w:r>
              <w:rPr>
                <w:sz w:val="15"/>
                <w:szCs w:val="15"/>
              </w:rPr>
              <w:t>Le bouton "ok" ne fait littéralement rien au clic et son texte est écrit dans la même couleur que son fond (#ddd sur #ddd), donc invisible.</w:t>
            </w:r>
          </w:p>
        </w:tc>
      </w:tr>
      <w:tr w:rsidR="00595B92" w14:paraId="66D9315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14:paraId="358DBAE1" w14:textId="166EF12E" w:rsidR="00595B92" w:rsidRDefault="00B661BF">
            <w:r>
              <w:rPr>
                <w:b/>
                <w:bCs/>
                <w:sz w:val="15"/>
                <w:szCs w:val="15"/>
              </w:rPr>
              <w:t xml:space="preserve">04 </w:t>
            </w:r>
            <w:r w:rsidR="00282DEF">
              <w:rPr>
                <w:b/>
                <w:bCs/>
                <w:sz w:val="15"/>
                <w:szCs w:val="15"/>
              </w:rPr>
              <w:t xml:space="preserve">- </w:t>
            </w:r>
            <w:r>
              <w:rPr>
                <w:b/>
                <w:bCs/>
                <w:sz w:val="15"/>
                <w:szCs w:val="15"/>
              </w:rPr>
              <w:t>Carnaval</w:t>
            </w:r>
          </w:p>
        </w:tc>
        <w:tc>
          <w:tcPr>
            <w:tcW w:w="900" w:type="dxa"/>
            <w:vAlign w:val="center"/>
          </w:tcPr>
          <w:p w14:paraId="19472B39" w14:textId="77777777" w:rsidR="00595B92" w:rsidRDefault="00B661BF">
            <w:pPr>
              <w:jc w:val="center"/>
            </w:pPr>
            <w:r>
              <w:rPr>
                <w:b/>
                <w:bCs/>
                <w:color w:val="C0392B"/>
                <w:sz w:val="22"/>
                <w:szCs w:val="22"/>
              </w:rPr>
              <w:t>1</w:t>
            </w:r>
          </w:p>
        </w:tc>
        <w:tc>
          <w:tcPr>
            <w:tcW w:w="900" w:type="dxa"/>
            <w:vAlign w:val="center"/>
          </w:tcPr>
          <w:p w14:paraId="5A51E93F" w14:textId="77777777" w:rsidR="00595B92" w:rsidRDefault="00B661BF">
            <w:pPr>
              <w:jc w:val="center"/>
            </w:pPr>
            <w:r>
              <w:rPr>
                <w:b/>
                <w:bCs/>
                <w:color w:val="E67E22"/>
                <w:sz w:val="22"/>
                <w:szCs w:val="22"/>
              </w:rPr>
              <w:t>2</w:t>
            </w:r>
          </w:p>
        </w:tc>
        <w:tc>
          <w:tcPr>
            <w:tcW w:w="900" w:type="dxa"/>
            <w:vAlign w:val="center"/>
          </w:tcPr>
          <w:p w14:paraId="136DF0ED" w14:textId="77777777" w:rsidR="00595B92" w:rsidRDefault="00B661BF">
            <w:pPr>
              <w:jc w:val="center"/>
            </w:pPr>
            <w:r>
              <w:rPr>
                <w:b/>
                <w:bCs/>
                <w:color w:val="E67E22"/>
                <w:sz w:val="22"/>
                <w:szCs w:val="22"/>
              </w:rPr>
              <w:t>2</w:t>
            </w:r>
          </w:p>
        </w:tc>
        <w:tc>
          <w:tcPr>
            <w:tcW w:w="900" w:type="dxa"/>
            <w:vAlign w:val="center"/>
          </w:tcPr>
          <w:p w14:paraId="7BC0822B" w14:textId="77777777" w:rsidR="00595B92" w:rsidRDefault="00B661BF">
            <w:pPr>
              <w:jc w:val="center"/>
            </w:pPr>
            <w:r>
              <w:rPr>
                <w:b/>
                <w:bCs/>
                <w:color w:val="C0392B"/>
                <w:sz w:val="22"/>
                <w:szCs w:val="22"/>
              </w:rPr>
              <w:t>1</w:t>
            </w:r>
          </w:p>
        </w:tc>
        <w:tc>
          <w:tcPr>
            <w:tcW w:w="1000" w:type="dxa"/>
            <w:vAlign w:val="center"/>
          </w:tcPr>
          <w:p w14:paraId="234EB62A" w14:textId="77777777" w:rsidR="00595B92" w:rsidRDefault="00B661BF">
            <w:pPr>
              <w:jc w:val="center"/>
            </w:pPr>
            <w:r>
              <w:rPr>
                <w:b/>
                <w:bCs/>
                <w:color w:val="C0392B"/>
                <w:sz w:val="22"/>
                <w:szCs w:val="22"/>
              </w:rPr>
              <w:t>1</w:t>
            </w:r>
          </w:p>
        </w:tc>
        <w:tc>
          <w:tcPr>
            <w:tcW w:w="4606" w:type="dxa"/>
            <w:vAlign w:val="center"/>
          </w:tcPr>
          <w:p w14:paraId="1DAF3D8E" w14:textId="77777777" w:rsidR="00595B92" w:rsidRDefault="00B661BF">
            <w:r>
              <w:rPr>
                <w:sz w:val="15"/>
                <w:szCs w:val="15"/>
              </w:rPr>
              <w:t>Chaque élément utilise une police différente (</w:t>
            </w:r>
            <w:proofErr w:type="spellStart"/>
            <w:r>
              <w:rPr>
                <w:sz w:val="15"/>
                <w:szCs w:val="15"/>
              </w:rPr>
              <w:t>Comic</w:t>
            </w:r>
            <w:proofErr w:type="spellEnd"/>
            <w:r>
              <w:rPr>
                <w:sz w:val="15"/>
                <w:szCs w:val="15"/>
              </w:rPr>
              <w:t xml:space="preserve"> Sans, Impact, Georgia, Courier) sur fond jaune vif, et seule la couleur distingue les prix promo des prix normaux.</w:t>
            </w:r>
          </w:p>
        </w:tc>
      </w:tr>
    </w:tbl>
    <w:p w14:paraId="35461498" w14:textId="77777777" w:rsidR="00595B92" w:rsidRDefault="00595B92">
      <w:pPr>
        <w:spacing w:before="300"/>
      </w:pPr>
    </w:p>
    <w:p w14:paraId="5C90E415" w14:textId="77777777" w:rsidR="00595B92" w:rsidRDefault="00B661BF">
      <w:pPr>
        <w:pStyle w:val="Titre2"/>
      </w:pPr>
      <w:r>
        <w:t>La pire, pour la présentation</w:t>
      </w:r>
    </w:p>
    <w:p w14:paraId="6CA79E40" w14:textId="77777777" w:rsidR="00C715AA" w:rsidRDefault="00C715AA">
      <w:pPr>
        <w:pStyle w:val="Titre2"/>
      </w:pPr>
    </w:p>
    <w:p w14:paraId="3D8AE3CE" w14:textId="77777777" w:rsidR="00595B92" w:rsidRPr="00C715AA" w:rsidRDefault="00B661BF">
      <w:pPr>
        <w:spacing w:after="100"/>
      </w:pPr>
      <w:r w:rsidRPr="00C715AA">
        <w:t xml:space="preserve">Capture n° 04 (Carnaval) </w:t>
      </w:r>
      <w:r w:rsidRPr="00C715AA">
        <w:t>parce que c'est celle qui se comprend le plus vite pour un public : le mélange de polices, le fond jaune fluo et les couleurs criardes sautent aux yeux en 2 secondes, sans avoir besoin d'expliquer le contexte.</w:t>
      </w:r>
    </w:p>
    <w:p w14:paraId="14521813" w14:textId="77777777" w:rsidR="00595B92" w:rsidRPr="00C715AA" w:rsidRDefault="00B661BF">
      <w:r w:rsidRPr="00C715AA">
        <w:t xml:space="preserve">À noter pour la présentation : </w:t>
      </w:r>
      <w:r w:rsidRPr="00C715AA">
        <w:rPr>
          <w:i/>
          <w:iCs/>
        </w:rPr>
        <w:t>la capture 03 (Silence) est la plus vicieuse — le bouton qui ne répond pas et le texte invisible sont des problèmes qu'on ne voit qu'en interagissant, donc plus difficiles à "vendre" visuellement mais très forts à l'oral.</w:t>
      </w:r>
    </w:p>
    <w:sectPr w:rsidR="00595B92" w:rsidRPr="00C715AA">
      <w:pgSz w:w="11906" w:h="16838"/>
      <w:pgMar w:top="600" w:right="600" w:bottom="600" w:left="6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0E0471"/>
    <w:multiLevelType w:val="hybridMultilevel"/>
    <w:tmpl w:val="F902499E"/>
    <w:lvl w:ilvl="0" w:tplc="878A5662">
      <w:start w:val="1"/>
      <w:numFmt w:val="bullet"/>
      <w:lvlText w:val="●"/>
      <w:lvlJc w:val="left"/>
      <w:pPr>
        <w:ind w:left="720" w:hanging="360"/>
      </w:pPr>
    </w:lvl>
    <w:lvl w:ilvl="1" w:tplc="69BE3B64">
      <w:start w:val="1"/>
      <w:numFmt w:val="bullet"/>
      <w:lvlText w:val="○"/>
      <w:lvlJc w:val="left"/>
      <w:pPr>
        <w:ind w:left="1440" w:hanging="360"/>
      </w:pPr>
    </w:lvl>
    <w:lvl w:ilvl="2" w:tplc="C728C734">
      <w:start w:val="1"/>
      <w:numFmt w:val="bullet"/>
      <w:lvlText w:val="■"/>
      <w:lvlJc w:val="left"/>
      <w:pPr>
        <w:ind w:left="2160" w:hanging="360"/>
      </w:pPr>
    </w:lvl>
    <w:lvl w:ilvl="3" w:tplc="CC36B73A">
      <w:start w:val="1"/>
      <w:numFmt w:val="bullet"/>
      <w:lvlText w:val="●"/>
      <w:lvlJc w:val="left"/>
      <w:pPr>
        <w:ind w:left="2880" w:hanging="360"/>
      </w:pPr>
    </w:lvl>
    <w:lvl w:ilvl="4" w:tplc="B5562866">
      <w:start w:val="1"/>
      <w:numFmt w:val="bullet"/>
      <w:lvlText w:val="○"/>
      <w:lvlJc w:val="left"/>
      <w:pPr>
        <w:ind w:left="3600" w:hanging="360"/>
      </w:pPr>
    </w:lvl>
    <w:lvl w:ilvl="5" w:tplc="3802120A">
      <w:start w:val="1"/>
      <w:numFmt w:val="bullet"/>
      <w:lvlText w:val="■"/>
      <w:lvlJc w:val="left"/>
      <w:pPr>
        <w:ind w:left="4320" w:hanging="360"/>
      </w:pPr>
    </w:lvl>
    <w:lvl w:ilvl="6" w:tplc="63F4E904">
      <w:start w:val="1"/>
      <w:numFmt w:val="bullet"/>
      <w:lvlText w:val="●"/>
      <w:lvlJc w:val="left"/>
      <w:pPr>
        <w:ind w:left="5040" w:hanging="360"/>
      </w:pPr>
    </w:lvl>
    <w:lvl w:ilvl="7" w:tplc="E1E0D076">
      <w:start w:val="1"/>
      <w:numFmt w:val="bullet"/>
      <w:lvlText w:val="●"/>
      <w:lvlJc w:val="left"/>
      <w:pPr>
        <w:ind w:left="5760" w:hanging="360"/>
      </w:pPr>
    </w:lvl>
    <w:lvl w:ilvl="8" w:tplc="D8CC9398">
      <w:start w:val="1"/>
      <w:numFmt w:val="bullet"/>
      <w:lvlText w:val="●"/>
      <w:lvlJc w:val="left"/>
      <w:pPr>
        <w:ind w:left="6480" w:hanging="360"/>
      </w:pPr>
    </w:lvl>
  </w:abstractNum>
  <w:num w:numId="1" w16cid:durableId="19097250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B92"/>
    <w:rsid w:val="00282DEF"/>
    <w:rsid w:val="00595B92"/>
    <w:rsid w:val="007F742A"/>
    <w:rsid w:val="00B151EA"/>
    <w:rsid w:val="00B661BF"/>
    <w:rsid w:val="00C71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ECF7D"/>
  <w15:docId w15:val="{A12A6AE2-260E-45EB-8523-B853CA21E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Lorenzo Di Bennardo</cp:lastModifiedBy>
  <cp:revision>2</cp:revision>
  <dcterms:created xsi:type="dcterms:W3CDTF">2026-09-25T08:36:00Z</dcterms:created>
  <dcterms:modified xsi:type="dcterms:W3CDTF">2026-09-25T08:36:00Z</dcterms:modified>
</cp:coreProperties>
</file>