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b/>
          <w:bCs/>
          <w:sz w:val="44"/>
          <w:szCs w:val="44"/>
        </w:rPr>
        <w:t xml:space="preserve">Project Status Document</w:t>
      </w:r>
    </w:p>
    <w:p>
      <w:pPr>
        <w:spacing w:after="80"/>
        <w:jc w:val="left"/>
      </w:pPr>
      <w:r>
        <w:rPr>
          <w:b/>
          <w:bCs/>
          <w:sz w:val="30"/>
          <w:szCs w:val="30"/>
        </w:rPr>
        <w:t xml:space="preserve">Robust DRL for BESS Multi-Service Scheduling on the Italian Electricity Market</w:t>
      </w:r>
    </w:p>
    <w:p>
      <w:pPr>
        <w:spacing w:after="360"/>
        <w:jc w:val="left"/>
      </w:pPr>
      <w:r>
        <w:rPr>
          <w:i/>
          <w:iCs/>
          <w:color w:val="595959"/>
          <w:sz w:val="24"/>
          <w:szCs w:val="24"/>
        </w:rPr>
        <w:t xml:space="preserve">Current state of the codebase and the planned paper</w:t>
      </w:r>
    </w:p>
    <w:p>
      <w:pPr>
        <w:pStyle w:val="Heading1"/>
        <w:spacing w:after="200" w:before="360"/>
      </w:pPr>
      <w:r>
        <w:rPr>
          <w:b/>
          <w:bCs/>
        </w:rPr>
        <w:t xml:space="preserve">1. Introduction and motivation</w:t>
      </w:r>
    </w:p>
    <w:p>
      <w:pPr>
        <w:spacing w:after="160" w:line="300"/>
        <w:jc w:val="both"/>
      </w:pPr>
      <w:r>
        <w:t xml:space="preserve">This document describes the current state of the BESS (Battery Energy Storage System) optimization project that compares a model-based MILP optimizer against a learned PPO (Proximal Policy Optimization) deep reinforcement learning agent on the Italian electricity market. It is meant as a self-contained reference: a reader who has never seen the codebase should be able to understand what problem is being solved, which algorithms are being compared, what has been built so far, how to run the pipeline, what the planned paper will claim, and what remains to be done before submission. It is written in narrative style rather than as a list of features.</w:t>
      </w:r>
    </w:p>
    <w:p>
      <w:pPr>
        <w:spacing w:after="160" w:line="300"/>
        <w:jc w:val="both"/>
      </w:pPr>
      <w:r>
        <w:t xml:space="preserve">The work has two intertwined goals. The first is engineering: build a fair, reproducible, and methodologically sound comparison between the two paradigms, on real Italian price data and under empirically calibrated forecast errors. The second is scientific: produce a publishable paper that documents the gap between MILP and PPO, characterises how that gap widens under distribution shift (a different market regime than the one the agent was trained on), and demonstrates a technique (behavioural cloning warm-start) that substantially closes the gap. The paper is currently targeted at Applied Energy or a similar Q1 energy systems journal.</w:t>
      </w:r>
    </w:p>
    <w:p>
      <w:pPr>
        <w:spacing w:after="160" w:line="300"/>
        <w:jc w:val="both"/>
      </w:pPr>
      <w:r>
        <w:t xml:space="preserve">Four blocks of work have already been completed. Block 1 calibrated four families of forecast-error distributions on the empirical residuals between the day-ahead market (PUN MGP) and the intraday market (MI-A1) across 2022 to 2024. Block 2 plumbed the calibrated parameters into the PPO environment and the MILP forecast generator so that the optimisers see realistic noise rather than the legacy uniform U(-0.15, 0.15) hardcoded earlier. Block 3 ported the entire pipeline from synthetic sinusoidal prices to real PUN MGP prices loaded from GME XLSX files. Block 4 closed an open methodological gap by enforcing the ARERA minimum-capacity rule of 1 MW per flexibility service inside the MILP via a big-M formulation. After these four blocks, the pipeline is ready to produce paper-quality runs on real Italian data; the remaining work is the experimental campaign and the behavioural-cloning extension that is the main scientific contribution.</w:t>
      </w:r>
    </w:p>
    <w:p>
      <w:pPr>
        <w:pStyle w:val="Heading1"/>
        <w:spacing w:after="200" w:before="360"/>
      </w:pPr>
      <w:r>
        <w:rPr>
          <w:b/>
          <w:bCs/>
        </w:rPr>
        <w:t xml:space="preserve">2. The BESS multi-service optimization problem</w:t>
      </w:r>
    </w:p>
    <w:p>
      <w:pPr>
        <w:spacing w:after="160" w:line="300"/>
        <w:jc w:val="both"/>
      </w:pPr>
      <w:r>
        <w:t xml:space="preserve">The problem solved by the code is the operational scheduling of a grid-connected battery storage system in the Italian electricity market. The asset has two intertwined revenue streams, and the operator must decide hourly how to allocate the battery between them under uncertainty about future prices. Energy arbitrage on the PUN day-ahead market involves charging when the clearing price is low and discharging when it is high, earning the price spread minus a degradation cost. Flexibility services involve reserving capacity to one of the three ARERA-regulated balancing markets (FCR primary reserve with response under 30 seconds, aFRR secondary reserve under 200 seconds, mFRR tertiary reserve under 15 minutes) and being paid a guaranteed capacity fee in EUR/MW/h plus a probabilistic energy fee in EUR/MWh whenever Terna activates the service to balance the grid.</w:t>
      </w:r>
    </w:p>
    <w:p>
      <w:pPr>
        <w:spacing w:after="160" w:line="300"/>
        <w:jc w:val="both"/>
      </w:pPr>
      <w:r>
        <w:t xml:space="preserve">The two streams compete for the same physical asset. Power reserved for FCR cannot be sold on the day-ahead market, and the state of charge must remain in a window that is symmetric enough to allow bidirectional response (especially for FCR, which requires both ramp-up and ramp-down capability). Cycling the battery for either purpose contributes to capacity fade, which has an economic cost amortised over the cell lifetime. The optimization problem is therefore to choose, for each hour, the charge or discharge level and the reservation level for each of the three flexibility services, in such a way that total discounted profit over a horizon (typically 24 hours of look-ahead) is maximised. The decision is made under uncertainty: the operator has a forecast of the day-ahead price, not the realised price.</w:t>
      </w:r>
    </w:p>
    <w:p>
      <w:pPr>
        <w:spacing w:after="160" w:line="300"/>
        <w:jc w:val="both"/>
      </w:pPr>
      <w:r>
        <w:t xml:space="preserve">The asset is a 4 MWh, 2 MW battery (C/2 nominal), round-trip efficiency 95%, state of charge operating window between 10% and 90% of nameplate capacity. The amortised marginal degradation cost is set at 25,000 EUR per MWh of replacement capacity, divided by twice the equivalent full cycle life of 6,000, giving roughly 2.08 EUR per MWh of throughput. These are realistic values for an LFP commercial system. The numerical scale matters because it determines whether the optimizer finds arbitrage spreads worth pursuing: at typical Italian PUN day-night spreads of 30 to 80 EUR per MWh, the degradation cost is roughly 3 to 10% of the spread, low enough that arbitrage is profitable on most days.</w:t>
      </w:r>
    </w:p>
    <w:p>
      <w:pPr>
        <w:pStyle w:val="Heading1"/>
        <w:spacing w:after="200" w:before="360"/>
      </w:pPr>
      <w:r>
        <w:rPr>
          <w:b/>
          <w:bCs/>
        </w:rPr>
        <w:t xml:space="preserve">3. The two algorithms compared</w:t>
      </w:r>
    </w:p>
    <w:p>
      <w:pPr>
        <w:pStyle w:val="Heading2"/>
        <w:spacing w:after="160" w:before="280"/>
      </w:pPr>
      <w:r>
        <w:rPr>
          <w:b/>
          <w:bCs/>
        </w:rPr>
        <w:t xml:space="preserve">3.1 MILP optimiser</w:t>
      </w:r>
    </w:p>
    <w:p>
      <w:pPr>
        <w:spacing w:after="160" w:line="300"/>
        <w:jc w:val="both"/>
      </w:pPr>
      <w:r>
        <w:t xml:space="preserve">The first approach is a Mixed-Integer Linear Programming optimiser implemented in PuLP and solved with CBC. Given the price forecast and the available flexibility service tariffs for each of the next 24 hours, the MILP formulates a problem with continuous variables for the charge power, the discharge power, the state of charge, the reservation level for each of the three services, and the activation energy for each of the three services. Binary variables enforce the mutual exclusion between charging and discharging (the battery cannot do both in the same hour) and the ARERA minimum-capacity rule for each service. The constraints encode the dynamics of the state of charge, the total power balance, the reserve requirements imposed by the symmetric capability constraint of FCR, and the operating window. The objective is linear and maximises the sum over the 24-hour window of arbitrage profit plus expected flexibility revenue minus expected degradation cost.</w:t>
      </w:r>
    </w:p>
    <w:p>
      <w:pPr>
        <w:spacing w:after="160" w:line="300"/>
        <w:jc w:val="both"/>
      </w:pPr>
      <w:r>
        <w:t xml:space="preserve">Within the simulation, the MILP is run once per day on a 24-hour rolling horizon. The forecast prices it receives are the true day-ahead prices perturbed by a forecast error sampled from a configurable distribution (Block 1 made these distributions empirically calibrated). The realised profit is computed against the unperturbed true prices, so the MILP is penalised when it commits to a wrong allocation because its forecast was off. The MILP represents the theoretical upper bound of achievable profit under perfect rational planning within the look-ahead horizon, modulo the forecast noise.</w:t>
      </w:r>
    </w:p>
    <w:p>
      <w:pPr>
        <w:pStyle w:val="Heading2"/>
        <w:spacing w:after="160" w:before="280"/>
      </w:pPr>
      <w:r>
        <w:rPr>
          <w:b/>
          <w:bCs/>
        </w:rPr>
        <w:t xml:space="preserve">3.2 PPO agent</w:t>
      </w:r>
    </w:p>
    <w:p>
      <w:pPr>
        <w:spacing w:after="160" w:line="300"/>
        <w:jc w:val="both"/>
      </w:pPr>
      <w:r>
        <w:t xml:space="preserve">The second approach is a PPO deep reinforcement learning agent trained with the stable-baselines3 library on a Gymnasium environment. The environment exposes a 35-dimensional observation containing the current state of charge, the forecast prices for the next 24 hours, the current realised price, and nine flexibility features that encode availability, capacity price, and energy price for each of the three services. The action space is discrete with 31 levels: 21 arbitrage levels uniformly spaced between minus 2 MW (full discharge) and plus 2 MW (full charge), 4 FCR reservation levels (0%, 25%, 50%, 75% of nameplate power), 3 aFRR levels (0%, 50%, 100%), and 3 mFRR levels.</w:t>
      </w:r>
    </w:p>
    <w:p>
      <w:pPr>
        <w:spacing w:after="160" w:line="300"/>
        <w:jc w:val="both"/>
      </w:pPr>
      <w:r>
        <w:t xml:space="preserve">The agent is pretrained for one million timesteps on a window of historical prices ending immediately before the evaluation period. During the annual evaluation, the agent is fine-tuned every 30 days with an additional 200,000 timesteps on the most recent 60 days of data, simulating a realistic operational deployment in which the agent is continuously exposed to non-stationarity. At evaluation time, the agent acts deterministically. Each forward pass through the policy network produces an action in milliseconds rather than the seconds required by the MILP solver, which is a major operational advantage even when the agent is slightly suboptimal compared to the MILP. The research question of the paper is therefore: how much profit does the PPO leave on the table relative to MILP, under realistic forecasting conditions, and how does that gap behave when the market regime shifts?</w:t>
      </w:r>
    </w:p>
    <w:p>
      <w:pPr>
        <w:pStyle w:val="Heading2"/>
        <w:spacing w:after="160" w:before="280"/>
      </w:pPr>
      <w:r>
        <w:rPr>
          <w:b/>
          <w:bCs/>
        </w:rPr>
        <w:t xml:space="preserve">3.3 The fair comparison setup</w:t>
      </w:r>
    </w:p>
    <w:p>
      <w:pPr>
        <w:spacing w:after="160" w:line="300"/>
        <w:jc w:val="both"/>
      </w:pPr>
      <w:r>
        <w:t xml:space="preserve">The fairness of the comparison rests on three principles. First, both optimisers see the exact same price sequence, the exact same flexibility service catalogue per hour, and the exact same realisation of forecast errors per hour. Second, both use the same battery parameters and the same degradation cost formula, so the marginal cost of cycling is identical. Third, the reward function exposed to PPO during evaluation is exactly the economic net profit, with no shaping terms, so the comparison is on the underlying economic metric rather than on a proxy. During training, PPO is allowed to use an intrinsic shaping signal to teach price sensitivity faster, but this signal is removed at evaluation. The pipeline includes diagnostic logging to verify that the realised reward equals the realised profit at evaluation.</w:t>
      </w:r>
    </w:p>
    <w:p>
      <w:pPr>
        <w:pStyle w:val="Heading1"/>
        <w:spacing w:after="200" w:before="360"/>
      </w:pPr>
      <w:r>
        <w:rPr>
          <w:b/>
          <w:bCs/>
        </w:rPr>
        <w:t xml:space="preserve">4. The starting point: three bugs that invalidated the original comparison</w:t>
      </w:r>
    </w:p>
    <w:p>
      <w:pPr>
        <w:spacing w:after="160" w:line="300"/>
        <w:jc w:val="both"/>
      </w:pPr>
      <w:r>
        <w:t xml:space="preserve">A code review in May 2026 identified three bugs in the version of the codebase that had been used in earlier results. The first was a sign convention error in the arbitrage profit formula inside both PPO environments. The convention in Battery.step() is that positive action means charging and the returned energy is positive (energy injected into the battery), so the profit of arbitrage should be the negative of energy times price (positive energy means a cost). The original code had the sign flipped, which meant the agent was being trained to lose money on every cycle: it was learning to charge at high prices and discharge at low ones. Fixing this was as small as changing one minus sign per environment, but the change made earlier PPO results uncomparable to corrected ones.</w:t>
      </w:r>
    </w:p>
    <w:p>
      <w:pPr>
        <w:spacing w:after="160" w:line="300"/>
        <w:jc w:val="both"/>
      </w:pPr>
      <w:r>
        <w:t xml:space="preserve">The second bug was an asymmetric degradation cost between MILP and PPO. The PPO environment computed the cost as the throughput in MWh multiplied by 25,000 EUR per MWh divided by twice the cycle life of 6,000, giving 2.08 EUR per MWh. The MILP, on the other hand, multiplied the throughput by 25,000 EUR per MWh directly, without the cycle-life amortisation. The MILP was therefore penalising battery use 12,000 times more heavily than the PPO. Fixing this required adding a cycle_life field to BatteryParameters and writing the MILP cost as throughput times degradation_cost_per_mwh divided by twice the cycle life, matching the PPO formula. After the fix, the MILP uses the battery aggressively as it should.</w:t>
      </w:r>
    </w:p>
    <w:p>
      <w:pPr>
        <w:spacing w:after="160" w:line="300"/>
        <w:jc w:val="both"/>
      </w:pPr>
      <w:r>
        <w:t xml:space="preserve">The third bug was in a separate comparison framework called ComparisonEngine, where what was labelled as PPO was in fact a hand-coded greedy heuristic that thresholded the current price against a moving average. Worse, the action indices in the heuristic were flipped relative to their comments, so even the greedy fallback was buying high and selling low. The fix was to accept an optional ppo_model_path argument in ComparisonEngine and, when provided, load the actual stable-baselines3 PPO model and use its predictions. The greedy fallback was kept as an explicit non-PPO baseline with the action indices corrected. The main pipeline used in the paper does not go through ComparisonEngine, but the fix was needed for any downstream scripts that did.</w:t>
      </w:r>
    </w:p>
    <w:p>
      <w:pPr>
        <w:spacing w:after="160" w:line="300"/>
        <w:jc w:val="both"/>
      </w:pPr>
      <w:r>
        <w:t xml:space="preserve">With these three bugs corrected, the comparison measures what it claims to measure: the loss in profit incurred by a learned PPO policy relative to a rolling-horizon MILP, under identical price realisations and identical forecast-error realisations. The four subsequent blocks of work, described in the following sections, build on this corrected baseline.</w:t>
      </w:r>
    </w:p>
    <w:p>
      <w:pPr>
        <w:pStyle w:val="Heading1"/>
        <w:spacing w:after="200" w:before="360"/>
      </w:pPr>
      <w:r>
        <w:rPr>
          <w:b/>
          <w:bCs/>
        </w:rPr>
        <w:t xml:space="preserve">5. Block 1: empirical forecast-error calibration</w:t>
      </w:r>
    </w:p>
    <w:p>
      <w:pPr>
        <w:pStyle w:val="Heading2"/>
        <w:spacing w:after="160" w:before="280"/>
      </w:pPr>
      <w:r>
        <w:rPr>
          <w:b/>
          <w:bCs/>
        </w:rPr>
        <w:t xml:space="preserve">5.1 Why it was needed</w:t>
      </w:r>
    </w:p>
    <w:p>
      <w:pPr>
        <w:spacing w:after="160" w:line="300"/>
        <w:jc w:val="both"/>
      </w:pPr>
      <w:r>
        <w:t xml:space="preserve">The original pipeline used a uniform forecast error U(-0.15, +0.15) applied multiplicatively to each forecast price. This was a convenient placeholder during development but not defensible for publication: real day-ahead forecast errors in liquid electricity markets are leptokurtic (heavy tails), serially correlated (errors at consecutive hours are not independent), and biased (the mean is not zero, especially in stressed market regimes). A paper that benchmarks PPO against MILP under unrealistic forecast errors cannot claim that PPO closes the gap or fails to close it under realistic conditions. Block 1 replaced the placeholder with a four-distribution calibration fit on real Italian market data.</w:t>
      </w:r>
    </w:p>
    <w:p>
      <w:pPr>
        <w:pStyle w:val="Heading2"/>
        <w:spacing w:after="160" w:before="280"/>
      </w:pPr>
      <w:r>
        <w:rPr>
          <w:b/>
          <w:bCs/>
        </w:rPr>
        <w:t xml:space="preserve">5.2 The data</w:t>
      </w:r>
    </w:p>
    <w:p>
      <w:pPr>
        <w:spacing w:after="160" w:line="300"/>
        <w:jc w:val="both"/>
      </w:pPr>
      <w:r>
        <w:t xml:space="preserve">The Italian market publishes three relevant price series in daily XLSX files on the GME and Terna portals. The PUN MGP series is the hourly day-ahead clearing price, which is the actual settlement price for arbitrage. The MI-A1 NAT series is the hourly intraday price for the first intraday auction without zonal constraints. The MSD ex-ante series is the hourly balancing market clearing price for the NORD zone. The dataset assembled covers full calendar years 2022, 2023, and 2024 for PUN MGP and most of the same span for MI-A1 (with one nine-month gap because GME only had the daily-aggregate version available for full 2023), and 2023 to 2024 for MSD NORD.</w:t>
      </w:r>
    </w:p>
    <w:p>
      <w:pPr>
        <w:spacing w:after="160" w:line="300"/>
        <w:jc w:val="both"/>
      </w:pPr>
      <w:r>
        <w:t xml:space="preserve">The forecast error used in the calibration is the relative residual between the MGP and MI prices, defined per hour as (MGP - MI) / MI. This is not literally a forecast error in the sense of a forecasting model output minus the realised value; it is the gap between the day-ahead clearing price and the intraday revision price. The choice is justified because the intraday market embeds the latest information available to market participants about the imminent delivery hour, while the day-ahead clearing reflects the bidding strategy from the previous afternoon. The MGP-vs-MI residual therefore captures the structure of information arrival in the Italian market and provides an empirically grounded proxy for the forecast error a BESS operator faces when committing day-ahead positions.</w:t>
      </w:r>
    </w:p>
    <w:p>
      <w:pPr>
        <w:pStyle w:val="Heading2"/>
        <w:spacing w:after="160" w:before="280"/>
      </w:pPr>
      <w:r>
        <w:rPr>
          <w:b/>
          <w:bCs/>
        </w:rPr>
        <w:t xml:space="preserve">5.3 The regime split</w:t>
      </w:r>
    </w:p>
    <w:p>
      <w:pPr>
        <w:spacing w:after="160" w:line="300"/>
        <w:jc w:val="both"/>
      </w:pPr>
      <w:r>
        <w:t xml:space="preserve">Italian electricity prices in 2022 were dominated by the gas crisis that followed the Russian invasion of Ukraine: the annual mean MGP was 303 EUR per MWh with standard deviation 133 EUR per MWh, more than double the typical pre-crisis level. By 2024 the market had normalised to a mean of 108 EUR per MWh and a standard deviation of 30 EUR per MWh. Pooling residuals across these two regimes would average out the structural differences in forecast-error behaviour. The calibration therefore splits the data into two regimes: gas_crisis_2022 (the calendar year 2022) and normalized_2023_2024 (the two-year span). Fitting the four distributions separately on each regime produces two sets of parameters that are markedly different and meaningful for distribution-shift analysis.</w:t>
      </w:r>
    </w:p>
    <w:p>
      <w:pPr>
        <w:pStyle w:val="Heading2"/>
        <w:spacing w:after="160" w:before="280"/>
      </w:pPr>
      <w:r>
        <w:rPr>
          <w:b/>
          <w:bCs/>
        </w:rPr>
        <w:t xml:space="preserve">5.4 The four distributions fitted</w:t>
      </w:r>
    </w:p>
    <w:p>
      <w:pPr>
        <w:spacing w:after="160" w:line="300"/>
        <w:jc w:val="both"/>
      </w:pPr>
      <w:r>
        <w:t xml:space="preserve">Four parametric families are fitted by maximum likelihood on the residuals of each regime. The uniform U(loc, half_width) is the legacy hardcoded choice with the location and half-width fit to data. The normal N(mu, sigma) has location and scale fit to data. The Ornstein-Uhlenbeck process is a discrete AR(1) with mean reversion parameter theta, long-run mean mu, and innovation volatility sigma, which captures the empirical serial correlation. The fixed-bias is a degenerate distribution equal to the empirical mean and serves as a deterministic-error baseline. In all four cases, the fits are written to a calibrations.json file with one block per regime, plus a calibration_table.csv suitable for direct inclusion in the paper as Table 1.</w:t>
      </w:r>
    </w:p>
    <w:p>
      <w:pPr>
        <w:spacing w:after="160" w:line="300"/>
        <w:jc w:val="left"/>
      </w:pPr>
      <w:r>
        <w:t xml:space="preserve">The fitted parameters are summarised in the following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1"/>
              <w:left w:val="single" w:color="BFBFBF" w:sz="1"/>
              <w:bottom w:val="single" w:color="BFBFBF" w:sz="1"/>
              <w:right w:val="single" w:color="BFBFBF" w:sz="1"/>
            </w:tcBorders>
            <w:shd w:fill="E7E6E6" w:val="clear"/>
            <w:tcMar>
              <w:top w:type="dxa" w:w="80"/>
              <w:left w:type="dxa" w:w="120"/>
              <w:bottom w:type="dxa" w:w="80"/>
              <w:right w:type="dxa" w:w="120"/>
            </w:tcMar>
          </w:tcPr>
          <w:p>
            <w:r>
              <w:rPr>
                <w:b/>
                <w:bCs/>
                <w:sz w:val="20"/>
                <w:szCs w:val="20"/>
              </w:rPr>
              <w:t xml:space="preserve">Statistic</w:t>
            </w:r>
          </w:p>
        </w:tc>
        <w:tc>
          <w:tcPr>
            <w:tcW w:type="dxa" w:w="6240"/>
            <w:tcBorders>
              <w:top w:val="single" w:color="BFBFBF" w:sz="1"/>
              <w:left w:val="single" w:color="BFBFBF" w:sz="1"/>
              <w:bottom w:val="single" w:color="BFBFBF" w:sz="1"/>
              <w:right w:val="single" w:color="BFBFBF" w:sz="1"/>
            </w:tcBorders>
            <w:shd w:fill="E7E6E6" w:val="clear"/>
            <w:tcMar>
              <w:top w:type="dxa" w:w="80"/>
              <w:left w:type="dxa" w:w="120"/>
              <w:bottom w:type="dxa" w:w="80"/>
              <w:right w:type="dxa" w:w="120"/>
            </w:tcMar>
          </w:tcPr>
          <w:p>
            <w:r>
              <w:rPr>
                <w:b/>
                <w:bCs/>
                <w:sz w:val="20"/>
                <w:szCs w:val="20"/>
              </w:rPr>
              <w:t xml:space="preserve">Value</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Empirical statistics, 2022</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n=8,756 hours, mean +0.025, std 0.192, skewness 50.6, kurtosis 3,553, lag-1 autocorrelation 0.591</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Empirical statistics, 2023-2024</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n=10,808 hours, mean +0.006, std 0.104, skewness 14.6, kurtosis 572, lag-1 autocorrelation 0.571</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OU fit, gas_crisis_2022</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theta=0.409, mu=+0.025, sigma=0.155</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OU fit, normalized_2023_2024</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theta=0.429, mu=+0.006, sigma=0.085</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Distribution shift summary</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Standard deviation roughly doubles from 2024 to 2022 (0.10 vs 0.19); bias quadruples (+0.006 vs +0.025); kurtosis rises six-fold (572 vs 3,553)</w:t>
            </w:r>
          </w:p>
        </w:tc>
      </w:tr>
    </w:tbl>
    <w:p>
      <w:pPr>
        <w:spacing w:after="160" w:line="300"/>
        <w:jc w:val="both"/>
      </w:pPr>
      <w:r>
        <w:t xml:space="preserve">Several non-trivial findings emerged from the fit. The Ornstein-Uhlenbeck process is the best fit in both regimes by log-likelihood, beating the normal because it captures the serial correlation that the i.i.d. normal cannot. The uniform fits are grossly inadequate: the empirical kurtosis is two to three orders of magnitude larger than the uniform's maximum kurtosis of 1.8, meaning the legacy U(-0.15, +0.15) placeholder fundamentally mischaracterised the noise structure. No parametric distribution fits the tails of the empirical residuals well, which is typical of financial time series. The distribution shift between 2022 and 2024 is material in every moment (mean, variance, skewness, kurtosis, autocorrelation), which justifies treating the 2022 case as a separate out-of-distribution test rather than a perturbation of the 2024 case.</w:t>
      </w:r>
    </w:p>
    <w:p>
      <w:pPr>
        <w:pStyle w:val="Heading2"/>
        <w:spacing w:after="160" w:before="280"/>
      </w:pPr>
      <w:r>
        <w:rPr>
          <w:b/>
          <w:bCs/>
        </w:rPr>
        <w:t xml:space="preserve">5.5 Block 1 deliverables</w:t>
      </w:r>
    </w:p>
    <w:p>
      <w:pPr>
        <w:spacing w:after="160" w:line="300"/>
        <w:jc w:val="both"/>
      </w:pPr>
      <w:r>
        <w:t xml:space="preserve">Three Python modules implement Block 1. </w:t>
      </w:r>
      <w:r>
        <w:rPr>
          <w:rFonts w:ascii="Consolas" w:cs="Consolas" w:eastAsia="Consolas" w:hAnsi="Consolas"/>
          <w:sz w:val="22"/>
          <w:szCs w:val="22"/>
        </w:rPr>
        <w:t xml:space="preserve">market_data_loader.py</w:t>
      </w:r>
      <w:r>
        <w:t xml:space="preserve"> encapsulates a MarketDataLoader class that auto-discovers GME XLSX patterns in a data directory, parses Italian number formats (comma as decimal separator, dot as thousands), handles daylight saving time by collapsing the spring-forward 23-hour day and the fall-back 25-hour day onto a clean hourly index, and gracefully skips daily-aggregate MI files that lack the hourly column. </w:t>
      </w:r>
      <w:r>
        <w:rPr>
          <w:rFonts w:ascii="Consolas" w:cs="Consolas" w:eastAsia="Consolas" w:hAnsi="Consolas"/>
          <w:sz w:val="22"/>
          <w:szCs w:val="22"/>
        </w:rPr>
        <w:t xml:space="preserve">forecast_error_calibration.py</w:t>
      </w:r>
      <w:r>
        <w:t xml:space="preserve"> contains the ForecastErrorCalibrator class with a fit_by_regime method that applies the regime assignment function to label each hour and produces a RegimeCalibration object per regime, containing the maximum-likelihood parameters for all four distribution families. </w:t>
      </w:r>
      <w:r>
        <w:rPr>
          <w:rFonts w:ascii="Consolas" w:cs="Consolas" w:eastAsia="Consolas" w:hAnsi="Consolas"/>
          <w:sz w:val="22"/>
          <w:szCs w:val="22"/>
        </w:rPr>
        <w:t xml:space="preserve">forecast_error_plots.py</w:t>
      </w:r>
      <w:r>
        <w:t xml:space="preserve"> produces a 2x3 diagnostic figure (Figure 3 of the paper) showing for each regime a histogram with overlaid density fits, a Q-Q plot, and the autocorrelation function out to lag 50. The runnable orchestrator </w:t>
      </w:r>
      <w:r>
        <w:rPr>
          <w:rFonts w:ascii="Consolas" w:cs="Consolas" w:eastAsia="Consolas" w:hAnsi="Consolas"/>
          <w:sz w:val="22"/>
          <w:szCs w:val="22"/>
        </w:rPr>
        <w:t xml:space="preserve">tests_block1.py</w:t>
      </w:r>
      <w:r>
        <w:t xml:space="preserve"> executes the entire pipeline from XLSX directory to JSON/CSV/PDF outputs.</w:t>
      </w:r>
    </w:p>
    <w:p>
      <w:pPr>
        <w:pStyle w:val="Heading1"/>
        <w:spacing w:after="200" w:before="360"/>
      </w:pPr>
      <w:r>
        <w:rPr>
          <w:b/>
          <w:bCs/>
        </w:rPr>
        <w:t xml:space="preserve">6. Block 2: wiring the calibrated parameters into the pipeline</w:t>
      </w:r>
    </w:p>
    <w:p>
      <w:pPr>
        <w:spacing w:after="160" w:line="300"/>
        <w:jc w:val="both"/>
      </w:pPr>
      <w:r>
        <w:t xml:space="preserve">Block 2 made the calibrated parameters from Block 1 reachable from the PPO environment and the MILP-side error sequence. The changes are confined to three files and are fully backward-compatible: omitting the new CLI flags reproduces the legacy behaviour byte for byte.</w:t>
      </w:r>
    </w:p>
    <w:p>
      <w:pPr>
        <w:pStyle w:val="Heading2"/>
        <w:spacing w:after="160" w:before="280"/>
      </w:pPr>
      <w:r>
        <w:rPr>
          <w:b/>
          <w:bCs/>
        </w:rPr>
        <w:t xml:space="preserve">6.1 Extensions to drl_flexibility_analysis.py</w:t>
      </w:r>
    </w:p>
    <w:p>
      <w:pPr>
        <w:spacing w:after="160" w:line="300"/>
        <w:jc w:val="both"/>
      </w:pPr>
      <w:r>
        <w:t xml:space="preserve">The OrnsteinUhlenbeckNoise class previously implemented a zero-mean AR(1) process with hardcoded volatility. It now accepts an optional </w:t>
      </w:r>
      <w:r>
        <w:rPr>
          <w:rFonts w:ascii="Consolas" w:cs="Consolas" w:eastAsia="Consolas" w:hAnsi="Consolas"/>
          <w:sz w:val="22"/>
          <w:szCs w:val="22"/>
        </w:rPr>
        <w:t xml:space="preserve">mu</w:t>
      </w:r>
      <w:r>
        <w:t xml:space="preserve"> parameter that controls the long-run mean of the process and configurable </w:t>
      </w:r>
      <w:r>
        <w:rPr>
          <w:rFonts w:ascii="Consolas" w:cs="Consolas" w:eastAsia="Consolas" w:hAnsi="Consolas"/>
          <w:sz w:val="22"/>
          <w:szCs w:val="22"/>
        </w:rPr>
        <w:t xml:space="preserve">clip_low</w:t>
      </w:r>
      <w:r>
        <w:t xml:space="preserve"> and </w:t>
      </w:r>
      <w:r>
        <w:rPr>
          <w:rFonts w:ascii="Consolas" w:cs="Consolas" w:eastAsia="Consolas" w:hAnsi="Consolas"/>
          <w:sz w:val="22"/>
          <w:szCs w:val="22"/>
        </w:rPr>
        <w:t xml:space="preserve">clip_high</w:t>
      </w:r>
      <w:r>
        <w:t xml:space="preserve"> bounds. The discrete-time Euler-Maruyama update changed from </w:t>
      </w:r>
      <w:r>
        <w:rPr>
          <w:rFonts w:ascii="Consolas" w:cs="Consolas" w:eastAsia="Consolas" w:hAnsi="Consolas"/>
          <w:sz w:val="22"/>
          <w:szCs w:val="22"/>
        </w:rPr>
        <w:t xml:space="preserve">dx = -theta * x * dt</w:t>
      </w:r>
      <w:r>
        <w:t xml:space="preserve"> to </w:t>
      </w:r>
      <w:r>
        <w:rPr>
          <w:rFonts w:ascii="Consolas" w:cs="Consolas" w:eastAsia="Consolas" w:hAnsi="Consolas"/>
          <w:sz w:val="22"/>
          <w:szCs w:val="22"/>
        </w:rPr>
        <w:t xml:space="preserve">dx = theta * (mu - x) * dt</w:t>
      </w:r>
      <w:r>
        <w:t xml:space="preserve">, which is the standard mean-reverting form and is also the form on which Block 1 fits its parameters. The two updates are mathematically identical when mu equals zero, so the legacy behaviour with mu=0 is preserved. The clipping bounds default to the legacy plus or minus 0.15 but can be widened (and are widened to plus or minus 1.0 when loading from Block 1 calibrations) to avoid clamping a significant fraction of samples when the calibrated standard deviation is comparable to or larger than 0.05.</w:t>
      </w:r>
    </w:p>
    <w:p>
      <w:pPr>
        <w:spacing w:after="160" w:line="300"/>
        <w:jc w:val="both"/>
      </w:pPr>
      <w:r>
        <w:t xml:space="preserve">The ForecastErrorGenerator class now accepts an optional </w:t>
      </w:r>
      <w:r>
        <w:rPr>
          <w:rFonts w:ascii="Consolas" w:cs="Consolas" w:eastAsia="Consolas" w:hAnsi="Consolas"/>
          <w:sz w:val="22"/>
          <w:szCs w:val="22"/>
        </w:rPr>
        <w:t xml:space="preserve">params</w:t>
      </w:r>
      <w:r>
        <w:t xml:space="preserve"> dictionary that overrides the default parameters of the chosen distribution branch. A new classmethod </w:t>
      </w:r>
      <w:r>
        <w:rPr>
          <w:rFonts w:ascii="Consolas" w:cs="Consolas" w:eastAsia="Consolas" w:hAnsi="Consolas"/>
          <w:sz w:val="22"/>
          <w:szCs w:val="22"/>
        </w:rPr>
        <w:t xml:space="preserve">from_calibration_json(json_path, regime, error_type, wide_clip)</w:t>
      </w:r>
      <w:r>
        <w:t xml:space="preserve"> reads the calibrations.json produced by Block 1 and instantiates the generator with empirical parameters. Existing call sites that pass only the distribution name keep working unchanged.</w:t>
      </w:r>
    </w:p>
    <w:p>
      <w:pPr>
        <w:pStyle w:val="Heading2"/>
        <w:spacing w:after="160" w:before="280"/>
      </w:pPr>
      <w:r>
        <w:rPr>
          <w:b/>
          <w:bCs/>
        </w:rPr>
        <w:t xml:space="preserve">6.2 Extensions to main.py</w:t>
      </w:r>
    </w:p>
    <w:p>
      <w:pPr>
        <w:spacing w:after="160" w:line="300"/>
        <w:jc w:val="both"/>
      </w:pPr>
      <w:r>
        <w:t xml:space="preserve">Two new command-line flags expose the calibration through the orchestrator. </w:t>
      </w:r>
      <w:r>
        <w:rPr>
          <w:rFonts w:ascii="Consolas" w:cs="Consolas" w:eastAsia="Consolas" w:hAnsi="Consolas"/>
          <w:sz w:val="22"/>
          <w:szCs w:val="22"/>
        </w:rPr>
        <w:t xml:space="preserve">--forecast-calibration-json PATH</w:t>
      </w:r>
      <w:r>
        <w:t xml:space="preserve"> points to the JSON file produced by Block 1, and </w:t>
      </w:r>
      <w:r>
        <w:rPr>
          <w:rFonts w:ascii="Consolas" w:cs="Consolas" w:eastAsia="Consolas" w:hAnsi="Consolas"/>
          <w:sz w:val="22"/>
          <w:szCs w:val="22"/>
        </w:rPr>
        <w:t xml:space="preserve">--forecast-regime NAME</w:t>
      </w:r>
      <w:r>
        <w:t xml:space="preserve"> selects which regime block to read (for example normalized_2023_2024 or gas_crisis_2022). These two flags are propagated through PipelineConfig, the make_env factory, the train_ppo function, the retrain_ppo function used in monthly fine-tuning, the per-day evaluation run_ppo_day, and the per-distribution error sequence generator in run_annual_comparison. A new helper </w:t>
      </w:r>
      <w:r>
        <w:rPr>
          <w:rFonts w:ascii="Consolas" w:cs="Consolas" w:eastAsia="Consolas" w:hAnsi="Consolas"/>
          <w:sz w:val="22"/>
          <w:szCs w:val="22"/>
        </w:rPr>
        <w:t xml:space="preserve">_build_error_generator</w:t>
      </w:r>
      <w:r>
        <w:t xml:space="preserve"> centralises the dispatch between the legacy default and the calibrated mode, keeping the call sites concise.</w:t>
      </w:r>
    </w:p>
    <w:p>
      <w:pPr>
        <w:pStyle w:val="Heading2"/>
        <w:spacing w:after="160" w:before="280"/>
      </w:pPr>
      <w:r>
        <w:rPr>
          <w:b/>
          <w:bCs/>
        </w:rPr>
        <w:t xml:space="preserve">6.3 What the empirical OU now looks like in practice</w:t>
      </w:r>
    </w:p>
    <w:p>
      <w:pPr>
        <w:spacing w:after="160" w:line="300"/>
        <w:jc w:val="both"/>
      </w:pPr>
      <w:r>
        <w:t xml:space="preserve">Concretely, a PPO agent training with --forecast-calibration-json calibrations.json --forecast-regime normalized_2023_2024 --train-dist ornstein-uhlenbeck will see at each step a forecast error sampled from an OU process with mu equal to +0.006, sigma equal to 0.085, theta equal to 0.43, and clipping at plus or minus 1.0. The serial correlation of the noise is realistic (lag-1 autocorrelation 0.57 in the empirical data, matched by the chosen theta). The bias is small but non-zero, which means the agent will learn to anticipate a small positive systematic error in its observations and adjust its arbitrage policy accordingly. When the same agent is later evaluated on --forecast-regime gas_crisis_2022, the parameters become mu=+0.025, sigma=0.155, theta=0.41, with the clipping unchanged. The agent's robustness to this regime shift is one of the headline experiments of the paper.</w:t>
      </w:r>
    </w:p>
    <w:p>
      <w:pPr>
        <w:pStyle w:val="Heading1"/>
        <w:spacing w:after="200" w:before="360"/>
      </w:pPr>
      <w:r>
        <w:rPr>
          <w:b/>
          <w:bCs/>
        </w:rPr>
        <w:t xml:space="preserve">7. Block 3: porting the pipeline to real Italian market data</w:t>
      </w:r>
    </w:p>
    <w:p>
      <w:pPr>
        <w:spacing w:after="160" w:line="300"/>
        <w:jc w:val="both"/>
      </w:pPr>
      <w:r>
        <w:t xml:space="preserve">Block 3 replaced the synthetic price generator at the heart of the pipeline with a loader that reads real PUN MGP prices from the same GME XLSX files used by Block 1. This is the change that makes results publishable on Italian market data rather than on a toy sinusoidal benchmark.</w:t>
      </w:r>
    </w:p>
    <w:p>
      <w:pPr>
        <w:pStyle w:val="Heading2"/>
        <w:spacing w:after="160" w:before="280"/>
      </w:pPr>
      <w:r>
        <w:rPr>
          <w:b/>
          <w:bCs/>
        </w:rPr>
        <w:t xml:space="preserve">7.1 The change to build_market_data</w:t>
      </w:r>
    </w:p>
    <w:p>
      <w:pPr>
        <w:spacing w:after="160" w:line="300"/>
        <w:jc w:val="both"/>
      </w:pPr>
      <w:r>
        <w:t xml:space="preserve">The function </w:t>
      </w:r>
      <w:r>
        <w:rPr>
          <w:rFonts w:ascii="Consolas" w:cs="Consolas" w:eastAsia="Consolas" w:hAnsi="Consolas"/>
          <w:sz w:val="22"/>
          <w:szCs w:val="22"/>
        </w:rPr>
        <w:t xml:space="preserve">build_market_data</w:t>
      </w:r>
      <w:r>
        <w:t xml:space="preserve"> now dispatches on a new PipelineConfig field </w:t>
      </w:r>
      <w:r>
        <w:rPr>
          <w:rFonts w:ascii="Consolas" w:cs="Consolas" w:eastAsia="Consolas" w:hAnsi="Consolas"/>
          <w:sz w:val="22"/>
          <w:szCs w:val="22"/>
        </w:rPr>
        <w:t xml:space="preserve">data_source</w:t>
      </w:r>
      <w:r>
        <w:t xml:space="preserve"> which is either "synthetic" (default, legacy behaviour preserved) or "real". The legacy path is renamed to </w:t>
      </w:r>
      <w:r>
        <w:rPr>
          <w:rFonts w:ascii="Consolas" w:cs="Consolas" w:eastAsia="Consolas" w:hAnsi="Consolas"/>
          <w:sz w:val="22"/>
          <w:szCs w:val="22"/>
        </w:rPr>
        <w:t xml:space="preserve">_build_market_data_synthetic</w:t>
      </w:r>
      <w:r>
        <w:t xml:space="preserve"> and continues to call </w:t>
      </w:r>
      <w:r>
        <w:rPr>
          <w:rFonts w:ascii="Consolas" w:cs="Consolas" w:eastAsia="Consolas" w:hAnsi="Consolas"/>
          <w:sz w:val="22"/>
          <w:szCs w:val="22"/>
        </w:rPr>
        <w:t xml:space="preserve">generate_synthetic_prices</w:t>
      </w:r>
      <w:r>
        <w:t xml:space="preserve"> with the sinusoidal-plus-noise model. The new path </w:t>
      </w:r>
      <w:r>
        <w:rPr>
          <w:rFonts w:ascii="Consolas" w:cs="Consolas" w:eastAsia="Consolas" w:hAnsi="Consolas"/>
          <w:sz w:val="22"/>
          <w:szCs w:val="22"/>
        </w:rPr>
        <w:t xml:space="preserve">_build_market_data_real</w:t>
      </w:r>
      <w:r>
        <w:t xml:space="preserve"> uses MarketDataLoader from Block 1 to load the entire PUN MGP / MI-A1 / MSD dataset, slices the last `pretrain_months * 30` days of `train_year` for PPO pretraining, and uses the full `eval_year` for the annual MILP-vs-PPO comparison. The new fields </w:t>
      </w:r>
      <w:r>
        <w:rPr>
          <w:rFonts w:ascii="Consolas" w:cs="Consolas" w:eastAsia="Consolas" w:hAnsi="Consolas"/>
          <w:sz w:val="22"/>
          <w:szCs w:val="22"/>
        </w:rPr>
        <w:t xml:space="preserve">train_year</w:t>
      </w:r>
      <w:r>
        <w:t xml:space="preserve">, </w:t>
      </w:r>
      <w:r>
        <w:rPr>
          <w:rFonts w:ascii="Consolas" w:cs="Consolas" w:eastAsia="Consolas" w:hAnsi="Consolas"/>
          <w:sz w:val="22"/>
          <w:szCs w:val="22"/>
        </w:rPr>
        <w:t xml:space="preserve">eval_year</w:t>
      </w:r>
      <w:r>
        <w:t xml:space="preserve">, </w:t>
      </w:r>
      <w:r>
        <w:rPr>
          <w:rFonts w:ascii="Consolas" w:cs="Consolas" w:eastAsia="Consolas" w:hAnsi="Consolas"/>
          <w:sz w:val="22"/>
          <w:szCs w:val="22"/>
        </w:rPr>
        <w:t xml:space="preserve">data_dir</w:t>
      </w:r>
      <w:r>
        <w:t xml:space="preserve">, and </w:t>
      </w:r>
      <w:r>
        <w:rPr>
          <w:rFonts w:ascii="Consolas" w:cs="Consolas" w:eastAsia="Consolas" w:hAnsi="Consolas"/>
          <w:sz w:val="22"/>
          <w:szCs w:val="22"/>
        </w:rPr>
        <w:t xml:space="preserve">msd_zone</w:t>
      </w:r>
      <w:r>
        <w:t xml:space="preserve"> are exposed as CLI flags with sensible defaults of 2023, 2024, "data", and "Nord" respectively.</w:t>
      </w:r>
    </w:p>
    <w:p>
      <w:pPr>
        <w:pStyle w:val="Heading2"/>
        <w:spacing w:after="160" w:before="280"/>
      </w:pPr>
      <w:r>
        <w:rPr>
          <w:b/>
          <w:bCs/>
        </w:rPr>
        <w:t xml:space="preserve">7.2 Methodological choices documented in the new path</w:t>
      </w:r>
    </w:p>
    <w:p>
      <w:pPr>
        <w:spacing w:after="160" w:line="300"/>
        <w:jc w:val="both"/>
      </w:pPr>
      <w:r>
        <w:t xml:space="preserve">Three decisions are made explicit in the new code and need to be justified in the paper. First, PUN MGP is used as the true price in both MILP and PPO. In the Italian market, day-ahead positions are settled at the MGP clearing price, so MGP is the realised cash settlement; MI prices are loaded but not directly fed into the optimisers, because they served their role in Block 1 by calibrating the forecast error distribution. Second, the forecast errors injected into the simulation are sampled from the Block 1 calibrated parameters rather than replayed from the empirical residual sequence directly. The synthetic sampling lets each PPO training step see fresh realisations from the same distribution it will face at evaluation, preserving the exploration-exploitation trade-off PPO relies on. A future extension can replace this with literal empirical replay if a robustness ablation calls for it. Third, the flexibility-service prices remain synthetic, driven by the FlexibilityMarket model with italian_market_config tariffs and seasonal-hourly multipliers. The MSD XLSX data validates the order of magnitude of these tariffs but does not yet feed into the per-hour service catalogues; full MSD integration is a follow-up task.</w:t>
      </w:r>
    </w:p>
    <w:p>
      <w:pPr>
        <w:pStyle w:val="Heading2"/>
        <w:spacing w:after="160" w:before="280"/>
      </w:pPr>
      <w:r>
        <w:rPr>
          <w:b/>
          <w:bCs/>
        </w:rPr>
        <w:t xml:space="preserve">7.3 DST handling and hour-count consistency</w:t>
      </w:r>
    </w:p>
    <w:p>
      <w:pPr>
        <w:spacing w:after="160" w:line="300"/>
        <w:jc w:val="both"/>
      </w:pPr>
      <w:r>
        <w:t xml:space="preserve">Daylight saving time in Italy causes the spring-forward day to have 23 hours and the fall-back day to have 25 hours. The MarketDataLoader collapses these onto a clean datetime index, but the net effect across a calendar year is the loss of one hour (the missing 02:00 on the spring-forward day, because the loader dedups the fall-back duplicate to the next-day 00:00 slot). For the downstream pipeline it is simpler if every year has exactly 365 times 24 hours (or 366 times 24 for leap years), so the real-data builder reindexes each yearly slice to a clean hourly grid via pd.date_range(year, freq='h') and forward-fills the single missing hour from the previous valid value. The user-facing array of prices is therefore always a rectangular n_days times 24 matrix, with no need for downstream code to handle DST quirks.</w:t>
      </w:r>
    </w:p>
    <w:p>
      <w:pPr>
        <w:pStyle w:val="Heading2"/>
        <w:spacing w:after="160" w:before="280"/>
      </w:pPr>
      <w:r>
        <w:rPr>
          <w:b/>
          <w:bCs/>
        </w:rPr>
        <w:t xml:space="preserve">7.4 What the slicing looks like on Lorenzo's dataset</w:t>
      </w:r>
    </w:p>
    <w:p>
      <w:pPr>
        <w:spacing w:after="160" w:line="300"/>
        <w:jc w:val="both"/>
      </w:pPr>
      <w:r>
        <w:t xml:space="preserve">On the dataset assembled by Lorenzo, the coverage report produced by the loader reads as follows. PUN MGP covers 2022-01-01 to 2024-12-31, 1,096 days and 26,301 hours at 100.0% completeness. MI-A1 NAT covers the same calendar span with 19,582 hours at 74.4% completeness (because of the 2023 daily-format gap). MSD NORD covers 2023-01-01 to 2024-12-30 with 17,456 hours at 99.6% completeness. With </w:t>
      </w:r>
      <w:r>
        <w:rPr>
          <w:rFonts w:ascii="Consolas" w:cs="Consolas" w:eastAsia="Consolas" w:hAnsi="Consolas"/>
          <w:sz w:val="22"/>
          <w:szCs w:val="22"/>
        </w:rPr>
        <w:t xml:space="preserve">--train-year 2023 --eval-year 2024 --pretrain-months 2</w:t>
      </w:r>
      <w:r>
        <w:t xml:space="preserve">, the pipeline slices the pretrain window as the last 1,440 hours of 2023 (covering roughly Nov 2 to Dec 31), and the annual window as the full 8,784 hours of 2024 (366 days because 2024 is a leap year). The annual price range is from 0.10 to 275.12 EUR per MWh with mean 108.45 EUR per MWh, consistent with publicly reported Italian market figures for 2024.</w:t>
      </w:r>
    </w:p>
    <w:p>
      <w:pPr>
        <w:pStyle w:val="Heading1"/>
        <w:spacing w:after="200" w:before="360"/>
      </w:pPr>
      <w:r>
        <w:rPr>
          <w:b/>
          <w:bCs/>
        </w:rPr>
        <w:t xml:space="preserve">8. Block 4: ARERA minimum-capacity constraint in the MILP</w:t>
      </w:r>
    </w:p>
    <w:p>
      <w:pPr>
        <w:pStyle w:val="Heading2"/>
        <w:spacing w:after="160" w:before="280"/>
      </w:pPr>
      <w:r>
        <w:rPr>
          <w:b/>
          <w:bCs/>
        </w:rPr>
        <w:t xml:space="preserve">8.1 Why it was needed</w:t>
      </w:r>
    </w:p>
    <w:p>
      <w:pPr>
        <w:spacing w:after="160" w:line="300"/>
        <w:jc w:val="both"/>
      </w:pPr>
      <w:r>
        <w:t xml:space="preserve">ARERA regulations require that any BESS participating in the FCR, aFRR, or mFRR markets reserve a minimum of 1 MW per service. Below this threshold the resource cannot participate. The original MILP code declared placeholder constraints in add_market_constraints with empty pass statements, which meant the optimiser was free to reserve arbitrarily small fractional amounts (for example 0.05 MW of FCR for a single hour) and collect proportionally small capacity revenue. This is non-compliant with ARERA and is also methodologically problematic: it lets the MILP exploit a continuous relaxation that the PPO cannot exploit because its action space discretises the FCR reservation at 0, 25, 50, and 75 percent of nameplate (i.e., 0, 0.5, 1.0, and 1.5 MW). The comparison was therefore biased in favour of MILP by a flaw in the formulation rather than by a genuine optimisation advantage.</w:t>
      </w:r>
    </w:p>
    <w:p>
      <w:pPr>
        <w:pStyle w:val="Heading2"/>
        <w:spacing w:after="160" w:before="280"/>
      </w:pPr>
      <w:r>
        <w:rPr>
          <w:b/>
          <w:bCs/>
        </w:rPr>
        <w:t xml:space="preserve">8.2 The big-M formulation</w:t>
      </w:r>
    </w:p>
    <w:p>
      <w:pPr>
        <w:spacing w:after="160" w:line="300"/>
        <w:jc w:val="both"/>
      </w:pPr>
      <w:r>
        <w:t xml:space="preserve">The fix is to enforce, for each service s in {FCR, aFRR, mFRR} and each hour t, that the reservation R_{s,t} belongs either to {0} or to the interval [min_cap_s, P_max]. This is a disjunctive constraint that becomes linear via a big-M formulation with auxiliary binary variables. New binaries </w:t>
      </w:r>
      <w:r>
        <w:rPr>
          <w:rFonts w:ascii="Consolas" w:cs="Consolas" w:eastAsia="Consolas" w:hAnsi="Consolas"/>
          <w:sz w:val="22"/>
          <w:szCs w:val="22"/>
        </w:rPr>
        <w:t xml:space="preserve">B_fcr</w:t>
      </w:r>
      <w:r>
        <w:t xml:space="preserve">, </w:t>
      </w:r>
      <w:r>
        <w:rPr>
          <w:rFonts w:ascii="Consolas" w:cs="Consolas" w:eastAsia="Consolas" w:hAnsi="Consolas"/>
          <w:sz w:val="22"/>
          <w:szCs w:val="22"/>
        </w:rPr>
        <w:t xml:space="preserve">B_afrr</w:t>
      </w:r>
      <w:r>
        <w:t xml:space="preserve">, and </w:t>
      </w:r>
      <w:r>
        <w:rPr>
          <w:rFonts w:ascii="Consolas" w:cs="Consolas" w:eastAsia="Consolas" w:hAnsi="Consolas"/>
          <w:sz w:val="22"/>
          <w:szCs w:val="22"/>
        </w:rPr>
        <w:t xml:space="preserve">B_mfrr</w:t>
      </w:r>
      <w:r>
        <w:t xml:space="preserve"> are created per hour, and two linear constraints are added: </w:t>
      </w:r>
      <w:r>
        <w:rPr>
          <w:rFonts w:ascii="Consolas" w:cs="Consolas" w:eastAsia="Consolas" w:hAnsi="Consolas"/>
          <w:sz w:val="22"/>
          <w:szCs w:val="22"/>
        </w:rPr>
        <w:t xml:space="preserve">R_{s,t} &lt;= P_max * B_{s,t}</w:t>
      </w:r>
      <w:r>
        <w:t xml:space="preserve"> (which forces R to zero when B is zero) and </w:t>
      </w:r>
      <w:r>
        <w:rPr>
          <w:rFonts w:ascii="Consolas" w:cs="Consolas" w:eastAsia="Consolas" w:hAnsi="Consolas"/>
          <w:sz w:val="22"/>
          <w:szCs w:val="22"/>
        </w:rPr>
        <w:t xml:space="preserve">R_{s,t} &gt;= min_cap_s * B_{s,t}</w:t>
      </w:r>
      <w:r>
        <w:t xml:space="preserve"> (which forces R to be at least the minimum capacity when B is one). When the service is unavailable in a given hour, the binary is fixed to zero and the reservation is consequently forced to zero too. The minimum capacity per service is read from each FlexibilityService object, which already carried the 1.0 MW value from the italian_market_config ARERA tariffs.</w:t>
      </w:r>
    </w:p>
    <w:p>
      <w:pPr>
        <w:pStyle w:val="Heading2"/>
        <w:spacing w:after="160" w:before="280"/>
      </w:pPr>
      <w:r>
        <w:rPr>
          <w:b/>
          <w:bCs/>
        </w:rPr>
        <w:t xml:space="preserve">8.3 Implementation impact</w:t>
      </w:r>
    </w:p>
    <w:p>
      <w:pPr>
        <w:spacing w:after="160" w:line="300"/>
        <w:jc w:val="both"/>
      </w:pPr>
      <w:r>
        <w:t xml:space="preserve">The formulation adds 72 new binary variables per daily problem (3 services times 24 hours), which makes the MILP genuinely mixed-integer rather than effectively continuous as it was before. The CBC solver handles this comfortably on consumer hardware. Empirical timing on the test setup shows the daily solve time rising from about 0.12 seconds to about 0.20-0.30 seconds, which over a year of 365 daily solves is a total wall-clock increase from roughly 45 seconds to roughly 90 to 110 seconds. This is still negligible compared to the cost of PPO training. Expected impact on MILP profits is modest (a few percent at most) because the optimiser will lose access to the small-fractional-reservation strategies, but the bulk of arbitrage and large-reservation profit is unaffected. The change makes the comparison between MILP and PPO conceptually fair, which matters more than the small numerical impact.</w:t>
      </w:r>
    </w:p>
    <w:p>
      <w:pPr>
        <w:pStyle w:val="Heading1"/>
        <w:spacing w:after="200" w:before="360"/>
      </w:pPr>
      <w:r>
        <w:rPr>
          <w:b/>
          <w:bCs/>
        </w:rPr>
        <w:t xml:space="preserve">9. Current code architecture</w:t>
      </w:r>
    </w:p>
    <w:p>
      <w:pPr>
        <w:spacing w:after="160" w:line="300"/>
        <w:jc w:val="both"/>
      </w:pPr>
      <w:r>
        <w:t xml:space="preserve">After the four blocks, the codebase is organised in five logical layers, even though all files live in a single flat directory. Understanding the layering helps when reading or modifying the code.</w:t>
      </w:r>
    </w:p>
    <w:p>
      <w:pPr>
        <w:pStyle w:val="Heading2"/>
        <w:spacing w:after="160" w:before="280"/>
      </w:pPr>
      <w:r>
        <w:rPr>
          <w:b/>
          <w:bCs/>
        </w:rPr>
        <w:t xml:space="preserve">9.1 Algorithmic core layer</w:t>
      </w:r>
    </w:p>
    <w:p>
      <w:pPr>
        <w:spacing w:after="160" w:line="300"/>
        <w:jc w:val="both"/>
      </w:pPr>
      <w:r>
        <w:t xml:space="preserve">Three files implement the physical and economic models. </w:t>
      </w:r>
      <w:r>
        <w:rPr>
          <w:rFonts w:ascii="Consolas" w:cs="Consolas" w:eastAsia="Consolas" w:hAnsi="Consolas"/>
          <w:sz w:val="22"/>
          <w:szCs w:val="22"/>
        </w:rPr>
        <w:t xml:space="preserve">drl_flexibility_analysis.py</w:t>
      </w:r>
      <w:r>
        <w:t xml:space="preserve"> contains the Battery class with the state-of-charge dynamics and the polynomial degradation model, the ForecastErrorGenerator with its four distribution branches and the calibration-loading classmethod, the OrnsteinUhlenbeckNoise process, and an original PPO environment with 26 features that is kept for backward compatibility. </w:t>
      </w:r>
      <w:r>
        <w:rPr>
          <w:rFonts w:ascii="Consolas" w:cs="Consolas" w:eastAsia="Consolas" w:hAnsi="Consolas"/>
          <w:sz w:val="22"/>
          <w:szCs w:val="22"/>
        </w:rPr>
        <w:t xml:space="preserve">milp_optimizer.py</w:t>
      </w:r>
      <w:r>
        <w:t xml:space="preserve"> defines BatteryParameters, the MILPOptimizer class with its decision variables and constraints (now including Block 4 binaries), and the rolling horizon controller. </w:t>
      </w:r>
      <w:r>
        <w:rPr>
          <w:rFonts w:ascii="Consolas" w:cs="Consolas" w:eastAsia="Consolas" w:hAnsi="Consolas"/>
          <w:sz w:val="22"/>
          <w:szCs w:val="22"/>
        </w:rPr>
        <w:t xml:space="preserve">extended_ppo_environment.py</w:t>
      </w:r>
      <w:r>
        <w:t xml:space="preserve"> defines the 35-feature, 31-action Gymnasium environment used by the main pipeline, with configurable conflict resolution for the case where simultaneous FCR, aFRR, mFRR, and arbitrage reservations exceed nameplate power.</w:t>
      </w:r>
    </w:p>
    <w:p>
      <w:pPr>
        <w:pStyle w:val="Heading2"/>
        <w:spacing w:after="160" w:before="280"/>
      </w:pPr>
      <w:r>
        <w:rPr>
          <w:b/>
          <w:bCs/>
        </w:rPr>
        <w:t xml:space="preserve">9.2 Market modeling layer</w:t>
      </w:r>
    </w:p>
    <w:p>
      <w:pPr>
        <w:spacing w:after="160" w:line="300"/>
        <w:jc w:val="both"/>
      </w:pPr>
      <w:r>
        <w:t xml:space="preserve">Two files encode the Italian market rules. </w:t>
      </w:r>
      <w:r>
        <w:rPr>
          <w:rFonts w:ascii="Consolas" w:cs="Consolas" w:eastAsia="Consolas" w:hAnsi="Consolas"/>
          <w:sz w:val="22"/>
          <w:szCs w:val="22"/>
        </w:rPr>
        <w:t xml:space="preserve">italian_market_config.py</w:t>
      </w:r>
      <w:r>
        <w:t xml:space="preserve"> centralises the ARERA tariffs per service, the seasonal multipliers, the hourly demand profile, and the BSP qualification cost model. </w:t>
      </w:r>
      <w:r>
        <w:rPr>
          <w:rFonts w:ascii="Consolas" w:cs="Consolas" w:eastAsia="Consolas" w:hAnsi="Consolas"/>
          <w:sz w:val="22"/>
          <w:szCs w:val="22"/>
        </w:rPr>
        <w:t xml:space="preserve">flexibility_market.py</w:t>
      </w:r>
      <w:r>
        <w:t xml:space="preserve"> contains the FlexibilityService dataclass, the FlexibilityMarket that generates per-hour service catalogues with the seasonal-hourly multipliers applied, and the activation probability model. These two files are unchanged by the four blocks and represent the regulatory bedrock of the simulation.</w:t>
      </w:r>
    </w:p>
    <w:p>
      <w:pPr>
        <w:pStyle w:val="Heading2"/>
        <w:spacing w:after="160" w:before="280"/>
      </w:pPr>
      <w:r>
        <w:rPr>
          <w:b/>
          <w:bCs/>
        </w:rPr>
        <w:t xml:space="preserve">9.3 Calibration layer</w:t>
      </w:r>
    </w:p>
    <w:p>
      <w:pPr>
        <w:spacing w:after="160" w:line="300"/>
        <w:jc w:val="both"/>
      </w:pPr>
      <w:r>
        <w:t xml:space="preserve">Three new files from Block 1 isolate the empirical calibration. </w:t>
      </w:r>
      <w:r>
        <w:rPr>
          <w:rFonts w:ascii="Consolas" w:cs="Consolas" w:eastAsia="Consolas" w:hAnsi="Consolas"/>
          <w:sz w:val="22"/>
          <w:szCs w:val="22"/>
        </w:rPr>
        <w:t xml:space="preserve">market_data_loader.py</w:t>
      </w:r>
      <w:r>
        <w:t xml:space="preserve"> is the XLSX loader, </w:t>
      </w:r>
      <w:r>
        <w:rPr>
          <w:rFonts w:ascii="Consolas" w:cs="Consolas" w:eastAsia="Consolas" w:hAnsi="Consolas"/>
          <w:sz w:val="22"/>
          <w:szCs w:val="22"/>
        </w:rPr>
        <w:t xml:space="preserve">forecast_error_calibration.py</w:t>
      </w:r>
      <w:r>
        <w:t xml:space="preserve"> is the calibrator, and </w:t>
      </w:r>
      <w:r>
        <w:rPr>
          <w:rFonts w:ascii="Consolas" w:cs="Consolas" w:eastAsia="Consolas" w:hAnsi="Consolas"/>
          <w:sz w:val="22"/>
          <w:szCs w:val="22"/>
        </w:rPr>
        <w:t xml:space="preserve">forecast_error_plots.py</w:t>
      </w:r>
      <w:r>
        <w:t xml:space="preserve"> produces the diagnostic figure. These files are imported by the orchestrator when the user passes --forecast-calibration-json, but they can also be run standalone to regenerate the calibrations.json file when new data becomes available.</w:t>
      </w:r>
    </w:p>
    <w:p>
      <w:pPr>
        <w:pStyle w:val="Heading2"/>
        <w:spacing w:after="160" w:before="280"/>
      </w:pPr>
      <w:r>
        <w:rPr>
          <w:b/>
          <w:bCs/>
        </w:rPr>
        <w:t xml:space="preserve">9.4 Orchestration layer</w:t>
      </w:r>
    </w:p>
    <w:p>
      <w:pPr>
        <w:spacing w:after="160" w:line="300"/>
        <w:jc w:val="both"/>
      </w:pPr>
      <w:r>
        <w:t xml:space="preserve">Two files coordinate the end-to-end pipeline. </w:t>
      </w:r>
      <w:r>
        <w:rPr>
          <w:rFonts w:ascii="Consolas" w:cs="Consolas" w:eastAsia="Consolas" w:hAnsi="Consolas"/>
          <w:sz w:val="22"/>
          <w:szCs w:val="22"/>
        </w:rPr>
        <w:t xml:space="preserve">main.py</w:t>
      </w:r>
      <w:r>
        <w:t xml:space="preserve"> is the entry point and CLI; it parses command-line arguments into a PipelineConfig, builds the market data (synthetic or real), runs PPO pretraining, executes the day-by-day annual comparison with monthly retraining, and produces the summary and reports. </w:t>
      </w:r>
      <w:r>
        <w:rPr>
          <w:rFonts w:ascii="Consolas" w:cs="Consolas" w:eastAsia="Consolas" w:hAnsi="Consolas"/>
          <w:sz w:val="22"/>
          <w:szCs w:val="22"/>
        </w:rPr>
        <w:t xml:space="preserve">plotting.py</w:t>
      </w:r>
      <w:r>
        <w:t xml:space="preserve"> generates the eight publication-grade figures from the daily_results.csv output. The orchestration layer is the most heavily modified by the four blocks: most of the new CLI flags and the dispatch logic for synthetic vs real data live here.</w:t>
      </w:r>
    </w:p>
    <w:p>
      <w:pPr>
        <w:pStyle w:val="Heading2"/>
        <w:spacing w:after="160" w:before="280"/>
      </w:pPr>
      <w:r>
        <w:rPr>
          <w:b/>
          <w:bCs/>
        </w:rPr>
        <w:t xml:space="preserve">9.5 Reporting and ancillary layer</w:t>
      </w:r>
    </w:p>
    <w:p>
      <w:pPr>
        <w:spacing w:after="160" w:line="300"/>
        <w:jc w:val="both"/>
      </w:pPr>
      <w:r>
        <w:t xml:space="preserve">Several files provide reporting utilities not yet integrated into the main pipeline. </w:t>
      </w:r>
      <w:r>
        <w:rPr>
          <w:rFonts w:ascii="Consolas" w:cs="Consolas" w:eastAsia="Consolas" w:hAnsi="Consolas"/>
          <w:sz w:val="22"/>
          <w:szCs w:val="22"/>
        </w:rPr>
        <w:t xml:space="preserve">performance_metrics.py</w:t>
      </w:r>
      <w:r>
        <w:t xml:space="preserve">, </w:t>
      </w:r>
      <w:r>
        <w:rPr>
          <w:rFonts w:ascii="Consolas" w:cs="Consolas" w:eastAsia="Consolas" w:hAnsi="Consolas"/>
          <w:sz w:val="22"/>
          <w:szCs w:val="22"/>
        </w:rPr>
        <w:t xml:space="preserve">statistical_analysis_reporting.py</w:t>
      </w:r>
      <w:r>
        <w:t xml:space="preserve">, </w:t>
      </w:r>
      <w:r>
        <w:rPr>
          <w:rFonts w:ascii="Consolas" w:cs="Consolas" w:eastAsia="Consolas" w:hAnsi="Consolas"/>
          <w:sz w:val="22"/>
          <w:szCs w:val="22"/>
        </w:rPr>
        <w:t xml:space="preserve">sensitivity_analysis.py</w:t>
      </w:r>
      <w:r>
        <w:t xml:space="preserve">, </w:t>
      </w:r>
      <w:r>
        <w:rPr>
          <w:rFonts w:ascii="Consolas" w:cs="Consolas" w:eastAsia="Consolas" w:hAnsi="Consolas"/>
          <w:sz w:val="22"/>
          <w:szCs w:val="22"/>
        </w:rPr>
        <w:t xml:space="preserve">visualization_system.py</w:t>
      </w:r>
      <w:r>
        <w:t xml:space="preserve">, and </w:t>
      </w:r>
      <w:r>
        <w:rPr>
          <w:rFonts w:ascii="Consolas" w:cs="Consolas" w:eastAsia="Consolas" w:hAnsi="Consolas"/>
          <w:sz w:val="22"/>
          <w:szCs w:val="22"/>
        </w:rPr>
        <w:t xml:space="preserve">comparison_engine.py</w:t>
      </w:r>
      <w:r>
        <w:t xml:space="preserve"> all contain useful machinery (Welch tests, Mann-Whitney tests, parameter sweeps, an alternative comparison framework with shared datasets) that can be activated as the paper requires additional analyses. They are not part of the default run and do not need to be modified for the four blocks. There are also a handful of files documented in the OVERVIEW as effectively dead code, which will be cleaned up before final submission.</w:t>
      </w:r>
    </w:p>
    <w:p>
      <w:pPr>
        <w:pStyle w:val="Heading1"/>
        <w:spacing w:after="200" w:before="360"/>
      </w:pPr>
      <w:r>
        <w:rPr>
          <w:b/>
          <w:bCs/>
        </w:rPr>
        <w:t xml:space="preserve">10. Executing the pipeline</w:t>
      </w:r>
    </w:p>
    <w:p>
      <w:pPr>
        <w:spacing w:after="160" w:line="300"/>
        <w:jc w:val="both"/>
      </w:pPr>
      <w:r>
        <w:t xml:space="preserve">The pipeline supports four execution modes selected via --mode: fast for a smoke test (7 days, 50k timesteps), full for the standard annual comparison (365 or 366 days, 1M timesteps pretraining), train for pretraining only without evaluation, and compare for evaluation only using a previously saved model. The mode controls only the durations and budgets; all other behaviour is configurable via the additional CLI flags.</w:t>
      </w:r>
    </w:p>
    <w:p>
      <w:pPr>
        <w:pStyle w:val="Heading2"/>
        <w:spacing w:after="160" w:before="280"/>
      </w:pPr>
      <w:r>
        <w:rPr>
          <w:b/>
          <w:bCs/>
        </w:rPr>
        <w:t xml:space="preserve">10.1 Smoke test on real Italian data</w:t>
      </w:r>
    </w:p>
    <w:p>
      <w:pPr>
        <w:spacing w:after="160" w:line="300"/>
        <w:jc w:val="left"/>
      </w:pPr>
      <w:r>
        <w:t xml:space="preserve">The recommended first invocation after pulling the changes is a fast-mode run on real data with the Block 1 calibration active:</w:t>
      </w:r>
    </w:p>
    <w:p>
      <w:pPr>
        <w:shd w:fill="F2F2F2" w:val="clear"/>
        <w:spacing w:after="0" w:before="80" w:line="240"/>
        <w:ind w:left="360"/>
      </w:pPr>
      <w:r>
        <w:rPr>
          <w:rFonts w:ascii="Consolas" w:cs="Consolas" w:eastAsia="Consolas" w:hAnsi="Consolas"/>
          <w:sz w:val="18"/>
          <w:szCs w:val="18"/>
        </w:rPr>
        <w:t xml:space="preserve">python main.py --mode fast \</w:t>
      </w:r>
    </w:p>
    <w:p>
      <w:pPr>
        <w:shd w:fill="F2F2F2" w:val="clear"/>
        <w:spacing w:after="0" w:before="0" w:line="240"/>
        <w:ind w:left="360"/>
      </w:pPr>
      <w:r>
        <w:rPr>
          <w:rFonts w:ascii="Consolas" w:cs="Consolas" w:eastAsia="Consolas" w:hAnsi="Consolas"/>
          <w:sz w:val="18"/>
          <w:szCs w:val="18"/>
        </w:rPr>
        <w:t xml:space="preserve">    --data-source real \</w:t>
      </w:r>
    </w:p>
    <w:p>
      <w:pPr>
        <w:shd w:fill="F2F2F2" w:val="clear"/>
        <w:spacing w:after="0" w:before="0" w:line="240"/>
        <w:ind w:left="360"/>
      </w:pPr>
      <w:r>
        <w:rPr>
          <w:rFonts w:ascii="Consolas" w:cs="Consolas" w:eastAsia="Consolas" w:hAnsi="Consolas"/>
          <w:sz w:val="18"/>
          <w:szCs w:val="18"/>
        </w:rPr>
        <w:t xml:space="preserve">    --data-dir data \</w:t>
      </w:r>
    </w:p>
    <w:p>
      <w:pPr>
        <w:shd w:fill="F2F2F2" w:val="clear"/>
        <w:spacing w:after="0" w:before="0" w:line="240"/>
        <w:ind w:left="360"/>
      </w:pPr>
      <w:r>
        <w:rPr>
          <w:rFonts w:ascii="Consolas" w:cs="Consolas" w:eastAsia="Consolas" w:hAnsi="Consolas"/>
          <w:sz w:val="18"/>
          <w:szCs w:val="18"/>
        </w:rPr>
        <w:t xml:space="preserve">    --train-year 2023 \</w:t>
      </w:r>
    </w:p>
    <w:p>
      <w:pPr>
        <w:shd w:fill="F2F2F2" w:val="clear"/>
        <w:spacing w:after="0" w:before="0" w:line="240"/>
        <w:ind w:left="360"/>
      </w:pPr>
      <w:r>
        <w:rPr>
          <w:rFonts w:ascii="Consolas" w:cs="Consolas" w:eastAsia="Consolas" w:hAnsi="Consolas"/>
          <w:sz w:val="18"/>
          <w:szCs w:val="18"/>
        </w:rPr>
        <w:t xml:space="preserve">    --eval-year 2024 \</w:t>
      </w:r>
    </w:p>
    <w:p>
      <w:pPr>
        <w:shd w:fill="F2F2F2" w:val="clear"/>
        <w:spacing w:after="0" w:before="0" w:line="240"/>
        <w:ind w:left="360"/>
      </w:pPr>
      <w:r>
        <w:rPr>
          <w:rFonts w:ascii="Consolas" w:cs="Consolas" w:eastAsia="Consolas" w:hAnsi="Consolas"/>
          <w:sz w:val="18"/>
          <w:szCs w:val="18"/>
        </w:rPr>
        <w:t xml:space="preserve">    --msd-zone Nord \</w:t>
      </w:r>
    </w:p>
    <w:p>
      <w:pPr>
        <w:shd w:fill="F2F2F2" w:val="clear"/>
        <w:spacing w:after="0" w:before="0" w:line="240"/>
        <w:ind w:left="360"/>
      </w:pPr>
      <w:r>
        <w:rPr>
          <w:rFonts w:ascii="Consolas" w:cs="Consolas" w:eastAsia="Consolas" w:hAnsi="Consolas"/>
          <w:sz w:val="18"/>
          <w:szCs w:val="18"/>
        </w:rPr>
        <w:t xml:space="preserve">    --forecast-calibration-json results/block1/calibrations.json \</w:t>
      </w:r>
    </w:p>
    <w:p>
      <w:pPr>
        <w:shd w:fill="F2F2F2" w:val="clear"/>
        <w:spacing w:after="200" w:before="0" w:line="240"/>
        <w:ind w:left="360"/>
      </w:pPr>
      <w:r>
        <w:rPr>
          <w:rFonts w:ascii="Consolas" w:cs="Consolas" w:eastAsia="Consolas" w:hAnsi="Consolas"/>
          <w:sz w:val="18"/>
          <w:szCs w:val="18"/>
        </w:rPr>
        <w:t xml:space="preserve">    --forecast-regime normalized_2023_2024</w:t>
      </w:r>
    </w:p>
    <w:p>
      <w:pPr>
        <w:spacing w:after="160" w:line="300"/>
        <w:jc w:val="both"/>
      </w:pPr>
      <w:r>
        <w:t xml:space="preserve">This completes in a few minutes on a consumer CPU and validates the entire chain end to end: real data loading, calibrated forecast errors, MILP daily solve with the new minimum-capacity binaries, PPO short-window training, and report generation. The output appears under results/run_YYYYMMDD_HHMMSS/ with subdirectories for data (the loaded prices), models (the PPO checkpoint), comparison (daily_results.csv, summary.json, report.txt), figures (PDF and PNG plots), and logs (TensorBoard).</w:t>
      </w:r>
    </w:p>
    <w:p>
      <w:pPr>
        <w:pStyle w:val="Heading2"/>
        <w:spacing w:after="160" w:before="280"/>
      </w:pPr>
      <w:r>
        <w:rPr>
          <w:b/>
          <w:bCs/>
        </w:rPr>
        <w:t xml:space="preserve">10.2 Full annual run on real data, single eval distribution</w:t>
      </w:r>
    </w:p>
    <w:p>
      <w:pPr>
        <w:spacing w:after="160" w:line="300"/>
        <w:jc w:val="left"/>
      </w:pPr>
      <w:r>
        <w:t xml:space="preserve">For a paper-quality single-distribution run, the recommended invocation is:</w:t>
      </w:r>
    </w:p>
    <w:p>
      <w:pPr>
        <w:shd w:fill="F2F2F2" w:val="clear"/>
        <w:spacing w:after="0" w:before="80" w:line="240"/>
        <w:ind w:left="360"/>
      </w:pPr>
      <w:r>
        <w:rPr>
          <w:rFonts w:ascii="Consolas" w:cs="Consolas" w:eastAsia="Consolas" w:hAnsi="Consolas"/>
          <w:sz w:val="18"/>
          <w:szCs w:val="18"/>
        </w:rPr>
        <w:t xml:space="preserve">python main.py --mode full \</w:t>
      </w:r>
    </w:p>
    <w:p>
      <w:pPr>
        <w:shd w:fill="F2F2F2" w:val="clear"/>
        <w:spacing w:after="0" w:before="0" w:line="240"/>
        <w:ind w:left="360"/>
      </w:pPr>
      <w:r>
        <w:rPr>
          <w:rFonts w:ascii="Consolas" w:cs="Consolas" w:eastAsia="Consolas" w:hAnsi="Consolas"/>
          <w:sz w:val="18"/>
          <w:szCs w:val="18"/>
        </w:rPr>
        <w:t xml:space="preserve">    --data-source real --data-dir data \</w:t>
      </w:r>
    </w:p>
    <w:p>
      <w:pPr>
        <w:shd w:fill="F2F2F2" w:val="clear"/>
        <w:spacing w:after="0" w:before="0" w:line="240"/>
        <w:ind w:left="360"/>
      </w:pPr>
      <w:r>
        <w:rPr>
          <w:rFonts w:ascii="Consolas" w:cs="Consolas" w:eastAsia="Consolas" w:hAnsi="Consolas"/>
          <w:sz w:val="18"/>
          <w:szCs w:val="18"/>
        </w:rPr>
        <w:t xml:space="preserve">    --train-year 2023 --eval-year 2024 \</w:t>
      </w:r>
    </w:p>
    <w:p>
      <w:pPr>
        <w:shd w:fill="F2F2F2" w:val="clear"/>
        <w:spacing w:after="0" w:before="0" w:line="240"/>
        <w:ind w:left="360"/>
      </w:pPr>
      <w:r>
        <w:rPr>
          <w:rFonts w:ascii="Consolas" w:cs="Consolas" w:eastAsia="Consolas" w:hAnsi="Consolas"/>
          <w:sz w:val="18"/>
          <w:szCs w:val="18"/>
        </w:rPr>
        <w:t xml:space="preserve">    --forecast-calibration-json results/block1/calibrations.json \</w:t>
      </w:r>
    </w:p>
    <w:p>
      <w:pPr>
        <w:shd w:fill="F2F2F2" w:val="clear"/>
        <w:spacing w:after="0" w:before="0" w:line="240"/>
        <w:ind w:left="360"/>
      </w:pPr>
      <w:r>
        <w:rPr>
          <w:rFonts w:ascii="Consolas" w:cs="Consolas" w:eastAsia="Consolas" w:hAnsi="Consolas"/>
          <w:sz w:val="18"/>
          <w:szCs w:val="18"/>
        </w:rPr>
        <w:t xml:space="preserve">    --forecast-regime normalized_2023_2024 \</w:t>
      </w:r>
    </w:p>
    <w:p>
      <w:pPr>
        <w:shd w:fill="F2F2F2" w:val="clear"/>
        <w:spacing w:after="0" w:before="0" w:line="240"/>
        <w:ind w:left="360"/>
      </w:pPr>
      <w:r>
        <w:rPr>
          <w:rFonts w:ascii="Consolas" w:cs="Consolas" w:eastAsia="Consolas" w:hAnsi="Consolas"/>
          <w:sz w:val="18"/>
          <w:szCs w:val="18"/>
        </w:rPr>
        <w:t xml:space="preserve">    --train-dist ornstein-uhlenbeck \</w:t>
      </w:r>
    </w:p>
    <w:p>
      <w:pPr>
        <w:shd w:fill="F2F2F2" w:val="clear"/>
        <w:spacing w:after="200" w:before="0" w:line="240"/>
        <w:ind w:left="360"/>
      </w:pPr>
      <w:r>
        <w:rPr>
          <w:rFonts w:ascii="Consolas" w:cs="Consolas" w:eastAsia="Consolas" w:hAnsi="Consolas"/>
          <w:sz w:val="18"/>
          <w:szCs w:val="18"/>
        </w:rPr>
        <w:t xml:space="preserve">    --eval-dists ornstein-uhlenbeck</w:t>
      </w:r>
    </w:p>
    <w:p>
      <w:pPr>
        <w:spacing w:after="160" w:line="300"/>
        <w:jc w:val="both"/>
      </w:pPr>
      <w:r>
        <w:t xml:space="preserve">PPO is pretrained for one million timesteps on the last two months of 2023 with OU forecast errors calibrated on the 2023-2024 normalised regime. The 2024 annual comparison runs 366 daily MILP solves and 366 daily PPO rollouts, with PPO retrained for 200,000 timesteps every 30 days. Expected wall-clock duration on a consumer CPU is between 4 and 7 hours, dominated by the one-million-step pretraining and the cumulative 2.4 million monthly retraining steps. The output is the same directory structure as fast mode but with much larger and statistically meaningful daily_results.csv.</w:t>
      </w:r>
    </w:p>
    <w:p>
      <w:pPr>
        <w:pStyle w:val="Heading2"/>
        <w:spacing w:after="160" w:before="280"/>
      </w:pPr>
      <w:r>
        <w:rPr>
          <w:b/>
          <w:bCs/>
        </w:rPr>
        <w:t xml:space="preserve">10.3 Multi-distribution evaluation</w:t>
      </w:r>
    </w:p>
    <w:p>
      <w:pPr>
        <w:spacing w:after="160" w:line="300"/>
        <w:jc w:val="left"/>
      </w:pPr>
      <w:r>
        <w:t xml:space="preserve">To run the train-once-evaluate-on-many setup that quantifies out-of-distribution robustness:</w:t>
      </w:r>
    </w:p>
    <w:p>
      <w:pPr>
        <w:shd w:fill="F2F2F2" w:val="clear"/>
        <w:spacing w:after="0" w:before="80" w:line="240"/>
        <w:ind w:left="360"/>
      </w:pPr>
      <w:r>
        <w:rPr>
          <w:rFonts w:ascii="Consolas" w:cs="Consolas" w:eastAsia="Consolas" w:hAnsi="Consolas"/>
          <w:sz w:val="18"/>
          <w:szCs w:val="18"/>
        </w:rPr>
        <w:t xml:space="preserve">python main.py --mode full \</w:t>
      </w:r>
    </w:p>
    <w:p>
      <w:pPr>
        <w:shd w:fill="F2F2F2" w:val="clear"/>
        <w:spacing w:after="0" w:before="0" w:line="240"/>
        <w:ind w:left="360"/>
      </w:pPr>
      <w:r>
        <w:rPr>
          <w:rFonts w:ascii="Consolas" w:cs="Consolas" w:eastAsia="Consolas" w:hAnsi="Consolas"/>
          <w:sz w:val="18"/>
          <w:szCs w:val="18"/>
        </w:rPr>
        <w:t xml:space="preserve">    --data-source real --data-dir data \</w:t>
      </w:r>
    </w:p>
    <w:p>
      <w:pPr>
        <w:shd w:fill="F2F2F2" w:val="clear"/>
        <w:spacing w:after="0" w:before="0" w:line="240"/>
        <w:ind w:left="360"/>
      </w:pPr>
      <w:r>
        <w:rPr>
          <w:rFonts w:ascii="Consolas" w:cs="Consolas" w:eastAsia="Consolas" w:hAnsi="Consolas"/>
          <w:sz w:val="18"/>
          <w:szCs w:val="18"/>
        </w:rPr>
        <w:t xml:space="preserve">    --train-year 2023 --eval-year 2024 \</w:t>
      </w:r>
    </w:p>
    <w:p>
      <w:pPr>
        <w:shd w:fill="F2F2F2" w:val="clear"/>
        <w:spacing w:after="0" w:before="0" w:line="240"/>
        <w:ind w:left="360"/>
      </w:pPr>
      <w:r>
        <w:rPr>
          <w:rFonts w:ascii="Consolas" w:cs="Consolas" w:eastAsia="Consolas" w:hAnsi="Consolas"/>
          <w:sz w:val="18"/>
          <w:szCs w:val="18"/>
        </w:rPr>
        <w:t xml:space="preserve">    --forecast-calibration-json results/block1/calibrations.json \</w:t>
      </w:r>
    </w:p>
    <w:p>
      <w:pPr>
        <w:shd w:fill="F2F2F2" w:val="clear"/>
        <w:spacing w:after="0" w:before="0" w:line="240"/>
        <w:ind w:left="360"/>
      </w:pPr>
      <w:r>
        <w:rPr>
          <w:rFonts w:ascii="Consolas" w:cs="Consolas" w:eastAsia="Consolas" w:hAnsi="Consolas"/>
          <w:sz w:val="18"/>
          <w:szCs w:val="18"/>
        </w:rPr>
        <w:t xml:space="preserve">    --forecast-regime normalized_2023_2024 \</w:t>
      </w:r>
    </w:p>
    <w:p>
      <w:pPr>
        <w:shd w:fill="F2F2F2" w:val="clear"/>
        <w:spacing w:after="0" w:before="0" w:line="240"/>
        <w:ind w:left="360"/>
      </w:pPr>
      <w:r>
        <w:rPr>
          <w:rFonts w:ascii="Consolas" w:cs="Consolas" w:eastAsia="Consolas" w:hAnsi="Consolas"/>
          <w:sz w:val="18"/>
          <w:szCs w:val="18"/>
        </w:rPr>
        <w:t xml:space="preserve">    --train-dist ornstein-uhlenbeck \</w:t>
      </w:r>
    </w:p>
    <w:p>
      <w:pPr>
        <w:shd w:fill="F2F2F2" w:val="clear"/>
        <w:spacing w:after="200" w:before="0" w:line="240"/>
        <w:ind w:left="360"/>
      </w:pPr>
      <w:r>
        <w:rPr>
          <w:rFonts w:ascii="Consolas" w:cs="Consolas" w:eastAsia="Consolas" w:hAnsi="Consolas"/>
          <w:sz w:val="18"/>
          <w:szCs w:val="18"/>
        </w:rPr>
        <w:t xml:space="preserve">    --eval-dists uniform normal ornstein-uhlenbeck fixed-bias</w:t>
      </w:r>
    </w:p>
    <w:p>
      <w:pPr>
        <w:spacing w:after="160" w:line="300"/>
        <w:jc w:val="both"/>
      </w:pPr>
      <w:r>
        <w:t xml:space="preserve">The agent is trained once on the OU calibrated for 2023-2024 and then evaluated on all four distributions independently. Wall-clock duration scales roughly linearly with the number of eval distributions, so expect 12 to 20 hours on a consumer CPU for the full four-distribution setup. Running on a small cluster or a workstation with parallelisable batched MILP solves would shorten this significantly, but this is a one-time operation.</w:t>
      </w:r>
    </w:p>
    <w:p>
      <w:pPr>
        <w:pStyle w:val="Heading2"/>
        <w:spacing w:after="160" w:before="280"/>
      </w:pPr>
      <w:r>
        <w:rPr>
          <w:b/>
          <w:bCs/>
        </w:rPr>
        <w:t xml:space="preserve">10.4 Legacy synthetic mode</w:t>
      </w:r>
    </w:p>
    <w:p>
      <w:pPr>
        <w:spacing w:after="160" w:line="300"/>
        <w:jc w:val="both"/>
      </w:pPr>
      <w:r>
        <w:t xml:space="preserve">Omitting --data-source real reverts to the legacy synthetic sinusoidal price generator, with no further changes needed. This is useful for debugging and for reproducing the historical results that appear in earlier internal reports.</w:t>
      </w:r>
    </w:p>
    <w:p>
      <w:pPr>
        <w:pStyle w:val="Heading1"/>
        <w:spacing w:after="200" w:before="360"/>
      </w:pPr>
      <w:r>
        <w:rPr>
          <w:b/>
          <w:bCs/>
        </w:rPr>
        <w:t xml:space="preserve">11. The planned paper</w:t>
      </w:r>
    </w:p>
    <w:p>
      <w:pPr>
        <w:pStyle w:val="Heading2"/>
        <w:spacing w:after="160" w:before="280"/>
      </w:pPr>
      <w:r>
        <w:rPr>
          <w:b/>
          <w:bCs/>
        </w:rPr>
        <w:t xml:space="preserve">11.1 Working title</w:t>
      </w:r>
    </w:p>
    <w:p>
      <w:pPr>
        <w:spacing w:after="160" w:line="300"/>
        <w:jc w:val="both"/>
      </w:pPr>
      <w:r>
        <w:t xml:space="preserve">The current working title is: Robust DRL for BESS multi-service scheduling: closing the optimality gap with MILP via behavioural cloning under forecast-error distribution shift. The title encodes the three core contributions: a deep reinforcement learning approach to BESS multi-service scheduling on a realistic Italian market, a systematic characterisation of the optimality gap relative to MILP under empirically calibrated forecast errors, and a behavioural cloning warm-start that demonstrably narrows the gap and improves robustness to distribution shift.</w:t>
      </w:r>
    </w:p>
    <w:p>
      <w:pPr>
        <w:pStyle w:val="Heading2"/>
        <w:spacing w:after="160" w:before="280"/>
      </w:pPr>
      <w:r>
        <w:rPr>
          <w:b/>
          <w:bCs/>
        </w:rPr>
        <w:t xml:space="preserve">11.2 Target venue</w:t>
      </w:r>
    </w:p>
    <w:p>
      <w:pPr>
        <w:spacing w:after="160" w:line="300"/>
        <w:jc w:val="both"/>
      </w:pPr>
      <w:r>
        <w:t xml:space="preserve">Applied Energy is the primary target. It is a Q1 energy systems journal with a strong track record on BESS optimization papers, accepts deep-learning methodology when the application is well-motivated, and welcomes papers grounded in real market data. Alternative fallback venues are Energy Conversion and Management, Energy and AI, and IEEE Transactions on Smart Grid. The decision among these will depend on the strength of the BC ablation results.</w:t>
      </w:r>
    </w:p>
    <w:p>
      <w:pPr>
        <w:pStyle w:val="Heading2"/>
        <w:spacing w:after="160" w:before="280"/>
      </w:pPr>
      <w:r>
        <w:rPr>
          <w:b/>
          <w:bCs/>
        </w:rPr>
        <w:t xml:space="preserve">11.3 Planned structure</w:t>
      </w:r>
    </w:p>
    <w:p>
      <w:pPr>
        <w:spacing w:after="160" w:line="300"/>
        <w:jc w:val="both"/>
      </w:pPr>
      <w:r>
        <w:t xml:space="preserve">The paper will be organised in seven sections. The introduction will motivate the multi-service BESS scheduling problem in the context of European decarbonisation and the Italian energy transition, situate the work in the literature on RL-for-energy and on imitation learning, and state the three contributions. The materials and methods section will document the asset model, the market model, the MILP formulation, the PPO environment, the BC pretraining procedure, and the forecast-error calibration methodology of Block 1. The experimental setup section will describe the Italian data, the two regimes, the train-once-evaluate-on-many protocol, the multi-seed campaign for statistical significance, and the metrics (net profit, profit gap relative to MILP, throughput, service revenue breakdown, robustness coefficient of variation across distributions). The results section will present the main finding (vanilla PPO leaves X percent on the table relative to MILP under in-distribution OU errors, widening to Y percent under the 2022 gas-crisis OU; BC warm-start narrows this to Z percent in-distribution and W percent OOD). The discussion will analyse what BC learns from MILP, what residual gap remains, and how the approach generalises beyond the Italian market. The conclusions will summarise the contribution. An appendix will present additional ablations.</w:t>
      </w:r>
    </w:p>
    <w:p>
      <w:pPr>
        <w:pStyle w:val="Heading2"/>
        <w:spacing w:after="160" w:before="280"/>
      </w:pPr>
      <w:r>
        <w:rPr>
          <w:b/>
          <w:bCs/>
        </w:rPr>
        <w:t xml:space="preserve">11.4 The empirical contribution</w:t>
      </w:r>
    </w:p>
    <w:p>
      <w:pPr>
        <w:spacing w:after="160" w:line="300"/>
        <w:jc w:val="both"/>
      </w:pPr>
      <w:r>
        <w:t xml:space="preserve">Three things make the empirical contribution distinctive. First, the use of real Italian PUN data across three years including the gas crisis regime, which provides a natural distribution-shift testbed that other papers using only normalised regimes cannot offer. Second, the empirically calibrated forecast errors that allow per-regime parameterisation of the Ornstein-Uhlenbeck process, going beyond the uniform or Gaussian placeholders common in the literature. Third, the BC warm-start, which is novel in the BESS multi-service context (although BC has been used in single-service energy applications). The combination of these three positions the paper as both methodologically careful and empirically grounded, which addresses the common Applied Energy reviewer concern that RL papers tend to be either methodologically rigorous on synthetic data or empirically rich on a single market regime, but rarely both.</w:t>
      </w:r>
    </w:p>
    <w:p>
      <w:pPr>
        <w:pStyle w:val="Heading1"/>
        <w:spacing w:after="200" w:before="360"/>
      </w:pPr>
      <w:r>
        <w:rPr>
          <w:b/>
          <w:bCs/>
        </w:rPr>
        <w:t xml:space="preserve">12. Remaining work toward submission</w:t>
      </w:r>
    </w:p>
    <w:p>
      <w:pPr>
        <w:spacing w:after="160" w:line="300"/>
        <w:jc w:val="both"/>
      </w:pPr>
      <w:r>
        <w:t xml:space="preserve">Four substantive blocks of work remain. They are roughly independent and can be progressed in parallel, although there are some sensible orderings.</w:t>
      </w:r>
    </w:p>
    <w:p>
      <w:pPr>
        <w:pStyle w:val="Heading2"/>
        <w:spacing w:after="160" w:before="280"/>
      </w:pPr>
      <w:r>
        <w:rPr>
          <w:b/>
          <w:bCs/>
        </w:rPr>
        <w:t xml:space="preserve">12.1 Block 3.B: out-of-distribution evaluation on 2022</w:t>
      </w:r>
    </w:p>
    <w:p>
      <w:pPr>
        <w:spacing w:after="160" w:line="300"/>
        <w:jc w:val="both"/>
      </w:pPr>
      <w:r>
        <w:t xml:space="preserve">Extend main.py to optionally execute a second annual comparison loop on a designated out-of-distribution year. The natural choice for the Italian market is 2022 (the gas crisis year). The implementation requires a new --ood-year CLI flag, a parallel slicing of the 2022 PUN MGP from the same MarketDataLoader output, a second invocation of run_annual_comparison with the OOD-regime forecast errors, and merged summary reporting that puts in-distribution and OOD results side by side. Expected effort is one focused turn. The empirical value is high because the distribution shift between 2024 and 2022 is large (std doubles, bias quadruples, kurtosis six-fold) and the comparison directly tests the robustness claim of the paper.</w:t>
      </w:r>
    </w:p>
    <w:p>
      <w:pPr>
        <w:pStyle w:val="Heading2"/>
        <w:spacing w:after="160" w:before="280"/>
      </w:pPr>
      <w:r>
        <w:rPr>
          <w:b/>
          <w:bCs/>
        </w:rPr>
        <w:t xml:space="preserve">12.2 Block 5: multi-seed campaign</w:t>
      </w:r>
    </w:p>
    <w:p>
      <w:pPr>
        <w:spacing w:after="160" w:line="300"/>
        <w:jc w:val="both"/>
      </w:pPr>
      <w:r>
        <w:t xml:space="preserve">Run the full annual comparison with at least five PPO seeds per configuration to produce error bars and to enable Welch significance tests on the PPO-vs-MILP profit gap. Five seeds times four eval distributions times two regimes (in-distribution and OOD) is forty annual runs at roughly 4 hours each, so plan for 30 to 50 CPU-hours total. The campaign can be parallelised across seeds. The output is a multi-seed daily_results.csv per configuration, plus summary statistics with mean, standard deviation, and Welch p-values. This block is purely computational and does not require code changes beyond a seed-sweep driver script.</w:t>
      </w:r>
    </w:p>
    <w:p>
      <w:pPr>
        <w:pStyle w:val="Heading2"/>
        <w:spacing w:after="160" w:before="280"/>
      </w:pPr>
      <w:r>
        <w:rPr>
          <w:b/>
          <w:bCs/>
        </w:rPr>
        <w:t xml:space="preserve">12.3 Block 6: behavioural cloning warm-start</w:t>
      </w:r>
    </w:p>
    <w:p>
      <w:pPr>
        <w:spacing w:after="160" w:line="300"/>
        <w:jc w:val="both"/>
      </w:pPr>
      <w:r>
        <w:t xml:space="preserve">This is the main scientific contribution. The implementation has three steps. First, generate an MILP-expert demonstration dataset by recording (observation, action) pairs from the MILP daily solves over the training year. The continuous MILP actions must be quantised onto the PPO discrete action grid, which is a non-trivial mapping that needs care: the 21 arbitrage levels are uniformly spaced, but the FCR and aFRR levels are at percentage-of-nameplate values, and the MILP can choose any continuous level. Second, supervised pretraining of the PPO policy network on the demonstration dataset using cross-entropy loss on the discrete actions. The imitation library from the stable-baselines3 ecosystem provides the BC trainer. Third, PPO fine-tuning from the BC initialisation, with a possibly reduced learning rate and entropy coefficient to avoid destroying the BC initialisation in early steps. Estimated effort is one to two weeks: most of the time goes into the action-mapping logic and into tuning the fine-tuning schedule. The output is a new pipeline mode --warm-start bc that runs the BC pretraining before the PPO fine-tuning step.</w:t>
      </w:r>
    </w:p>
    <w:p>
      <w:pPr>
        <w:pStyle w:val="Heading2"/>
        <w:spacing w:after="160" w:before="280"/>
      </w:pPr>
      <w:r>
        <w:rPr>
          <w:b/>
          <w:bCs/>
        </w:rPr>
        <w:t xml:space="preserve">12.4 Block 7: ablation study</w:t>
      </w:r>
    </w:p>
    <w:p>
      <w:pPr>
        <w:spacing w:after="160" w:line="300"/>
        <w:jc w:val="both"/>
      </w:pPr>
      <w:r>
        <w:t xml:space="preserve">The BC warm-start naturally invites a set of ablations: how does performance scale with the number of demonstration trajectories (10, 30, 60, 90 days of MILP expert data)? How does the choice of entropy coefficient during PPO fine-tune affect the gap? How does the learning-rate ratio between BC pretraining and PPO fine-tuning matter? And critically, does the BC warm-start beat a vanilla PPO that has been given the same total training budget (so the comparison is on data efficiency rather than on raw compute)? Each of these is a small CLI variant of the Block 6 pipeline. Expected effort is one week of computation plus a few days of analysis.</w:t>
      </w:r>
    </w:p>
    <w:p>
      <w:pPr>
        <w:pStyle w:val="Heading2"/>
        <w:spacing w:after="160" w:before="280"/>
      </w:pPr>
      <w:r>
        <w:rPr>
          <w:b/>
          <w:bCs/>
        </w:rPr>
        <w:t xml:space="preserve">12.5 Block 8: literature review</w:t>
      </w:r>
    </w:p>
    <w:p>
      <w:pPr>
        <w:spacing w:after="160" w:line="300"/>
        <w:jc w:val="both"/>
      </w:pPr>
      <w:r>
        <w:t xml:space="preserve">A systematic Scopus search of the recent literature on behavioural cloning and imitation learning applied to battery storage and energy management. The query used is approximately: (("behavioral cloning" OR "imitation learning") AND ("battery" OR "BESS" OR "energy storage") AND ("reinforcement learning" OR "DRL" OR "PPO")) AND PUBYEAR &gt;= 2022. Expected output is a 1.5-page literature review that situates the contribution and identifies the closest prior work. Estimated effort is three to four days of reading and writing, can be done in parallel with the experimental campaign.</w:t>
      </w:r>
    </w:p>
    <w:p>
      <w:pPr>
        <w:pStyle w:val="Heading1"/>
        <w:spacing w:after="200" w:before="360"/>
      </w:pPr>
      <w:r>
        <w:rPr>
          <w:b/>
          <w:bCs/>
        </w:rPr>
        <w:t xml:space="preserve">13. Methodological caveats and limitations</w:t>
      </w:r>
    </w:p>
    <w:p>
      <w:pPr>
        <w:spacing w:after="160" w:line="300"/>
        <w:jc w:val="both"/>
      </w:pPr>
      <w:r>
        <w:t xml:space="preserve">Several methodological choices in the current pipeline are simplifications that the paper should acknowledge explicitly. The flexibility-service prices remain synthetic, driven by ARERA tariff multipliers rather than by real MSD market data. The MSD ex-ante prices loaded by MarketDataLoader validate the order of magnitude of these synthetic tariffs but do not yet replace them. The paper should phrase this as a controlled simplification (the focus is on the day-ahead arbitrage component, where the heaviest information shift occurs) rather than as a limitation, but reviewers may still ask.</w:t>
      </w:r>
    </w:p>
    <w:p>
      <w:pPr>
        <w:spacing w:after="160" w:line="300"/>
        <w:jc w:val="both"/>
      </w:pPr>
      <w:r>
        <w:t xml:space="preserve">The forecast errors are sampled from the calibrated distribution at simulation time, not replayed deterministically from the empirical residual sequence. This is the right choice for PPO training but may be questioned for the evaluation. A robustness check that runs the comparison with empirical replay would address the concern; this is straightforward to add as an ablation in Block 7.</w:t>
      </w:r>
    </w:p>
    <w:p>
      <w:pPr>
        <w:spacing w:after="160" w:line="300"/>
        <w:jc w:val="both"/>
      </w:pPr>
      <w:r>
        <w:t xml:space="preserve">The MGP-vs-MI residual is used as a proxy for the day-ahead forecast error a BESS operator would face. Strictly, this proxy measures the difference between the day-ahead clearing price and the intraday revision price, not the difference between a forecasting model's output and the realised day-ahead price. The two are closely related but not identical. The paper should explain this and justify the proxy on the grounds that the intraday market embeds the latest information available about imminent delivery, so the MI price approximates the rational ex-post estimate of fair value better than any single forecasting model would.</w:t>
      </w:r>
    </w:p>
    <w:p>
      <w:pPr>
        <w:spacing w:after="160" w:line="300"/>
        <w:jc w:val="both"/>
      </w:pPr>
      <w:r>
        <w:t xml:space="preserve">The pipeline considers only the NORD market zone of Italy. Italy has six zones (NORD, CNOR, CSUD, SUD, SARDEGNA, SICILIA) and zonal prices can diverge meaningfully especially when transmission constraints bind. Extending to multi-zone analysis would multiply the data volume and would require a richer market model than the current single-zone code. This is a natural follow-up paper rather than an extension to be squeezed into the current one.</w:t>
      </w:r>
    </w:p>
    <w:p>
      <w:pPr>
        <w:spacing w:after="160" w:line="300"/>
        <w:jc w:val="both"/>
      </w:pPr>
      <w:r>
        <w:t xml:space="preserve">Finally, the degradation model is the polynomial empirical curve from the Battery class plus the amortised marginal-cost approximation. The polynomial coefficients are calibrated on a specific LFP cell technology; the marginal-cost approximation linearises the convex throughput-to-capacity-fade relationship. Both choices are standard but limit the generality of the results to LFP chemistries operating in a moderate-stress regime. The paper should report the parameters explicitly and discuss the sensitivity briefly.</w:t>
      </w:r>
    </w:p>
    <w:p>
      <w:pPr>
        <w:pStyle w:val="Heading1"/>
        <w:spacing w:after="200" w:before="360"/>
      </w:pPr>
      <w:r>
        <w:rPr>
          <w:b/>
          <w:bCs/>
        </w:rPr>
        <w:t xml:space="preserve">14. Summary of the current state</w:t>
      </w:r>
    </w:p>
    <w:p>
      <w:pPr>
        <w:spacing w:after="160" w:line="300"/>
        <w:jc w:val="both"/>
      </w:pPr>
      <w:r>
        <w:t xml:space="preserve">The codebase as of May 2026 implements a methodologically sound MILP-vs-PPO comparison on real Italian day-ahead prices, with empirically calibrated forecast-error distributions for two regimes, ARERA-compliant minimum-capacity constraints in the MILP, and a clean CLI-driven orchestrator. The three pre-existing bugs (sign convention, asymmetric degradation, mock PPO) are fixed. The four blocks of work (calibration, parameter plumbing, real-data porting, MILP minimum-capacity) are tested and documented. The pipeline is ready to produce paper-quality runs.</w:t>
      </w:r>
    </w:p>
    <w:p>
      <w:pPr>
        <w:spacing w:after="160" w:line="300"/>
        <w:jc w:val="both"/>
      </w:pPr>
      <w:r>
        <w:t xml:space="preserve">The remaining work to reach submission is the out-of-distribution evaluation on 2022 (one focused turn), the multi-seed campaign for statistical significance (30 to 50 CPU-hours), the behavioural cloning implementation (one to two weeks of focused engineering), the ablation suite (one week of computation and analysis), and the literature review (three to four days). The realistic timeline to a first submission, assuming reasonable concurrency between writing and experiments, is two to three months.</w:t>
      </w:r>
    </w:p>
    <w:p>
      <w:pPr>
        <w:spacing w:after="160" w:line="300"/>
        <w:jc w:val="both"/>
      </w:pPr>
      <w:r>
        <w:t xml:space="preserve">The path from where the project is now to a Q1 submission is therefore clear, and each remaining step is well-scoped. There are no open methodological issues that would block submission; the remaining work is execution.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BESS PPO vs MILP Project Status</dc:title>
  <dc:creator>Lorenzo Giannuzzo</dc:creator>
  <dc:description>Comprehensive status document on the BESS multi-service optimization project for the Italian electricity market.</dc:description>
  <cp:lastModifiedBy>Un-named</cp:lastModifiedBy>
  <cp:revision>1</cp:revision>
  <dcterms:created xsi:type="dcterms:W3CDTF">2026-05-27T10:26:34.225Z</dcterms:created>
  <dcterms:modified xsi:type="dcterms:W3CDTF">2026-05-27T10:26:34.239Z</dcterms:modified>
</cp:coreProperties>
</file>

<file path=docProps/custom.xml><?xml version="1.0" encoding="utf-8"?>
<Properties xmlns="http://schemas.openxmlformats.org/officeDocument/2006/custom-properties" xmlns:vt="http://schemas.openxmlformats.org/officeDocument/2006/docPropsVTypes"/>
</file>