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Modulo di Analisi Termica per CubeSat</w:t>
      </w:r>
    </w:p>
    <w:p>
      <w:pPr>
        <w:spacing w:after="40"/>
        <w:jc w:val="center"/>
      </w:pPr>
      <w:r>
        <w:rPr>
          <w:b w:val="0"/>
          <w:i w:val="0"/>
          <w:color w:val="595959"/>
          <w:sz w:val="24"/>
        </w:rPr>
        <w:t>Documento tecnico e caso di test — Pipeline STAR</w:t>
      </w:r>
    </w:p>
    <w:p>
      <w:pPr>
        <w:spacing w:after="200"/>
        <w:jc w:val="center"/>
      </w:pPr>
      <w:r>
        <w:rPr>
          <w:b w:val="0"/>
          <w:i w:val="0"/>
          <w:color w:val="808080"/>
          <w:sz w:val="20"/>
        </w:rPr>
        <w:t>Versione 1.0</w:t>
      </w:r>
    </w:p>
    <w:p>
      <w:pPr>
        <w:pStyle w:val="Heading1"/>
      </w:pPr>
      <w:r>
        <w:t>1. Scopo del modulo</w:t>
      </w:r>
    </w:p>
    <w:p>
      <w:pPr>
        <w:spacing w:after="120"/>
      </w:pPr>
      <w:r>
        <w:rPr>
          <w:b w:val="0"/>
          <w:i w:val="0"/>
          <w:sz w:val="22"/>
        </w:rPr>
        <w:t>Il modulo esegue l'analisi termica di un CubeSat all'interno della pipeline STAR. A partire dai dati di orbita e di assetto prodotti dai moduli a monte, calcola l'evoluzione nel tempo delle temperature delle superfici esterne (facce e pannelli solari) e dei componenti interni (nodo centrale, batteria ed eventuale payload SAR), e segnala gli eventuali superamenti dei limiti operativi. Il tempo di analisi coincide automaticamente con la durata della propagazione fornita in ingresso.</w:t>
      </w:r>
    </w:p>
    <w:p>
      <w:pPr>
        <w:spacing w:after="120"/>
      </w:pPr>
      <w:r>
        <w:rPr>
          <w:b w:val="0"/>
          <w:i w:val="0"/>
          <w:sz w:val="22"/>
        </w:rPr>
        <w:t>È pensato per essere richiamato come blocco autonomo (“black box”): riceve alcuni file di input, esegue il calcolo e produce file di output, senza che sia necessario conoscerne il funzionamento interno.</w:t>
      </w:r>
    </w:p>
    <w:p>
      <w:pPr>
        <w:pStyle w:val="Heading1"/>
      </w:pPr>
      <w:r>
        <w:t>2. Descrizione e metodo</w:t>
      </w:r>
    </w:p>
    <w:p>
      <w:pPr>
        <w:spacing w:after="120"/>
      </w:pPr>
      <w:r>
        <w:rPr>
          <w:b w:val="0"/>
          <w:i w:val="0"/>
          <w:sz w:val="22"/>
        </w:rPr>
        <w:t>Il codice, sviluppato in ambiente MATLAB, implementa un modello termico a parametri concentrati (lumped-parameter): il satellite è rappresentato da un numero ridotto di nodi termici che scambiano calore tra loro e con l'ambiente orbitale (flusso solare, albedo, infrarosso terrestre, eclissi) e con lo spazio profondo. Il dettaglio del metodo e i valori dei parametri non sono oggetto di questo documento.</w:t>
      </w:r>
    </w:p>
    <w:p>
      <w:pPr>
        <w:spacing w:after="120"/>
      </w:pPr>
      <w:r>
        <w:rPr>
          <w:b w:val="0"/>
          <w:i w:val="0"/>
          <w:sz w:val="22"/>
        </w:rPr>
        <w:t>I parametri del modello sono stati calibrati utilizzando misure di temperatura acquisite in orbita da satelliti reali (missione WildtrackCube / SIMBA), in modo da riprodurre il comportamento termico effettivamente osservato in volo. Le specifiche di calibrazione e i parametri identificati sono riservati.</w:t>
      </w:r>
    </w:p>
    <w:p>
      <w:pPr>
        <w:spacing w:after="120"/>
      </w:pPr>
      <w:r>
        <w:rPr>
          <w:b w:val="0"/>
          <w:i w:val="0"/>
          <w:sz w:val="22"/>
        </w:rPr>
        <w:t>Vantaggio operativo: il modulo consente analisi termiche semplificate in modo rapido e affidabile già nelle fasi preliminari di missione, senza ricorrere a software di simulazione termica complessi, e si integra direttamente nel flusso di lavoro STAR.</w:t>
      </w:r>
    </w:p>
    <w:p>
      <w:pPr>
        <w:pStyle w:val="Heading1"/>
      </w:pPr>
      <w:r>
        <w:t>3. Dati di ingresso (input)</w:t>
      </w:r>
    </w:p>
    <w:p>
      <w:pPr>
        <w:spacing w:after="120"/>
      </w:pPr>
      <w:r>
        <w:rPr>
          <w:b w:val="0"/>
          <w:i w:val="0"/>
          <w:sz w:val="22"/>
        </w:rPr>
        <w:t>Il comportamento del modulo si imposta tramite un file di configurazione (input_termico.json). I campi principali: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71"/>
            <w:shd w:val="clear" w:color="auto" w:fill="D9E2F3"/>
          </w:tcPr>
          <w:p>
            <w:pPr>
              <w:jc w:val="left"/>
            </w:pPr>
            <w:r>
              <w:rPr>
                <w:b/>
                <w:sz w:val="20"/>
              </w:rPr>
              <w:t>Parametro</w:t>
            </w:r>
          </w:p>
        </w:tc>
        <w:tc>
          <w:tcPr>
            <w:tcW w:type="dxa" w:w="1871"/>
            <w:shd w:val="clear" w:color="auto" w:fill="D9E2F3"/>
          </w:tcPr>
          <w:p>
            <w:pPr>
              <w:jc w:val="center"/>
            </w:pPr>
            <w:r>
              <w:rPr>
                <w:b/>
                <w:sz w:val="20"/>
              </w:rPr>
              <w:t>Valori</w:t>
            </w:r>
          </w:p>
        </w:tc>
        <w:tc>
          <w:tcPr>
            <w:tcW w:type="dxa" w:w="5499"/>
            <w:shd w:val="clear" w:color="auto" w:fill="D9E2F3"/>
          </w:tcPr>
          <w:p>
            <w:pPr>
              <w:jc w:val="center"/>
            </w:pPr>
            <w:r>
              <w:rPr>
                <w:b/>
                <w:sz w:val="20"/>
              </w:rPr>
              <w:t>Significato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>
              <w:rPr>
                <w:sz w:val="20"/>
              </w:rPr>
              <w:t>form_factor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sz w:val="20"/>
              </w:rPr>
              <w:t>1U / 3U / 6U / 12U</w:t>
            </w:r>
          </w:p>
        </w:tc>
        <w:tc>
          <w:tcPr>
            <w:tcW w:type="dxa" w:w="5499"/>
          </w:tcPr>
          <w:p>
            <w:pPr>
              <w:jc w:val="center"/>
            </w:pPr>
            <w:r>
              <w:rPr>
                <w:sz w:val="20"/>
              </w:rPr>
              <w:t>Dimensione del satellite</w:t>
            </w:r>
          </w:p>
        </w:tc>
      </w:tr>
      <w:tr>
        <w:tc>
          <w:tcPr>
            <w:tcW w:type="dxa" w:w="1871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panels</w:t>
            </w:r>
          </w:p>
        </w:tc>
        <w:tc>
          <w:tcPr>
            <w:tcW w:type="dxa" w:w="1871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body / deployable / both</w:t>
            </w:r>
          </w:p>
        </w:tc>
        <w:tc>
          <w:tcPr>
            <w:tcW w:type="dxa" w:w="5499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Pannelli solari a corpo, dispiegabili o entrambi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>
              <w:rPr>
                <w:sz w:val="20"/>
              </w:rPr>
              <w:t>n_internal_nodes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sz w:val="20"/>
              </w:rPr>
              <w:t>1 / 2 / 3</w:t>
            </w:r>
          </w:p>
        </w:tc>
        <w:tc>
          <w:tcPr>
            <w:tcW w:type="dxa" w:w="5499"/>
          </w:tcPr>
          <w:p>
            <w:pPr>
              <w:jc w:val="center"/>
            </w:pPr>
            <w:r>
              <w:rPr>
                <w:sz w:val="20"/>
              </w:rPr>
              <w:t>1 = parte interna · 2 = +batteria · 3 = +payload SAR</w:t>
            </w:r>
          </w:p>
        </w:tc>
      </w:tr>
      <w:tr>
        <w:tc>
          <w:tcPr>
            <w:tcW w:type="dxa" w:w="1871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sar_power_W</w:t>
            </w:r>
          </w:p>
        </w:tc>
        <w:tc>
          <w:tcPr>
            <w:tcW w:type="dxa" w:w="1871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numero [W]</w:t>
            </w:r>
          </w:p>
        </w:tc>
        <w:tc>
          <w:tcPr>
            <w:tcW w:type="dxa" w:w="5499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Potenza del payload SAR (con 3 nodi)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>
              <w:rPr>
                <w:sz w:val="20"/>
              </w:rPr>
              <w:t>sar_source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sz w:val="20"/>
              </w:rPr>
              <w:t>passes / duty</w:t>
            </w:r>
          </w:p>
        </w:tc>
        <w:tc>
          <w:tcPr>
            <w:tcW w:type="dxa" w:w="5499"/>
          </w:tcPr>
          <w:p>
            <w:pPr>
              <w:jc w:val="center"/>
            </w:pPr>
            <w:r>
              <w:rPr>
                <w:sz w:val="20"/>
              </w:rPr>
              <w:t>SAR acceso nei pass di imaging oppure a ciclo fisso</w:t>
            </w:r>
          </w:p>
        </w:tc>
      </w:tr>
      <w:tr>
        <w:tc>
          <w:tcPr>
            <w:tcW w:type="dxa" w:w="1871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sar_duty</w:t>
            </w:r>
          </w:p>
        </w:tc>
        <w:tc>
          <w:tcPr>
            <w:tcW w:type="dxa" w:w="1871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0 – 1</w:t>
            </w:r>
          </w:p>
        </w:tc>
        <w:tc>
          <w:tcPr>
            <w:tcW w:type="dxa" w:w="5499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Frazione di orbita con SAR acceso (se “duty”)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2"/>
        </w:rPr>
        <w:t>Il modulo legge inoltre i file STAR prodotti dai moduli a monte: le orbite (satellite_XX.json), le finestre dei pass di imaging (selected_pass_summary.csv) e l'assetto (output_attitude_propagation.csv).</w:t>
      </w:r>
    </w:p>
    <w:p>
      <w:pPr>
        <w:pStyle w:val="Heading1"/>
      </w:pPr>
      <w:r>
        <w:t>4. Risultati (output)</w:t>
      </w:r>
    </w:p>
    <w:p>
      <w:pPr>
        <w:spacing w:after="120"/>
      </w:pPr>
      <w:r>
        <w:rPr>
          <w:b w:val="0"/>
          <w:i w:val="0"/>
          <w:sz w:val="22"/>
        </w:rPr>
        <w:t>Per ogni satellite il modulo scrive, nella cartella di output indicata: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402"/>
            <w:shd w:val="clear" w:color="auto" w:fill="D9E2F3"/>
          </w:tcPr>
          <w:p>
            <w:pPr>
              <w:jc w:val="left"/>
            </w:pPr>
            <w:r>
              <w:rPr>
                <w:b/>
                <w:sz w:val="20"/>
              </w:rPr>
              <w:t>File</w:t>
            </w:r>
          </w:p>
        </w:tc>
        <w:tc>
          <w:tcPr>
            <w:tcW w:type="dxa" w:w="5839"/>
            <w:shd w:val="clear" w:color="auto" w:fill="D9E2F3"/>
          </w:tcPr>
          <w:p>
            <w:pPr>
              <w:jc w:val="center"/>
            </w:pPr>
            <w:r>
              <w:rPr>
                <w:b/>
                <w:sz w:val="20"/>
              </w:rPr>
              <w:t>Contenuto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sz w:val="20"/>
              </w:rPr>
              <w:t>output_thermal_SAT-XX.csv</w:t>
            </w:r>
          </w:p>
        </w:tc>
        <w:tc>
          <w:tcPr>
            <w:tcW w:type="dxa" w:w="5839"/>
          </w:tcPr>
          <w:p>
            <w:pPr>
              <w:jc w:val="center"/>
            </w:pPr>
            <w:r>
              <w:rPr>
                <w:sz w:val="20"/>
              </w:rPr>
              <w:t>Serie temporale delle temperature di ogni faccia/pannello/nodo, con indicatori di SAR acceso ed eclisse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thermal_summary_SAT-XX.json</w:t>
            </w:r>
          </w:p>
        </w:tc>
        <w:tc>
          <w:tcPr>
            <w:tcW w:type="dxa" w:w="5839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Riassunto: configurazione, min/max/media per nodo, temperature dei pannelli solari, picchi e superamenti dei limiti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sz w:val="20"/>
              </w:rPr>
              <w:t>thermal_constellation_output.csv</w:t>
            </w:r>
          </w:p>
        </w:tc>
        <w:tc>
          <w:tcPr>
            <w:tcW w:type="dxa" w:w="5839"/>
          </w:tcPr>
          <w:p>
            <w:pPr>
              <w:jc w:val="center"/>
            </w:pPr>
            <w:r>
              <w:rPr>
                <w:sz w:val="20"/>
              </w:rPr>
              <w:t>Una riga di sintesi per satellite, per il livello di costellazione</w:t>
            </w:r>
          </w:p>
        </w:tc>
      </w:tr>
    </w:tbl>
    <w:p>
      <w:pPr>
        <w:spacing w:after="80"/>
      </w:pPr>
    </w:p>
    <w:p>
      <w:pPr>
        <w:pStyle w:val="Heading1"/>
      </w:pPr>
      <w:r>
        <w:t>5. Caso di test per la verifica dell'integrazione</w:t>
      </w:r>
    </w:p>
    <w:p>
      <w:pPr>
        <w:spacing w:after="120"/>
      </w:pPr>
      <w:r>
        <w:rPr>
          <w:b w:val="0"/>
          <w:i w:val="0"/>
          <w:sz w:val="22"/>
        </w:rPr>
        <w:t>Questo caso permette a chi integra il modulo di verificare che l'installazione e la catena input/output funzionino correttamente. Si parte dal caso di esempio STAR fornito (satellite SAT-01) e si imposta la configurazione seguente.</w:t>
      </w:r>
    </w:p>
    <w:p>
      <w:pPr>
        <w:pStyle w:val="Heading2"/>
      </w:pPr>
      <w:r>
        <w:t>5.1 Configurazione del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402"/>
            <w:shd w:val="clear" w:color="auto" w:fill="D9E2F3"/>
          </w:tcPr>
          <w:p>
            <w:pPr>
              <w:jc w:val="left"/>
            </w:pPr>
            <w:r>
              <w:rPr>
                <w:b/>
                <w:sz w:val="20"/>
              </w:rPr>
              <w:t>Impostazione</w:t>
            </w:r>
          </w:p>
        </w:tc>
        <w:tc>
          <w:tcPr>
            <w:tcW w:type="dxa" w:w="5839"/>
            <w:shd w:val="clear" w:color="auto" w:fill="D9E2F3"/>
          </w:tcPr>
          <w:p>
            <w:pPr>
              <w:jc w:val="center"/>
            </w:pPr>
            <w:r>
              <w:rPr>
                <w:b/>
                <w:sz w:val="20"/>
              </w:rPr>
              <w:t>Valore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sz w:val="20"/>
              </w:rPr>
              <w:t>Satellite / orbita</w:t>
            </w:r>
          </w:p>
        </w:tc>
        <w:tc>
          <w:tcPr>
            <w:tcW w:type="dxa" w:w="5839"/>
          </w:tcPr>
          <w:p>
            <w:pPr>
              <w:jc w:val="center"/>
            </w:pPr>
            <w:r>
              <w:rPr>
                <w:sz w:val="20"/>
              </w:rPr>
              <w:t>Esempio STAR SAT-01 (quota ~1200 km, ~48 h)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form_factor</w:t>
            </w:r>
          </w:p>
        </w:tc>
        <w:tc>
          <w:tcPr>
            <w:tcW w:type="dxa" w:w="5839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3U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sz w:val="20"/>
              </w:rPr>
              <w:t>panels</w:t>
            </w:r>
          </w:p>
        </w:tc>
        <w:tc>
          <w:tcPr>
            <w:tcW w:type="dxa" w:w="5839"/>
          </w:tcPr>
          <w:p>
            <w:pPr>
              <w:jc w:val="center"/>
            </w:pPr>
            <w:r>
              <w:rPr>
                <w:sz w:val="20"/>
              </w:rPr>
              <w:t>deployable (pannelli dispiegabili)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n_internal_nodes</w:t>
            </w:r>
          </w:p>
        </w:tc>
        <w:tc>
          <w:tcPr>
            <w:tcW w:type="dxa" w:w="5839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3 (centrale + batteria + SAR)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sz w:val="20"/>
              </w:rPr>
              <w:t>sar_power_W</w:t>
            </w:r>
          </w:p>
        </w:tc>
        <w:tc>
          <w:tcPr>
            <w:tcW w:type="dxa" w:w="5839"/>
          </w:tcPr>
          <w:p>
            <w:pPr>
              <w:jc w:val="center"/>
            </w:pPr>
            <w:r>
              <w:rPr>
                <w:sz w:val="20"/>
              </w:rPr>
              <w:t>200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sar_source</w:t>
            </w:r>
          </w:p>
        </w:tc>
        <w:tc>
          <w:tcPr>
            <w:tcW w:type="dxa" w:w="5839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duty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sz w:val="20"/>
              </w:rPr>
              <w:t>sar_duty</w:t>
            </w:r>
          </w:p>
        </w:tc>
        <w:tc>
          <w:tcPr>
            <w:tcW w:type="dxa" w:w="5839"/>
          </w:tcPr>
          <w:p>
            <w:pPr>
              <w:jc w:val="center"/>
            </w:pPr>
            <w:r>
              <w:rPr>
                <w:sz w:val="20"/>
              </w:rPr>
              <w:t>0.30 (30%)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i w:val="0"/>
          <w:sz w:val="22"/>
        </w:rPr>
        <w:t>File input_termico.json corrispondente:</w:t>
      </w:r>
    </w:p>
    <w:p>
      <w:pPr>
        <w:spacing w:after="200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"star_input_dir": "./esempi_io_star",</w:t>
        <w:br/>
        <w:t xml:space="preserve">  "output_dir": "./output_test",</w:t>
        <w:br/>
        <w:t xml:space="preserve">  "form_factor": "3U",</w:t>
        <w:br/>
        <w:t xml:space="preserve">  "panels": "deployable",</w:t>
        <w:br/>
        <w:t xml:space="preserve">  "n_internal_nodes": 3,</w:t>
        <w:br/>
        <w:t xml:space="preserve">  "sar_power_W": 200,</w:t>
        <w:br/>
        <w:t xml:space="preserve">  "sar_source": "duty",</w:t>
        <w:br/>
        <w:t xml:space="preserve">  "sar_duty": 0.30</w:t>
        <w:br/>
        <w:t>}</w:t>
      </w:r>
    </w:p>
    <w:p>
      <w:pPr>
        <w:pStyle w:val="Heading2"/>
      </w:pPr>
      <w:r>
        <w:t>5.2 Risultati attesi</w:t>
      </w:r>
    </w:p>
    <w:p>
      <w:pPr>
        <w:spacing w:after="120"/>
      </w:pPr>
      <w:r>
        <w:rPr>
          <w:b w:val="0"/>
          <w:i w:val="0"/>
          <w:sz w:val="22"/>
        </w:rPr>
        <w:t>Eseguendo il modulo con la configurazione sopra, ci si attende (satellite SAT-01, beta ≈ 55°, periodo orbitale ≈ 109 min). Valori di riferimento a regime, tolleranza ± 3 °C: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402"/>
            <w:shd w:val="clear" w:color="auto" w:fill="D9E2F3"/>
          </w:tcPr>
          <w:p>
            <w:pPr>
              <w:jc w:val="left"/>
            </w:pPr>
            <w:r>
              <w:rPr>
                <w:b/>
                <w:sz w:val="20"/>
              </w:rPr>
              <w:t>Nodo</w:t>
            </w:r>
          </w:p>
        </w:tc>
        <w:tc>
          <w:tcPr>
            <w:tcW w:type="dxa" w:w="1928"/>
            <w:shd w:val="clear" w:color="auto" w:fill="D9E2F3"/>
          </w:tcPr>
          <w:p>
            <w:pPr>
              <w:jc w:val="center"/>
            </w:pPr>
            <w:r>
              <w:rPr>
                <w:b/>
                <w:sz w:val="20"/>
              </w:rPr>
              <w:t>T min [°C]</w:t>
            </w:r>
          </w:p>
        </w:tc>
        <w:tc>
          <w:tcPr>
            <w:tcW w:type="dxa" w:w="1928"/>
            <w:shd w:val="clear" w:color="auto" w:fill="D9E2F3"/>
          </w:tcPr>
          <w:p>
            <w:pPr>
              <w:jc w:val="center"/>
            </w:pPr>
            <w:r>
              <w:rPr>
                <w:b/>
                <w:sz w:val="20"/>
              </w:rPr>
              <w:t>T max [°C]</w:t>
            </w:r>
          </w:p>
        </w:tc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20"/>
              </w:rPr>
              <w:t>T media [°C]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sz w:val="20"/>
              </w:rPr>
              <w:t>Facce laterali (+X / −X)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20"/>
              </w:rPr>
              <w:t>−13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20"/>
              </w:rPr>
              <w:t>192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Facce (+Y / −Y)</w:t>
            </w:r>
          </w:p>
        </w:tc>
        <w:tc>
          <w:tcPr>
            <w:tcW w:type="dxa" w:w="1928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−26</w:t>
            </w:r>
          </w:p>
        </w:tc>
        <w:tc>
          <w:tcPr>
            <w:tcW w:type="dxa" w:w="1928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121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sz w:val="20"/>
              </w:rPr>
              <w:t>Facce di testa (+Z / −Z)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20"/>
              </w:rPr>
              <w:t>−5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20"/>
              </w:rPr>
              <w:t>114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Pannelli dispiegabili</w:t>
            </w:r>
          </w:p>
        </w:tc>
        <w:tc>
          <w:tcPr>
            <w:tcW w:type="dxa" w:w="1928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−45</w:t>
            </w:r>
          </w:p>
        </w:tc>
        <w:tc>
          <w:tcPr>
            <w:tcW w:type="dxa" w:w="1928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75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62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sz w:val="20"/>
              </w:rPr>
              <w:t>Nodo centrale (CTR)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20"/>
              </w:rPr>
              <w:t>172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122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Batteria (BAT)</w:t>
            </w:r>
          </w:p>
        </w:tc>
        <w:tc>
          <w:tcPr>
            <w:tcW w:type="dxa" w:w="1928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928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103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93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sz w:val="20"/>
              </w:rPr>
              <w:t>Payload SAR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20"/>
              </w:rPr>
              <w:t>217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136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i w:val="0"/>
          <w:sz w:val="22"/>
        </w:rPr>
        <w:t>Valori di sintesi (dal file thermal_summary_SAT-01.json e dal CSV di costellazione):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819"/>
            <w:shd w:val="clear" w:color="auto" w:fill="D9E2F3"/>
          </w:tcPr>
          <w:p>
            <w:pPr>
              <w:jc w:val="left"/>
            </w:pPr>
            <w:r>
              <w:rPr>
                <w:b/>
                <w:sz w:val="20"/>
              </w:rPr>
              <w:t>Grandezza</w:t>
            </w:r>
          </w:p>
        </w:tc>
        <w:tc>
          <w:tcPr>
            <w:tcW w:type="dxa" w:w="4422"/>
            <w:shd w:val="clear" w:color="auto" w:fill="D9E2F3"/>
          </w:tcPr>
          <w:p>
            <w:pPr>
              <w:jc w:val="center"/>
            </w:pPr>
            <w:r>
              <w:rPr>
                <w:b/>
                <w:sz w:val="20"/>
              </w:rPr>
              <w:t>Valore atteso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Temperatura massima SAR</w:t>
            </w:r>
          </w:p>
        </w:tc>
        <w:tc>
          <w:tcPr>
            <w:tcW w:type="dxa" w:w="4422"/>
          </w:tcPr>
          <w:p>
            <w:pPr>
              <w:jc w:val="center"/>
            </w:pPr>
            <w:r>
              <w:rPr>
                <w:sz w:val="20"/>
              </w:rPr>
              <w:t>≈ 217 °C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Temperatura massima nodo centrale</w:t>
            </w:r>
          </w:p>
        </w:tc>
        <w:tc>
          <w:tcPr>
            <w:tcW w:type="dxa" w:w="4422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≈ 172 °C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Temperatura massima batteria</w:t>
            </w:r>
          </w:p>
        </w:tc>
        <w:tc>
          <w:tcPr>
            <w:tcW w:type="dxa" w:w="4422"/>
          </w:tcPr>
          <w:p>
            <w:pPr>
              <w:jc w:val="center"/>
            </w:pPr>
            <w:r>
              <w:rPr>
                <w:sz w:val="20"/>
              </w:rPr>
              <w:t>≈ 103 °C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Temperatura massima pannelli solari</w:t>
            </w:r>
          </w:p>
        </w:tc>
        <w:tc>
          <w:tcPr>
            <w:tcW w:type="dxa" w:w="4422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≈ 192 °C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Superamento limite batteria (25 °C)</w:t>
            </w:r>
          </w:p>
        </w:tc>
        <w:tc>
          <w:tcPr>
            <w:tcW w:type="dxa" w:w="4422"/>
          </w:tcPr>
          <w:p>
            <w:pPr>
              <w:jc w:val="center"/>
            </w:pPr>
            <w:r>
              <w:rPr>
                <w:sz w:val="20"/>
              </w:rPr>
              <w:t>SÌ (flag attivo)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/>
          <w:color w:val="595959"/>
          <w:sz w:val="20"/>
        </w:rPr>
        <w:t>Nota: il caso di test impone una potenza SAR elevata con duty cycle del 30% su un 3U, quindi le temperature risultano volutamente alte. L'obiettivo è fornire valori deterministici e ripetibili per la verifica dell'integrazione, non una configurazione operativa realistica.</w:t>
      </w:r>
    </w:p>
    <w:p>
      <w:pPr>
        <w:pStyle w:val="Heading2"/>
      </w:pPr>
      <w:r>
        <w:t>5.3 Andamento atteso delle temperature</w:t>
      </w:r>
    </w:p>
    <w:p>
      <w:pPr>
        <w:spacing w:after="120"/>
      </w:pPr>
      <w:r>
        <w:rPr>
          <w:b w:val="0"/>
          <w:i w:val="0"/>
          <w:sz w:val="22"/>
        </w:rPr>
        <w:t>Le figure seguenti mostrano l'andamento tipico prodotto dal modulo per questo caso (grafici equivalenti a quelli generati in MATLAB). Ogni faccia e ogni nodo interno è tracciato con colore ed etichetta propri.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est_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 — Temperature di tutte le superfici e di tutti i nodi nel tempo (caso di test).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59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est_spl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9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2 — Confronto tra parti esterne (facce e pannelli, a sinistra) e parti interne (nodo centrale, batteria, SAR, a destra).</w:t>
      </w:r>
    </w:p>
    <w:p>
      <w:pPr>
        <w:pStyle w:val="Heading1"/>
      </w:pPr>
      <w:r>
        <w:t>6. Esito della verifica</w:t>
      </w:r>
    </w:p>
    <w:p>
      <w:pPr>
        <w:spacing w:after="120"/>
      </w:pPr>
      <w:r>
        <w:rPr>
          <w:b w:val="0"/>
          <w:i w:val="0"/>
          <w:sz w:val="22"/>
        </w:rPr>
        <w:t>L'integrazione è da considerarsi corretta se: (i) il modulo viene invocato senza errori e restituisce codice di uscita 0; (ii) nella cartella di output compaiono i tre file attesi; (iii) i valori di sintesi coincidono con quelli della tabella al punto 5.2 entro la tolleranza indicata. In caso contrario, verificare i percorsi dei file di input STAR e la corretta lettura del file di configurazione.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