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6"/>
        </w:rPr>
        <w:t>STATEMENT OF WORK</w:t>
      </w:r>
    </w:p>
    <w:p>
      <w:pPr>
        <w:jc w:val="center"/>
      </w:pPr>
      <w:r>
        <w:rPr>
          <w:sz w:val="22"/>
        </w:rPr>
        <w:t>ASI PRELIMINARY DIGITAL-TWIN STUDY</w:t>
      </w:r>
    </w:p>
    <w:p/>
    <w:p>
      <w:pPr>
        <w:jc w:val="center"/>
      </w:pPr>
      <w:r>
        <w:rPr>
          <w:b/>
          <w:sz w:val="36"/>
        </w:rPr>
        <w:t>MEDEO-01: PRELIMINARY DESIGN AND DARK-SKY IMPACT ASSESSMENT OF A LOW-BRIGHTNESS OPTICAL EARTH-OBSERVATION CONSTELLATION FOR THE MEDITERRANEAN BASIN</w:t>
      </w:r>
    </w:p>
    <w:p/>
    <w:p/>
    <w:tbl>
      <w:tblPr>
        <w:tblStyle w:val="TableGrid"/>
        <w:tblW w:type="auto" w:w="0"/>
        <w:tblLayout w:type="fixed"/>
        <w:tblLook w:firstColumn="1" w:firstRow="1" w:lastColumn="0" w:lastRow="0" w:noHBand="0" w:noVBand="1" w:val="04A0"/>
      </w:tblPr>
      <w:tblGrid>
        <w:gridCol w:w="4536"/>
        <w:gridCol w:w="4536"/>
      </w:tblGrid>
      <w:tr>
        <w:tc>
          <w:tcPr>
            <w:tcW w:type="dxa" w:w="2381"/>
          </w:tcPr>
          <w:p>
            <w:r>
              <w:rPr>
                <w:b/>
              </w:rPr>
              <w:t>Document Type</w:t>
            </w:r>
          </w:p>
        </w:tc>
        <w:tc>
          <w:tcPr>
            <w:tcW w:type="dxa" w:w="6690"/>
          </w:tcPr>
          <w:p>
            <w:r>
              <w:t>SOW - Statement of Work</w:t>
            </w:r>
          </w:p>
        </w:tc>
      </w:tr>
      <w:tr>
        <w:tc>
          <w:tcPr>
            <w:tcW w:type="dxa" w:w="2381"/>
          </w:tcPr>
          <w:p>
            <w:r>
              <w:rPr>
                <w:b/>
              </w:rPr>
              <w:t>Reference</w:t>
            </w:r>
          </w:p>
        </w:tc>
        <w:tc>
          <w:tcPr>
            <w:tcW w:type="dxa" w:w="6690"/>
          </w:tcPr>
          <w:p>
            <w:r>
              <w:t>ASI-SOW-2026-MEDEO-01</w:t>
            </w:r>
          </w:p>
        </w:tc>
      </w:tr>
      <w:tr>
        <w:tc>
          <w:tcPr>
            <w:tcW w:type="dxa" w:w="2381"/>
          </w:tcPr>
          <w:p>
            <w:r>
              <w:rPr>
                <w:b/>
              </w:rPr>
              <w:t>Issue/Revision</w:t>
            </w:r>
          </w:p>
        </w:tc>
        <w:tc>
          <w:tcPr>
            <w:tcW w:type="dxa" w:w="6690"/>
          </w:tcPr>
          <w:p>
            <w:r>
              <w:t>1.0</w:t>
            </w:r>
          </w:p>
        </w:tc>
      </w:tr>
      <w:tr>
        <w:tc>
          <w:tcPr>
            <w:tcW w:type="dxa" w:w="2381"/>
          </w:tcPr>
          <w:p>
            <w:r>
              <w:rPr>
                <w:b/>
              </w:rPr>
              <w:t>Date of Issue</w:t>
            </w:r>
          </w:p>
        </w:tc>
        <w:tc>
          <w:tcPr>
            <w:tcW w:type="dxa" w:w="6690"/>
          </w:tcPr>
          <w:p>
            <w:r>
              <w:t>22/09/2026</w:t>
            </w:r>
          </w:p>
        </w:tc>
      </w:tr>
      <w:tr>
        <w:tc>
          <w:tcPr>
            <w:tcW w:type="dxa" w:w="2381"/>
          </w:tcPr>
          <w:p>
            <w:r>
              <w:rPr>
                <w:b/>
              </w:rPr>
              <w:t>Status</w:t>
            </w:r>
          </w:p>
        </w:tc>
        <w:tc>
          <w:tcPr>
            <w:tcW w:type="dxa" w:w="6690"/>
          </w:tcPr>
          <w:p>
            <w:r>
              <w:t>Draft</w:t>
            </w:r>
          </w:p>
        </w:tc>
      </w:tr>
      <w:tr>
        <w:tc>
          <w:tcPr>
            <w:tcW w:type="dxa" w:w="2381"/>
          </w:tcPr>
          <w:p>
            <w:r>
              <w:rPr>
                <w:b/>
              </w:rPr>
              <w:t>Prepared by</w:t>
            </w:r>
          </w:p>
        </w:tc>
        <w:tc>
          <w:tcPr>
            <w:tcW w:type="dxa" w:w="6690"/>
          </w:tcPr>
          <w:p>
            <w:r>
              <w:t>Italian Space Agency (ASI) - Earth Observation and Space Situational Awareness Coordination</w:t>
            </w:r>
          </w:p>
        </w:tc>
      </w:tr>
    </w:tbl>
    <w:p/>
    <w:p>
      <w:r>
        <w:rPr>
          <w:i/>
        </w:rPr>
        <w:t>This is a simulated document prepared as an example for a mission-analysis exercise. It is not an official ASI document and is not associated with any real procurement.</w:t>
      </w:r>
    </w:p>
    <w:p>
      <w:r>
        <w:br w:type="page"/>
      </w:r>
    </w:p>
    <w:p>
      <w:pPr>
        <w:pStyle w:val="Heading1"/>
      </w:pPr>
      <w:r>
        <w:t>Table of Contents</w:t>
      </w:r>
    </w:p>
    <w:p>
      <w:pPr>
        <w:ind w:left="0"/>
      </w:pPr>
      <w:r>
        <w:rPr>
          <w:b/>
        </w:rPr>
        <w:t>1. Introduction</w:t>
      </w:r>
    </w:p>
    <w:p>
      <w:pPr>
        <w:ind w:left="397"/>
      </w:pPr>
      <w:r>
        <w:t>1.1. Scope of the Document</w:t>
      </w:r>
    </w:p>
    <w:p>
      <w:pPr>
        <w:ind w:left="397"/>
      </w:pPr>
      <w:r>
        <w:t>1.2. Applicable and Reference Documents</w:t>
      </w:r>
    </w:p>
    <w:p>
      <w:pPr>
        <w:ind w:left="794"/>
      </w:pPr>
      <w:r>
        <w:t>1.2.1. Applicable Documents (AD)</w:t>
      </w:r>
    </w:p>
    <w:p>
      <w:pPr>
        <w:ind w:left="794"/>
      </w:pPr>
      <w:r>
        <w:t>1.2.2. Reference Documents (RD)</w:t>
      </w:r>
    </w:p>
    <w:p>
      <w:pPr>
        <w:ind w:left="794"/>
      </w:pPr>
      <w:r>
        <w:t>1.2.3. Bibliographic Information (BI)</w:t>
      </w:r>
    </w:p>
    <w:p>
      <w:pPr>
        <w:ind w:left="397"/>
      </w:pPr>
      <w:r>
        <w:t>1.3. Acronyms and Abbreviations</w:t>
      </w:r>
    </w:p>
    <w:p>
      <w:pPr>
        <w:ind w:left="397"/>
      </w:pPr>
      <w:r>
        <w:t>1.4. Background and Objective(s)</w:t>
      </w:r>
    </w:p>
    <w:p>
      <w:pPr>
        <w:ind w:left="794"/>
      </w:pPr>
      <w:r>
        <w:t>1.4.1. Background</w:t>
      </w:r>
    </w:p>
    <w:p>
      <w:pPr>
        <w:ind w:left="794"/>
      </w:pPr>
      <w:r>
        <w:t>1.4.2. Objectives of the Activity</w:t>
      </w:r>
    </w:p>
    <w:p>
      <w:pPr>
        <w:ind w:left="0"/>
      </w:pPr>
      <w:r>
        <w:rPr>
          <w:b/>
        </w:rPr>
        <w:t>2. Mission Requirements</w:t>
      </w:r>
    </w:p>
    <w:p>
      <w:pPr>
        <w:ind w:left="397"/>
      </w:pPr>
      <w:r>
        <w:t>2.1. Constellation and Orbit</w:t>
      </w:r>
    </w:p>
    <w:p>
      <w:pPr>
        <w:ind w:left="397"/>
      </w:pPr>
      <w:r>
        <w:t>2.2. Orbit and Attitude Propagation, and Pass Selection</w:t>
      </w:r>
    </w:p>
    <w:p>
      <w:pPr>
        <w:ind w:left="397"/>
      </w:pPr>
      <w:r>
        <w:t>2.3. Electrical Power</w:t>
      </w:r>
    </w:p>
    <w:p>
      <w:pPr>
        <w:ind w:left="397"/>
      </w:pPr>
      <w:r>
        <w:t>2.4. Optical Imaging</w:t>
      </w:r>
    </w:p>
    <w:p>
      <w:pPr>
        <w:ind w:left="397"/>
      </w:pPr>
      <w:r>
        <w:t>2.5. Brightness and Dark-Sky Impact</w:t>
      </w:r>
    </w:p>
    <w:p>
      <w:r>
        <w:br w:type="page"/>
      </w:r>
    </w:p>
    <w:p>
      <w:pPr>
        <w:pStyle w:val="Heading1"/>
      </w:pPr>
      <w:r>
        <w:t>1. Introduction</w:t>
      </w:r>
    </w:p>
    <w:p>
      <w:pPr>
        <w:pStyle w:val="Heading2"/>
      </w:pPr>
      <w:r>
        <w:t>1.1. Scope of the Document</w:t>
      </w:r>
    </w:p>
    <w:p>
      <w:r>
        <w:t>This document describes the activity to be executed and the deliverables required by the Italian Space Agency (ASI) for a preliminary, model-based study of MEDEO, a small-satellite optical Earth-observation constellation dedicated to frequent daylight imaging of Southern Europe and the Mediterranean basin. The activity is a digital-twin analysis only: no hardware is built or procured under this Statement of Work.</w:t>
      </w:r>
    </w:p>
    <w:p>
      <w:r>
        <w:t>It will be part of the Contract and shall serve as an applicable document throughout the execution of the work.</w:t>
      </w:r>
    </w:p>
    <w:p>
      <w:pPr>
        <w:pStyle w:val="Heading2"/>
      </w:pPr>
      <w:r>
        <w:t>1.2. Applicable and Reference Documents</w:t>
      </w:r>
    </w:p>
    <w:p>
      <w:pPr>
        <w:pStyle w:val="Heading3"/>
      </w:pPr>
      <w:r>
        <w:t>1.2.1. Applicable Documents (AD)</w:t>
      </w:r>
    </w:p>
    <w:p>
      <w:r>
        <w:t>The following documents, listed in order of precedence, contain requirements applicable to the activity:</w:t>
      </w:r>
    </w:p>
    <w:tbl>
      <w:tblPr>
        <w:tblStyle w:val="TableGrid"/>
        <w:tblW w:type="auto" w:w="0"/>
        <w:tblLayout w:type="fixed"/>
        <w:tblLook w:firstColumn="1" w:firstRow="1" w:lastColumn="0" w:lastRow="0" w:noHBand="0" w:noVBand="1" w:val="04A0"/>
      </w:tblPr>
      <w:tblGrid>
        <w:gridCol w:w="4536"/>
        <w:gridCol w:w="4536"/>
      </w:tblGrid>
      <w:tr>
        <w:tc>
          <w:tcPr>
            <w:tcW w:type="dxa" w:w="1304"/>
            <w:shd w:val="clear" w:color="auto" w:fill="D9E2F3"/>
          </w:tcPr>
          <w:p>
            <w:r>
              <w:rPr>
                <w:b/>
              </w:rPr>
              <w:t>ID</w:t>
            </w:r>
          </w:p>
        </w:tc>
        <w:tc>
          <w:tcPr>
            <w:tcW w:type="dxa" w:w="7767"/>
            <w:shd w:val="clear" w:color="auto" w:fill="D9E2F3"/>
          </w:tcPr>
          <w:p>
            <w:r>
              <w:rPr>
                <w:b/>
              </w:rPr>
              <w:t>Title</w:t>
            </w:r>
          </w:p>
        </w:tc>
      </w:tr>
      <w:tr>
        <w:tc>
          <w:tcPr>
            <w:tcW w:type="dxa" w:w="1304"/>
          </w:tcPr>
          <w:p>
            <w:r>
              <w:rPr>
                <w:b/>
              </w:rPr>
              <w:t>AD-01</w:t>
            </w:r>
          </w:p>
        </w:tc>
        <w:tc>
          <w:tcPr>
            <w:tcW w:type="dxa" w:w="7767"/>
          </w:tcPr>
          <w:p>
            <w:r>
              <w:t>Generic tailoring of ECSS-E-ST-10-06C for preliminary mission analysis and digital-twin engineering studies (ASI-TEC-TAILORING-0142).</w:t>
            </w:r>
          </w:p>
        </w:tc>
      </w:tr>
      <w:tr>
        <w:tc>
          <w:tcPr>
            <w:tcW w:type="dxa" w:w="1304"/>
          </w:tcPr>
          <w:p>
            <w:r>
              <w:rPr>
                <w:b/>
              </w:rPr>
              <w:t>AD-02</w:t>
            </w:r>
          </w:p>
        </w:tc>
        <w:tc>
          <w:tcPr>
            <w:tcW w:type="dxa" w:w="7767"/>
          </w:tcPr>
          <w:p>
            <w:r>
              <w:t>ECSS-E-ST-10-06C, Space engineering - Technical requirements specification.</w:t>
            </w:r>
          </w:p>
        </w:tc>
      </w:tr>
    </w:tbl>
    <w:p>
      <w:pPr>
        <w:pStyle w:val="Heading3"/>
      </w:pPr>
      <w:r>
        <w:t>1.2.2. Reference Documents (RD)</w:t>
      </w:r>
    </w:p>
    <w:p>
      <w:r>
        <w:t>The following documents can be consulted as they contain relevant information:</w:t>
      </w:r>
    </w:p>
    <w:tbl>
      <w:tblPr>
        <w:tblStyle w:val="TableGrid"/>
        <w:tblW w:type="auto" w:w="0"/>
        <w:tblLayout w:type="fixed"/>
        <w:tblLook w:firstColumn="1" w:firstRow="1" w:lastColumn="0" w:lastRow="0" w:noHBand="0" w:noVBand="1" w:val="04A0"/>
      </w:tblPr>
      <w:tblGrid>
        <w:gridCol w:w="4536"/>
        <w:gridCol w:w="4536"/>
      </w:tblGrid>
      <w:tr>
        <w:tc>
          <w:tcPr>
            <w:tcW w:type="dxa" w:w="1304"/>
            <w:shd w:val="clear" w:color="auto" w:fill="D9E2F3"/>
          </w:tcPr>
          <w:p>
            <w:r>
              <w:rPr>
                <w:b/>
              </w:rPr>
              <w:t>ID</w:t>
            </w:r>
          </w:p>
        </w:tc>
        <w:tc>
          <w:tcPr>
            <w:tcW w:type="dxa" w:w="7767"/>
            <w:shd w:val="clear" w:color="auto" w:fill="D9E2F3"/>
          </w:tcPr>
          <w:p>
            <w:r>
              <w:rPr>
                <w:b/>
              </w:rPr>
              <w:t>Title</w:t>
            </w:r>
          </w:p>
        </w:tc>
      </w:tr>
      <w:tr>
        <w:tc>
          <w:tcPr>
            <w:tcW w:type="dxa" w:w="1304"/>
          </w:tcPr>
          <w:p>
            <w:r>
              <w:rPr>
                <w:b/>
              </w:rPr>
              <w:t>RD-01</w:t>
            </w:r>
          </w:p>
        </w:tc>
        <w:tc>
          <w:tcPr>
            <w:tcW w:type="dxa" w:w="7767"/>
          </w:tcPr>
          <w:p>
            <w:r>
              <w:t>IAU Centre for the Protection of the Dark and Quiet Sky from Satellite Constellation Interference (CPS), Recommendations for the Mitigation of the Negative Impact of Satellite Constellations on Astronomical Observations, 2021.</w:t>
            </w:r>
          </w:p>
        </w:tc>
      </w:tr>
      <w:tr>
        <w:tc>
          <w:tcPr>
            <w:tcW w:type="dxa" w:w="1304"/>
          </w:tcPr>
          <w:p>
            <w:r>
              <w:rPr>
                <w:b/>
              </w:rPr>
              <w:t>RD-02</w:t>
            </w:r>
          </w:p>
        </w:tc>
        <w:tc>
          <w:tcPr>
            <w:tcW w:type="dxa" w:w="7767"/>
          </w:tcPr>
          <w:p>
            <w:r>
              <w:t>Rawls, M.L. et al., Satellite Constellation Observations, Modeling, and Mitigation (SATCON2) Workshop Report, American Astronomical Society, 2021.</w:t>
            </w:r>
          </w:p>
        </w:tc>
      </w:tr>
      <w:tr>
        <w:tc>
          <w:tcPr>
            <w:tcW w:type="dxa" w:w="1304"/>
          </w:tcPr>
          <w:p>
            <w:r>
              <w:rPr>
                <w:b/>
              </w:rPr>
              <w:t>RD-03</w:t>
            </w:r>
          </w:p>
        </w:tc>
        <w:tc>
          <w:tcPr>
            <w:tcW w:type="dxa" w:w="7767"/>
          </w:tcPr>
          <w:p>
            <w:r>
              <w:t>ECSS-E-ST-70-31C, Space engineering - Ground systems and operations - Monitoring and control data definition.</w:t>
            </w:r>
          </w:p>
        </w:tc>
      </w:tr>
    </w:tbl>
    <w:p>
      <w:pPr>
        <w:pStyle w:val="Heading3"/>
      </w:pPr>
      <w:r>
        <w:t>1.2.3. Bibliographic Information (BI)</w:t>
      </w:r>
    </w:p>
    <w:tbl>
      <w:tblPr>
        <w:tblStyle w:val="TableGrid"/>
        <w:tblW w:type="auto" w:w="0"/>
        <w:tblLayout w:type="fixed"/>
        <w:tblLook w:firstColumn="1" w:firstRow="1" w:lastColumn="0" w:lastRow="0" w:noHBand="0" w:noVBand="1" w:val="04A0"/>
      </w:tblPr>
      <w:tblGrid>
        <w:gridCol w:w="4536"/>
        <w:gridCol w:w="4536"/>
      </w:tblGrid>
      <w:tr>
        <w:tc>
          <w:tcPr>
            <w:tcW w:type="dxa" w:w="1304"/>
            <w:shd w:val="clear" w:color="auto" w:fill="D9E2F3"/>
          </w:tcPr>
          <w:p>
            <w:r>
              <w:rPr>
                <w:b/>
              </w:rPr>
              <w:t>ID</w:t>
            </w:r>
          </w:p>
        </w:tc>
        <w:tc>
          <w:tcPr>
            <w:tcW w:type="dxa" w:w="7767"/>
            <w:shd w:val="clear" w:color="auto" w:fill="D9E2F3"/>
          </w:tcPr>
          <w:p>
            <w:r>
              <w:rPr>
                <w:b/>
              </w:rPr>
              <w:t>Reference</w:t>
            </w:r>
          </w:p>
        </w:tc>
      </w:tr>
      <w:tr>
        <w:tc>
          <w:tcPr>
            <w:tcW w:type="dxa" w:w="1304"/>
          </w:tcPr>
          <w:p>
            <w:r>
              <w:rPr>
                <w:b/>
              </w:rPr>
              <w:t>BI-01</w:t>
            </w:r>
          </w:p>
        </w:tc>
        <w:tc>
          <w:tcPr>
            <w:tcW w:type="dxa" w:w="7767"/>
          </w:tcPr>
          <w:p>
            <w:r>
              <w:t>Cordelli, E.; Schlatter, P.; Schildknecht, T. (2018). Simultaneous multi-filter photometric characterization of space debris at the Swiss Optical Ground Station and Geodynamics Observatory Zimmerwald. 19th AMOS Conference, Maui, Hawaii.</w:t>
            </w:r>
          </w:p>
        </w:tc>
      </w:tr>
      <w:tr>
        <w:tc>
          <w:tcPr>
            <w:tcW w:type="dxa" w:w="1304"/>
          </w:tcPr>
          <w:p>
            <w:r>
              <w:rPr>
                <w:b/>
              </w:rPr>
              <w:t>BI-02</w:t>
            </w:r>
          </w:p>
        </w:tc>
        <w:tc>
          <w:tcPr>
            <w:tcW w:type="dxa" w:w="7767"/>
          </w:tcPr>
          <w:p>
            <w:r>
              <w:t>Hainaut, O.R.; Williams, A.P. (2020). Impact of satellite constellations on astronomical observations with ESO telescopes in the visible and infrared domains. Astronomy &amp; Astrophysics, 636, A121.</w:t>
            </w:r>
          </w:p>
        </w:tc>
      </w:tr>
    </w:tbl>
    <w:p>
      <w:pPr>
        <w:pStyle w:val="Heading2"/>
      </w:pPr>
      <w:r>
        <w:t>1.3. Acronyms and Abbreviations</w:t>
      </w:r>
    </w:p>
    <w:tbl>
      <w:tblPr>
        <w:tblStyle w:val="TableGrid"/>
        <w:tblW w:type="auto" w:w="0"/>
        <w:tblLayout w:type="fixed"/>
        <w:tblLook w:firstColumn="1" w:firstRow="1" w:lastColumn="0" w:lastRow="0" w:noHBand="0" w:noVBand="1" w:val="04A0"/>
      </w:tblPr>
      <w:tblGrid>
        <w:gridCol w:w="4536"/>
        <w:gridCol w:w="4536"/>
      </w:tblGrid>
      <w:tr>
        <w:tc>
          <w:tcPr>
            <w:tcW w:type="dxa" w:w="1474"/>
            <w:shd w:val="clear" w:color="auto" w:fill="D9E2F3"/>
          </w:tcPr>
          <w:p>
            <w:r>
              <w:rPr>
                <w:b/>
              </w:rPr>
              <w:t>Acronym</w:t>
            </w:r>
          </w:p>
        </w:tc>
        <w:tc>
          <w:tcPr>
            <w:tcW w:type="dxa" w:w="7597"/>
            <w:shd w:val="clear" w:color="auto" w:fill="D9E2F3"/>
          </w:tcPr>
          <w:p>
            <w:r>
              <w:rPr>
                <w:b/>
              </w:rPr>
              <w:t>Definition</w:t>
            </w:r>
          </w:p>
        </w:tc>
      </w:tr>
      <w:tr>
        <w:tc>
          <w:tcPr>
            <w:tcW w:type="dxa" w:w="1474"/>
          </w:tcPr>
          <w:p>
            <w:r>
              <w:rPr>
                <w:b/>
              </w:rPr>
              <w:t>AD</w:t>
            </w:r>
          </w:p>
        </w:tc>
        <w:tc>
          <w:tcPr>
            <w:tcW w:type="dxa" w:w="7597"/>
          </w:tcPr>
          <w:p>
            <w:r>
              <w:t>Applicable Document</w:t>
            </w:r>
          </w:p>
        </w:tc>
      </w:tr>
      <w:tr>
        <w:tc>
          <w:tcPr>
            <w:tcW w:type="dxa" w:w="1474"/>
          </w:tcPr>
          <w:p>
            <w:r>
              <w:rPr>
                <w:b/>
              </w:rPr>
              <w:t>ASI</w:t>
            </w:r>
          </w:p>
        </w:tc>
        <w:tc>
          <w:tcPr>
            <w:tcW w:type="dxa" w:w="7597"/>
          </w:tcPr>
          <w:p>
            <w:r>
              <w:t>Agenzia Spaziale Italiana (Italian Space Agency)</w:t>
            </w:r>
          </w:p>
        </w:tc>
      </w:tr>
      <w:tr>
        <w:tc>
          <w:tcPr>
            <w:tcW w:type="dxa" w:w="1474"/>
          </w:tcPr>
          <w:p>
            <w:r>
              <w:rPr>
                <w:b/>
              </w:rPr>
              <w:t>BI</w:t>
            </w:r>
          </w:p>
        </w:tc>
        <w:tc>
          <w:tcPr>
            <w:tcW w:type="dxa" w:w="7597"/>
          </w:tcPr>
          <w:p>
            <w:r>
              <w:t>Bibliographic Information</w:t>
            </w:r>
          </w:p>
        </w:tc>
      </w:tr>
      <w:tr>
        <w:tc>
          <w:tcPr>
            <w:tcW w:type="dxa" w:w="1474"/>
          </w:tcPr>
          <w:p>
            <w:r>
              <w:rPr>
                <w:b/>
              </w:rPr>
              <w:t>CGS</w:t>
            </w:r>
          </w:p>
        </w:tc>
        <w:tc>
          <w:tcPr>
            <w:tcW w:type="dxa" w:w="7597"/>
          </w:tcPr>
          <w:p>
            <w:r>
              <w:t>Centro di Geodesia Spaziale (ASI Space Geodesy Centre, Matera)</w:t>
            </w:r>
          </w:p>
        </w:tc>
      </w:tr>
      <w:tr>
        <w:tc>
          <w:tcPr>
            <w:tcW w:type="dxa" w:w="1474"/>
          </w:tcPr>
          <w:p>
            <w:r>
              <w:rPr>
                <w:b/>
              </w:rPr>
              <w:t>CPS</w:t>
            </w:r>
          </w:p>
        </w:tc>
        <w:tc>
          <w:tcPr>
            <w:tcW w:type="dxa" w:w="7597"/>
          </w:tcPr>
          <w:p>
            <w:r>
              <w:t>Centre for the Protection of the Dark and Quiet Sky from Satellite Constellation Interference (IAU)</w:t>
            </w:r>
          </w:p>
        </w:tc>
      </w:tr>
      <w:tr>
        <w:tc>
          <w:tcPr>
            <w:tcW w:type="dxa" w:w="1474"/>
          </w:tcPr>
          <w:p>
            <w:r>
              <w:rPr>
                <w:b/>
              </w:rPr>
              <w:t>ECSS</w:t>
            </w:r>
          </w:p>
        </w:tc>
        <w:tc>
          <w:tcPr>
            <w:tcW w:type="dxa" w:w="7597"/>
          </w:tcPr>
          <w:p>
            <w:r>
              <w:t>European Cooperation for Space Standardization</w:t>
            </w:r>
          </w:p>
        </w:tc>
      </w:tr>
      <w:tr>
        <w:tc>
          <w:tcPr>
            <w:tcW w:type="dxa" w:w="1474"/>
          </w:tcPr>
          <w:p>
            <w:r>
              <w:rPr>
                <w:b/>
              </w:rPr>
              <w:t>EO</w:t>
            </w:r>
          </w:p>
        </w:tc>
        <w:tc>
          <w:tcPr>
            <w:tcW w:type="dxa" w:w="7597"/>
          </w:tcPr>
          <w:p>
            <w:r>
              <w:t>Earth Observation</w:t>
            </w:r>
          </w:p>
        </w:tc>
      </w:tr>
      <w:tr>
        <w:tc>
          <w:tcPr>
            <w:tcW w:type="dxa" w:w="1474"/>
          </w:tcPr>
          <w:p>
            <w:r>
              <w:rPr>
                <w:b/>
              </w:rPr>
              <w:t>FOV</w:t>
            </w:r>
          </w:p>
        </w:tc>
        <w:tc>
          <w:tcPr>
            <w:tcW w:type="dxa" w:w="7597"/>
          </w:tcPr>
          <w:p>
            <w:r>
              <w:t>Field of View</w:t>
            </w:r>
          </w:p>
        </w:tc>
      </w:tr>
      <w:tr>
        <w:tc>
          <w:tcPr>
            <w:tcW w:type="dxa" w:w="1474"/>
          </w:tcPr>
          <w:p>
            <w:r>
              <w:rPr>
                <w:b/>
              </w:rPr>
              <w:t>GSD</w:t>
            </w:r>
          </w:p>
        </w:tc>
        <w:tc>
          <w:tcPr>
            <w:tcW w:type="dxa" w:w="7597"/>
          </w:tcPr>
          <w:p>
            <w:r>
              <w:t>Ground Sample Distance</w:t>
            </w:r>
          </w:p>
        </w:tc>
      </w:tr>
      <w:tr>
        <w:tc>
          <w:tcPr>
            <w:tcW w:type="dxa" w:w="1474"/>
          </w:tcPr>
          <w:p>
            <w:r>
              <w:rPr>
                <w:b/>
              </w:rPr>
              <w:t>LEO</w:t>
            </w:r>
          </w:p>
        </w:tc>
        <w:tc>
          <w:tcPr>
            <w:tcW w:type="dxa" w:w="7597"/>
          </w:tcPr>
          <w:p>
            <w:r>
              <w:t>Low Earth Orbit</w:t>
            </w:r>
          </w:p>
        </w:tc>
      </w:tr>
      <w:tr>
        <w:tc>
          <w:tcPr>
            <w:tcW w:type="dxa" w:w="1474"/>
          </w:tcPr>
          <w:p>
            <w:r>
              <w:rPr>
                <w:b/>
              </w:rPr>
              <w:t>MEDEO</w:t>
            </w:r>
          </w:p>
        </w:tc>
        <w:tc>
          <w:tcPr>
            <w:tcW w:type="dxa" w:w="7597"/>
          </w:tcPr>
          <w:p>
            <w:r>
              <w:t>MEDiterranean Earth Observation constellation</w:t>
            </w:r>
          </w:p>
        </w:tc>
      </w:tr>
      <w:tr>
        <w:tc>
          <w:tcPr>
            <w:tcW w:type="dxa" w:w="1474"/>
          </w:tcPr>
          <w:p>
            <w:r>
              <w:rPr>
                <w:b/>
              </w:rPr>
              <w:t>MLRO</w:t>
            </w:r>
          </w:p>
        </w:tc>
        <w:tc>
          <w:tcPr>
            <w:tcW w:type="dxa" w:w="7597"/>
          </w:tcPr>
          <w:p>
            <w:r>
              <w:t>Matera Laser Ranging Observatory</w:t>
            </w:r>
          </w:p>
        </w:tc>
      </w:tr>
      <w:tr>
        <w:tc>
          <w:tcPr>
            <w:tcW w:type="dxa" w:w="1474"/>
          </w:tcPr>
          <w:p>
            <w:r>
              <w:rPr>
                <w:b/>
              </w:rPr>
              <w:t>RD</w:t>
            </w:r>
          </w:p>
        </w:tc>
        <w:tc>
          <w:tcPr>
            <w:tcW w:type="dxa" w:w="7597"/>
          </w:tcPr>
          <w:p>
            <w:r>
              <w:t>Reference Document</w:t>
            </w:r>
          </w:p>
        </w:tc>
      </w:tr>
      <w:tr>
        <w:tc>
          <w:tcPr>
            <w:tcW w:type="dxa" w:w="1474"/>
          </w:tcPr>
          <w:p>
            <w:r>
              <w:rPr>
                <w:b/>
              </w:rPr>
              <w:t>SOW</w:t>
            </w:r>
          </w:p>
        </w:tc>
        <w:tc>
          <w:tcPr>
            <w:tcW w:type="dxa" w:w="7597"/>
          </w:tcPr>
          <w:p>
            <w:r>
              <w:t>Statement of Work</w:t>
            </w:r>
          </w:p>
        </w:tc>
      </w:tr>
      <w:tr>
        <w:tc>
          <w:tcPr>
            <w:tcW w:type="dxa" w:w="1474"/>
          </w:tcPr>
          <w:p>
            <w:r>
              <w:rPr>
                <w:b/>
              </w:rPr>
              <w:t>SSA</w:t>
            </w:r>
          </w:p>
        </w:tc>
        <w:tc>
          <w:tcPr>
            <w:tcW w:type="dxa" w:w="7597"/>
          </w:tcPr>
          <w:p>
            <w:r>
              <w:t>Space Situational Awareness</w:t>
            </w:r>
          </w:p>
        </w:tc>
      </w:tr>
      <w:tr>
        <w:tc>
          <w:tcPr>
            <w:tcW w:type="dxa" w:w="1474"/>
          </w:tcPr>
          <w:p>
            <w:r>
              <w:rPr>
                <w:b/>
              </w:rPr>
              <w:t>UTC</w:t>
            </w:r>
          </w:p>
        </w:tc>
        <w:tc>
          <w:tcPr>
            <w:tcW w:type="dxa" w:w="7597"/>
          </w:tcPr>
          <w:p>
            <w:r>
              <w:t>Coordinated Universal Time</w:t>
            </w:r>
          </w:p>
        </w:tc>
      </w:tr>
    </w:tbl>
    <w:p>
      <w:pPr>
        <w:pStyle w:val="Heading2"/>
      </w:pPr>
      <w:r>
        <w:t>1.4. Background and Objective(s)</w:t>
      </w:r>
    </w:p>
    <w:p>
      <w:pPr>
        <w:pStyle w:val="Heading3"/>
      </w:pPr>
      <w:r>
        <w:t>1.4.1. Background</w:t>
      </w:r>
    </w:p>
    <w:p>
      <w:r>
        <w:t>The fast growth of satellite constellations in Low Earth Orbit is opening new opportunities for frequent, high-revisit Earth observation, but it is also raising a concern shared by the international astronomical community: sunlit satellites crossing the night sky can leave bright trails on astronomical images and disturb ground-based visual and photometric observations. The IAU Centre for the Protection of the Dark and Quiet Sky from Satellite Constellation Interference (CPS) and the AAS SATCON2 workshop [RD-01, RD-02] have both recommended that constellation operators assess and, where possible, limit the apparent brightness of their satellites as seen from the ground.</w:t>
      </w:r>
    </w:p>
    <w:p>
      <w:r>
        <w:t>ASI operates ground-based infrastructure for the optical and laser characterisation of objects in Earth orbit, including the Space Geodesy Centre “G. Colombo” at Matera, home of the Matera Laser Ranging Observatory (MLRO), which is used to acquire photometric light curves and to estimate the apparent brightness of orbiting objects.</w:t>
      </w:r>
    </w:p>
    <w:p>
      <w:r>
        <w:t>This activity proposes to use the Matera site as the reference observer for a predictive, model-based assessment: before any hardware is built, the brightness that a candidate Earth-observation constellation would present to that site is estimated by simulation, together with the other elements of a preliminary mission feasibility assessment (constellation architecture, orbit and attitude behaviour, electrical power budget and representative acquired imagery), so that the dark-sky impact of the mission is considered on the same footing as its observation performance from the earliest design phase.</w:t>
      </w:r>
    </w:p>
    <w:p>
      <w:pPr>
        <w:pStyle w:val="Heading3"/>
      </w:pPr>
      <w:r>
        <w:t>1.4.2. Objectives of the Activity</w:t>
      </w:r>
    </w:p>
    <w:p>
      <w:r>
        <w:t>The objectives of this activity are the following:</w:t>
      </w:r>
    </w:p>
    <w:p>
      <w:pPr>
        <w:pStyle w:val="ListBullet"/>
      </w:pPr>
      <w:r>
        <w:t>Definition of a preliminary architecture for a small-satellite optical Earth-observation constellation providing frequent daylight imaging of Southern Europe and the Mediterranean basin;</w:t>
      </w:r>
    </w:p>
    <w:p>
      <w:pPr>
        <w:pStyle w:val="ListBullet"/>
      </w:pPr>
      <w:r>
        <w:t>Propagation of the orbit and attitude of the constellation and identification, for two representative reference cases, of the satellite and of the access window to be used for the following verification steps;</w:t>
      </w:r>
    </w:p>
    <w:p>
      <w:pPr>
        <w:pStyle w:val="ListBullet"/>
      </w:pPr>
      <w:r>
        <w:t>Verification, by simulation, that the electrical power budget of the selected operational concept is feasible over a representative daily cycle;</w:t>
      </w:r>
    </w:p>
    <w:p>
      <w:pPr>
        <w:pStyle w:val="ListBullet"/>
      </w:pPr>
      <w:r>
        <w:t>Generation of representative simulated imagery for a reference daylight acquisition, to verify acquisition geometry and ground illumination;</w:t>
      </w:r>
    </w:p>
    <w:p>
      <w:pPr>
        <w:pStyle w:val="ListBullet"/>
      </w:pPr>
      <w:r>
        <w:t>Estimation, by simulation, of the apparent brightness of the constellation as seen from the Matera Laser Ranging Observatory during a representative night pass, and assessment of this brightness against the naked-eye visibility threshold and the recommendations in [RD-01, RD-02].</w:t>
      </w:r>
    </w:p>
    <w:p>
      <w:r>
        <w:t>The main deliverables are technical notes on the constellation architecture and its revisit/coverage performance, on the identified reference passes, on the power budget, on the simulated acquisition imagery, and on the brightness and dark-sky impact assessment.</w:t>
      </w:r>
    </w:p>
    <w:p>
      <w:r>
        <w:br w:type="page"/>
      </w:r>
    </w:p>
    <w:p>
      <w:pPr>
        <w:pStyle w:val="Heading1"/>
      </w:pPr>
      <w:r>
        <w:t>2. Mission Requirements</w:t>
      </w:r>
    </w:p>
    <w:p>
      <w:pPr>
        <w:pStyle w:val="Heading2"/>
      </w:pPr>
      <w:r>
        <w:t>2.1. Constellation and Orbit</w:t>
      </w:r>
    </w:p>
    <w:p>
      <w:pPr>
        <w:tabs>
          <w:tab w:pos="907" w:val="left"/>
        </w:tabs>
        <w:spacing w:after="120"/>
        <w:ind w:left="907" w:hanging="907"/>
      </w:pPr>
      <w:r>
        <w:rPr>
          <w:b/>
        </w:rPr>
        <w:t>REQ-01</w:t>
        <w:tab/>
      </w:r>
      <w:r>
        <w:t>The area of interest shall be Southern Europe and the Mediterranean basin, between latitude 30 deg N and 50 deg N.</w:t>
      </w:r>
    </w:p>
    <w:p>
      <w:pPr>
        <w:tabs>
          <w:tab w:pos="907" w:val="left"/>
        </w:tabs>
        <w:spacing w:after="120"/>
        <w:ind w:left="907" w:hanging="907"/>
      </w:pPr>
      <w:r>
        <w:rPr>
          <w:b/>
        </w:rPr>
        <w:t>REQ-02</w:t>
        <w:tab/>
      </w:r>
      <w:r>
        <w:t>The constellation shall have at most 12 satellites.</w:t>
      </w:r>
    </w:p>
    <w:p>
      <w:pPr>
        <w:tabs>
          <w:tab w:pos="907" w:val="left"/>
        </w:tabs>
        <w:spacing w:after="120"/>
        <w:ind w:left="907" w:hanging="907"/>
      </w:pPr>
      <w:r>
        <w:rPr>
          <w:b/>
        </w:rPr>
        <w:t>REQ-03</w:t>
        <w:tab/>
      </w:r>
      <w:r>
        <w:t>The satellites shall fly in sun-synchronous orbits with an altitude between 500 km and 1200 km.</w:t>
      </w:r>
    </w:p>
    <w:p>
      <w:pPr>
        <w:tabs>
          <w:tab w:pos="907" w:val="left"/>
        </w:tabs>
        <w:spacing w:after="120"/>
        <w:ind w:left="907" w:hanging="907"/>
      </w:pPr>
      <w:r>
        <w:rPr>
          <w:b/>
        </w:rPr>
        <w:t>REQ-04</w:t>
        <w:tab/>
      </w:r>
      <w:r>
        <w:t>The number of satellites and of orbital planes shall be optimised to minimise the revisit time and to maximise the coverage of the area of interest.</w:t>
      </w:r>
    </w:p>
    <w:p>
      <w:pPr>
        <w:tabs>
          <w:tab w:pos="907" w:val="left"/>
        </w:tabs>
        <w:spacing w:after="120"/>
        <w:ind w:left="907" w:hanging="907"/>
      </w:pPr>
      <w:r>
        <w:rPr>
          <w:b/>
        </w:rPr>
        <w:t>REQ-05</w:t>
        <w:tab/>
      </w:r>
      <w:r>
        <w:t>The orbit propagation used for the architecture trade-off shall cover at least 7 days and shall include, at a minimum, the Earth oblateness (J2 term) and the atmospheric drag.</w:t>
      </w:r>
    </w:p>
    <w:p>
      <w:pPr>
        <w:tabs>
          <w:tab w:pos="907" w:val="left"/>
        </w:tabs>
        <w:spacing w:after="120"/>
        <w:ind w:left="907" w:hanging="907"/>
      </w:pPr>
      <w:r>
        <w:rPr>
          <w:b/>
        </w:rPr>
        <w:t>REQ-06</w:t>
        <w:tab/>
      </w:r>
      <w:r>
        <w:t>Each satellite shall have a mass not exceeding 100 kg, a reference drag cross-section of 1 m2 and a drag coefficient of 2.2.</w:t>
      </w:r>
    </w:p>
    <w:p>
      <w:pPr>
        <w:tabs>
          <w:tab w:pos="907" w:val="left"/>
        </w:tabs>
        <w:spacing w:after="120"/>
        <w:ind w:left="907" w:hanging="907"/>
      </w:pPr>
      <w:r>
        <w:rPr>
          <w:b/>
        </w:rPr>
        <w:t>REQ-07</w:t>
        <w:tab/>
      </w:r>
      <w:r>
        <w:t>The mission lifetime used for the architecture trade-off shall be five years.</w:t>
      </w:r>
    </w:p>
    <w:p>
      <w:pPr>
        <w:pStyle w:val="Heading2"/>
      </w:pPr>
      <w:r>
        <w:t>2.2. Orbit and Attitude Propagation, and Pass Selection</w:t>
      </w:r>
    </w:p>
    <w:p>
      <w:pPr>
        <w:tabs>
          <w:tab w:pos="907" w:val="left"/>
        </w:tabs>
        <w:spacing w:after="120"/>
        <w:ind w:left="907" w:hanging="907"/>
      </w:pPr>
      <w:r>
        <w:rPr>
          <w:b/>
        </w:rPr>
        <w:t>REQ-08</w:t>
        <w:tab/>
      </w:r>
      <w:r>
        <w:t>The analysis period shall be 48 hours, starting on 21 May 2026 at 13:41 UTC.</w:t>
      </w:r>
    </w:p>
    <w:p>
      <w:pPr>
        <w:tabs>
          <w:tab w:pos="907" w:val="left"/>
        </w:tabs>
        <w:spacing w:after="120"/>
        <w:ind w:left="907" w:hanging="907"/>
      </w:pPr>
      <w:r>
        <w:rPr>
          <w:b/>
        </w:rPr>
        <w:t>REQ-09</w:t>
        <w:tab/>
      </w:r>
      <w:r>
        <w:t>The reference imaging target shall be the Port of Genoa, Italy (latitude 44.4056 deg N, longitude 8.9463 deg E).</w:t>
      </w:r>
    </w:p>
    <w:p>
      <w:pPr>
        <w:tabs>
          <w:tab w:pos="907" w:val="left"/>
        </w:tabs>
        <w:spacing w:after="120"/>
        <w:ind w:left="907" w:hanging="907"/>
      </w:pPr>
      <w:r>
        <w:rPr>
          <w:b/>
        </w:rPr>
        <w:t>REQ-10</w:t>
        <w:tab/>
      </w:r>
      <w:r>
        <w:t>The reference observing site shall be the ASI Space Geodesy Centre “G. Colombo” at Matera, Italy (latitude 40.6492 deg N, longitude 16.7039 deg E, altitude 400 m), host of the Matera Laser Ranging Observatory.</w:t>
      </w:r>
    </w:p>
    <w:p>
      <w:pPr>
        <w:tabs>
          <w:tab w:pos="907" w:val="left"/>
        </w:tabs>
        <w:spacing w:after="120"/>
        <w:ind w:left="907" w:hanging="907"/>
      </w:pPr>
      <w:r>
        <w:rPr>
          <w:b/>
        </w:rPr>
        <w:t>REQ-11</w:t>
        <w:tab/>
      </w:r>
      <w:r>
        <w:t>A daylight imaging pass shall be identified in which a satellite of the constellation is above 10 deg of elevation over the reference imaging target, with the Sun above the horizon at the target and preferably higher than 20 deg.</w:t>
      </w:r>
    </w:p>
    <w:p>
      <w:pPr>
        <w:tabs>
          <w:tab w:pos="907" w:val="left"/>
        </w:tabs>
        <w:spacing w:after="120"/>
        <w:ind w:left="907" w:hanging="907"/>
      </w:pPr>
      <w:r>
        <w:rPr>
          <w:b/>
        </w:rPr>
        <w:t>REQ-12</w:t>
        <w:tab/>
      </w:r>
      <w:r>
        <w:t>A night pass shall be identified in which a satellite of the constellation is above 10 deg of elevation over the reference observing site and is illuminated by the Sun, while the Sun is more than 12 deg below the horizon at the site.</w:t>
      </w:r>
    </w:p>
    <w:p>
      <w:pPr>
        <w:tabs>
          <w:tab w:pos="907" w:val="left"/>
        </w:tabs>
        <w:spacing w:after="120"/>
        <w:ind w:left="907" w:hanging="907"/>
      </w:pPr>
      <w:r>
        <w:rPr>
          <w:b/>
        </w:rPr>
        <w:t>REQ-13</w:t>
        <w:tab/>
      </w:r>
      <w:r>
        <w:t>For each identified pass, the satellite identity, the date and the start and end time (UTC) shall be reported.</w:t>
      </w:r>
    </w:p>
    <w:p>
      <w:pPr>
        <w:pStyle w:val="Heading2"/>
      </w:pPr>
      <w:r>
        <w:t>2.3. Electrical Power</w:t>
      </w:r>
    </w:p>
    <w:p>
      <w:pPr>
        <w:tabs>
          <w:tab w:pos="907" w:val="left"/>
        </w:tabs>
        <w:spacing w:after="120"/>
        <w:ind w:left="907" w:hanging="907"/>
      </w:pPr>
      <w:r>
        <w:rPr>
          <w:b/>
        </w:rPr>
        <w:t>REQ-14</w:t>
        <w:tab/>
      </w:r>
      <w:r>
        <w:t>The operating modes considered shall be at least idle, payload acquisition, UHF downlink and S-band downlink.</w:t>
      </w:r>
    </w:p>
    <w:p>
      <w:pPr>
        <w:tabs>
          <w:tab w:pos="907" w:val="left"/>
        </w:tabs>
        <w:spacing w:after="120"/>
        <w:ind w:left="907" w:hanging="907"/>
      </w:pPr>
      <w:r>
        <w:rPr>
          <w:b/>
        </w:rPr>
        <w:t>REQ-15</w:t>
        <w:tab/>
      </w:r>
      <w:r>
        <w:t>A representative day shall be composed of 15 orbits, of which 8 are payload-acquisition orbits and 7 are idle orbits.</w:t>
      </w:r>
    </w:p>
    <w:p>
      <w:pPr>
        <w:tabs>
          <w:tab w:pos="907" w:val="left"/>
        </w:tabs>
        <w:spacing w:after="120"/>
        <w:ind w:left="907" w:hanging="907"/>
      </w:pPr>
      <w:r>
        <w:rPr>
          <w:b/>
        </w:rPr>
        <w:t>REQ-16</w:t>
        <w:tab/>
      </w:r>
      <w:r>
        <w:t>The power budget shall include a design margin of 10 percent.</w:t>
      </w:r>
    </w:p>
    <w:p>
      <w:pPr>
        <w:tabs>
          <w:tab w:pos="907" w:val="left"/>
        </w:tabs>
        <w:spacing w:after="120"/>
        <w:ind w:left="907" w:hanging="907"/>
      </w:pPr>
      <w:r>
        <w:rPr>
          <w:b/>
        </w:rPr>
        <w:t>REQ-17</w:t>
        <w:tab/>
      </w:r>
      <w:r>
        <w:t>The daily electrical energy balance shall not be negative.</w:t>
      </w:r>
    </w:p>
    <w:p>
      <w:pPr>
        <w:tabs>
          <w:tab w:pos="907" w:val="left"/>
        </w:tabs>
        <w:spacing w:after="120"/>
        <w:ind w:left="907" w:hanging="907"/>
      </w:pPr>
      <w:r>
        <w:rPr>
          <w:b/>
        </w:rPr>
        <w:t>REQ-18</w:t>
        <w:tab/>
      </w:r>
      <w:r>
        <w:t>The battery depth of discharge shall not exceed 30 percent in any orbit.</w:t>
      </w:r>
    </w:p>
    <w:p>
      <w:pPr>
        <w:pStyle w:val="Heading2"/>
      </w:pPr>
      <w:r>
        <w:t>2.4. Optical Imaging</w:t>
      </w:r>
    </w:p>
    <w:p>
      <w:pPr>
        <w:tabs>
          <w:tab w:pos="907" w:val="left"/>
        </w:tabs>
        <w:spacing w:after="120"/>
        <w:ind w:left="907" w:hanging="907"/>
      </w:pPr>
      <w:r>
        <w:rPr>
          <w:b/>
        </w:rPr>
        <w:t>REQ-19</w:t>
        <w:tab/>
      </w:r>
      <w:r>
        <w:t>The payload shall be represented as a visible-spectrum push-broom camera with a panchromatic Ground Sample Distance of 1.0 m and a swath of 12 km at nadir.</w:t>
      </w:r>
    </w:p>
    <w:p>
      <w:pPr>
        <w:tabs>
          <w:tab w:pos="907" w:val="left"/>
        </w:tabs>
        <w:spacing w:after="120"/>
        <w:ind w:left="907" w:hanging="907"/>
      </w:pPr>
      <w:r>
        <w:rPr>
          <w:b/>
        </w:rPr>
        <w:t>REQ-20</w:t>
        <w:tab/>
      </w:r>
      <w:r>
        <w:t>Representative imagery shall be generated for the daylight pass identified under 2.2, consistent with the ground illumination at the time of acquisition.</w:t>
      </w:r>
    </w:p>
    <w:p>
      <w:pPr>
        <w:pStyle w:val="Heading2"/>
      </w:pPr>
      <w:r>
        <w:t>2.5. Brightness and Dark-Sky Impact</w:t>
      </w:r>
    </w:p>
    <w:p>
      <w:pPr>
        <w:tabs>
          <w:tab w:pos="907" w:val="left"/>
        </w:tabs>
        <w:spacing w:after="120"/>
        <w:ind w:left="907" w:hanging="907"/>
      </w:pPr>
      <w:r>
        <w:rPr>
          <w:b/>
        </w:rPr>
        <w:t>REQ-21</w:t>
        <w:tab/>
      </w:r>
      <w:r>
        <w:t>The apparent visual magnitude of the satellite, as estimated from the reference observing site, shall be reported over the full duration of the night pass identified under 2.2.</w:t>
      </w:r>
    </w:p>
    <w:p>
      <w:pPr>
        <w:tabs>
          <w:tab w:pos="907" w:val="left"/>
        </w:tabs>
        <w:spacing w:after="120"/>
        <w:ind w:left="907" w:hanging="907"/>
      </w:pPr>
      <w:r>
        <w:rPr>
          <w:b/>
        </w:rPr>
        <w:t>REQ-22</w:t>
        <w:tab/>
      </w:r>
      <w:r>
        <w:t>The peak apparent visual magnitude during that night pass shall be fainter than magnitude 7, the conventional limit of naked-eye visibility.</w:t>
      </w:r>
    </w:p>
    <w:p>
      <w:pPr>
        <w:tabs>
          <w:tab w:pos="907" w:val="left"/>
        </w:tabs>
        <w:spacing w:after="120"/>
        <w:ind w:left="907" w:hanging="907"/>
      </w:pPr>
      <w:r>
        <w:rPr>
          <w:b/>
        </w:rPr>
        <w:t>REQ-23</w:t>
        <w:tab/>
      </w:r>
      <w:r>
        <w:t>The dark-sky impact statement shall reference the mitigation recommendations of [RD-01] and [RD-02].</w:t>
      </w:r>
    </w:p>
    <w:sectPr w:rsidR="00FC693F" w:rsidRPr="0006063C" w:rsidSect="00034616">
      <w:pgSz w:w="11906" w:h="16838"/>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