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2"/>
          <w:szCs w:val="22"/>
        </w:rPr>
        <w:t xml:space="preserve">AGENZIA SPAZIALE ITALIANA</w:t>
      </w:r>
    </w:p>
    <w:p>
      <w:pPr>
        <w:spacing w:after="120"/>
      </w:pPr>
      <w:r>
        <w:rPr>
          <w:b/>
          <w:bCs/>
          <w:sz w:val="36"/>
          <w:szCs w:val="36"/>
        </w:rPr>
        <w:t xml:space="preserve">CALL FOR PROPOSALS</w:t>
      </w:r>
    </w:p>
    <w:p>
      <w:pPr>
        <w:spacing w:after="60"/>
      </w:pPr>
      <w:r>
        <w:rPr>
          <w:b/>
          <w:bCs/>
          <w:color w:val="1F3864"/>
          <w:sz w:val="44"/>
          <w:szCs w:val="44"/>
        </w:rPr>
        <w:t xml:space="preserve">PATRIMONIO-CUBE</w:t>
      </w:r>
    </w:p>
    <w:p>
      <w:pPr>
        <w:pBdr>
          <w:bottom w:val="single" w:color="1F3864" w:sz="8" w:space="6"/>
        </w:pBdr>
        <w:spacing w:after="200"/>
      </w:pPr>
      <w:r>
        <w:rPr>
          <w:sz w:val="26"/>
          <w:szCs w:val="26"/>
        </w:rPr>
        <w:t xml:space="preserve">Preliminary Design of a CubeSat Optical Constellation for the Monitoring of Major Italian Cultural Heritage Monuments</w:t>
      </w:r>
    </w:p>
    <w:p>
      <w:pPr>
        <w:spacing w:after="40"/>
      </w:pPr>
      <w:r>
        <w:rPr>
          <w:b/>
          <w:bCs/>
        </w:rPr>
        <w:t xml:space="preserve">Reference: </w:t>
      </w:r>
      <w:r>
        <w:t xml:space="preserve">ASI-PCUBE-CFP-001</w:t>
      </w:r>
    </w:p>
    <w:p>
      <w:pPr>
        <w:spacing w:after="40"/>
      </w:pPr>
      <w:r>
        <w:rPr>
          <w:b/>
          <w:bCs/>
        </w:rPr>
        <w:t xml:space="preserve">Issue / Revision: </w:t>
      </w:r>
      <w:r>
        <w:t>Issue 1, Revision 3</w:t>
      </w:r>
    </w:p>
    <w:p>
      <w:pPr>
        <w:spacing w:after="40"/>
      </w:pPr>
      <w:r>
        <w:rPr>
          <w:b/>
          <w:bCs/>
        </w:rPr>
        <w:t xml:space="preserve">Type of activity: </w:t>
      </w:r>
      <w:r>
        <w:t xml:space="preserve">Preliminary design study, by analysis and simulation only</w:t>
      </w:r>
    </w:p>
    <w:p>
      <w:pPr>
        <w:spacing w:after="40"/>
      </w:pPr>
      <w:r>
        <w:rPr>
          <w:b/>
          <w:bCs/>
        </w:rPr>
        <w:t xml:space="preserve">Language: </w:t>
      </w:r>
      <w:r>
        <w:t xml:space="preserve">English</w:t>
      </w:r>
    </w:p>
    <w:p>
      <w:pPr>
        <w:spacing w:after="120"/>
      </w:pPr>
    </w:p>
    <w:p>
      <w:pPr>
        <w:pStyle w:val="Heading1"/>
      </w:pPr>
      <w:r>
        <w:t xml:space="preserve">1. Introduction and objectives</w:t>
      </w:r>
    </w:p>
    <w:p>
      <w:pPr>
        <w:pStyle w:val="Heading2"/>
      </w:pPr>
      <w:r>
        <w:t xml:space="preserve">1.1 Background</w:t>
      </w:r>
    </w:p>
    <w:p>
      <w:pPr>
        <w:spacing w:after="130"/>
        <w:jc w:val="both"/>
      </w:pPr>
      <w:r>
        <w:t xml:space="preserve">Italy hosts one of the largest concentrations of cultural heritage properties in the world. Major monuments require continuous monitoring to support their conservation, the assessment of their structural condition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w:t>
      </w:r>
    </w:p>
    <w:p>
      <w:pPr>
        <w:pStyle w:val="Heading2"/>
      </w:pPr>
      <w:r>
        <w:t xml:space="preserve">1.2 Objectives</w:t>
      </w:r>
    </w:p>
    <w:p>
      <w:pPr>
        <w:spacing w:after="130"/>
        <w:jc w:val="both"/>
      </w:pPr>
      <w:r>
        <w:t xml:space="preserve">The Italian Space Agency (ASI) launches this call for the preliminary design of PATRIMONIO-CUBE, a constellation of CubeSats dedicated to frequent daylight imaging of Italy's major cultural heritage monuments. The constellation shall also remain as faint as possible for ground-based telescopes, in line with international recommendations to protect dark and quiet skies.</w:t>
      </w:r>
    </w:p>
    <w:p>
      <w:pPr>
        <w:pStyle w:val="Heading2"/>
      </w:pPr>
      <w:r>
        <w:t xml:space="preserve">1.3 Scope of the activity</w:t>
      </w:r>
    </w:p>
    <w:p>
      <w:pPr>
        <w:spacing w:after="130"/>
        <w:jc w:val="both"/>
      </w:pPr>
      <w:r>
        <w:t xml:space="preserve">The activity covers the mission analysis, the optimisation of the constellation architecture, the selection of commercially available platform components and the demonstration, by simulation and analysis, that the design meets the technical conditions described in Sections 4 and 5 on the two reference operational cases of Section 6. The manufacturing of hardware, the procurement of launch services and the development of the ground segment are outside the scope of this call. Costs and lifecycle economics are outside the scope of this call and no financial proposal is requested.</w:t>
      </w:r>
    </w:p>
    <w:p>
      <w:pPr>
        <w:pStyle w:val="Heading1"/>
      </w:pPr>
      <w:r>
        <w:t xml:space="preserve">2. Applicable and reference documents</w:t>
      </w:r>
    </w:p>
    <w:p>
      <w:pPr>
        <w:spacing w:after="130"/>
        <w:jc w:val="both"/>
      </w:pPr>
      <w:r>
        <w:t xml:space="preserve">The documents listed as applicable (AD) form part of this call to the extent specified in the text. The documents listed as reference (RD) are provided for information. In case of conflict, the text of this call prevails over the applicable documents, and the applicable documents prevail over the reference documents. The latest issue of each document at the date of publication of the call applies.</w:t>
      </w:r>
    </w:p>
    <w:p>
      <w:pPr>
        <w:pStyle w:val="Heading2"/>
      </w:pPr>
      <w:r>
        <w:t xml:space="preserve">2.1 Applicable documents</w:t>
      </w:r>
    </w:p>
    <w:p>
      <w:pPr>
        <w:tabs>
          <w:tab w:val="left" w:pos="1134"/>
        </w:tabs>
        <w:spacing w:after="90"/>
        <w:ind w:left="1134" w:hanging="1134"/>
      </w:pPr>
      <w:r>
        <w:rPr>
          <w:b/>
          <w:bCs/>
        </w:rPr>
        <w:t xml:space="preserve">AD-01</w:t>
      </w:r>
      <w:r>
        <w:tab/>
        <w:t xml:space="preserve">ECSS-E-ST-10C, Space engineering: System engineering general requirements.</w:t>
      </w:r>
    </w:p>
    <w:p>
      <w:pPr>
        <w:tabs>
          <w:tab w:val="left" w:pos="1134"/>
        </w:tabs>
        <w:spacing w:after="90"/>
        <w:ind w:left="1134" w:hanging="1134"/>
      </w:pPr>
      <w:r>
        <w:rPr>
          <w:b/>
          <w:bCs/>
        </w:rPr>
        <w:t xml:space="preserve">AD-02</w:t>
      </w:r>
      <w:r>
        <w:tab/>
        <w:t xml:space="preserve">ECSS-E-ST-10-04C, Space engineering: Space environment.</w:t>
      </w:r>
    </w:p>
    <w:p>
      <w:pPr>
        <w:tabs>
          <w:tab w:val="left" w:pos="1134"/>
        </w:tabs>
        <w:spacing w:after="90"/>
        <w:ind w:left="1134" w:hanging="1134"/>
      </w:pPr>
      <w:r>
        <w:rPr>
          <w:b/>
          <w:bCs/>
        </w:rPr>
        <w:t xml:space="preserve">AD-03</w:t>
      </w:r>
      <w:r>
        <w:tab/>
        <w:t xml:space="preserve">ECSS-E-ST-10-09C, Space engineering: Reference coordinate systems.</w:t>
      </w:r>
    </w:p>
    <w:p>
      <w:pPr>
        <w:tabs>
          <w:tab w:val="left" w:pos="1134"/>
        </w:tabs>
        <w:spacing w:after="90"/>
        <w:ind w:left="1134" w:hanging="1134"/>
      </w:pPr>
      <w:r>
        <w:rPr>
          <w:b/>
          <w:bCs/>
        </w:rPr>
        <w:t xml:space="preserve">AD-04</w:t>
      </w:r>
      <w:r>
        <w:tab/>
        <w:t xml:space="preserve">ECSS-E-ST-20C, Space engineering: Electrical and electronic.</w:t>
      </w:r>
    </w:p>
    <w:p>
      <w:pPr>
        <w:tabs>
          <w:tab w:val="left" w:pos="1134"/>
        </w:tabs>
        <w:spacing w:after="90"/>
        <w:ind w:left="1134" w:hanging="1134"/>
      </w:pPr>
      <w:r>
        <w:rPr>
          <w:b/>
          <w:bCs/>
        </w:rPr>
        <w:t xml:space="preserve">AD-05</w:t>
      </w:r>
      <w:r>
        <w:tab/>
        <w:t xml:space="preserve">ECSS-E-ST-31C, Space engineering: Thermal control general requirements.</w:t>
      </w:r>
    </w:p>
    <w:p>
      <w:pPr>
        <w:tabs>
          <w:tab w:val="left" w:pos="1134"/>
        </w:tabs>
        <w:spacing w:after="90"/>
        <w:ind w:left="1134" w:hanging="1134"/>
      </w:pPr>
      <w:r>
        <w:rPr>
          <w:b/>
          <w:bCs/>
        </w:rPr>
        <w:t xml:space="preserve">AD-06</w:t>
      </w:r>
      <w:r>
        <w:tab/>
        <w:t xml:space="preserve">ECSS-E-ST-60-10C, Space engineering: Control performance.</w:t>
      </w:r>
    </w:p>
    <w:p>
      <w:pPr>
        <w:tabs>
          <w:tab w:val="left" w:pos="1134"/>
        </w:tabs>
        <w:spacing w:after="90"/>
        <w:ind w:left="1134" w:hanging="1134"/>
      </w:pPr>
      <w:r>
        <w:rPr>
          <w:b/>
          <w:bCs/>
        </w:rPr>
        <w:t xml:space="preserve">AD-07</w:t>
      </w:r>
      <w:r>
        <w:tab/>
        <w:t xml:space="preserve">ECSS-U-AS-10C, Adoption Notice of ISO 24113: Space systems, space debris mitigation requirements.</w:t>
      </w:r>
    </w:p>
    <w:p>
      <w:pPr>
        <w:tabs>
          <w:tab w:val="left" w:pos="1134"/>
        </w:tabs>
        <w:spacing w:after="90"/>
        <w:ind w:left="1134" w:hanging="1134"/>
      </w:pPr>
      <w:r>
        <w:rPr>
          <w:b/>
          <w:bCs/>
        </w:rPr>
        <w:t xml:space="preserve">AD-08</w:t>
      </w:r>
      <w:r>
        <w:tab/>
        <w:t xml:space="preserve">ESSB-ST-U-007, ESA Space Debris Mitigation Requirements.</w:t>
      </w:r>
    </w:p>
    <w:p>
      <w:pPr>
        <w:tabs>
          <w:tab w:val="left" w:pos="1134"/>
        </w:tabs>
        <w:spacing w:after="90"/>
        <w:ind w:left="1134" w:hanging="1134"/>
      </w:pPr>
      <w:r>
        <w:rPr>
          <w:b/>
          <w:bCs/>
        </w:rPr>
        <w:t xml:space="preserve">AD-09</w:t>
      </w:r>
      <w:r>
        <w:tab/>
        <w:t xml:space="preserve">CubeSat Design Specification (CDS), Rev. 14.1, California Polytechnic State University.</w:t>
      </w:r>
    </w:p>
    <w:p>
      <w:pPr>
        <w:pStyle w:val="Heading2"/>
      </w:pPr>
      <w:r>
        <w:t xml:space="preserve">2.2 Reference documents</w:t>
      </w:r>
    </w:p>
    <w:p>
      <w:pPr>
        <w:tabs>
          <w:tab w:val="left" w:pos="1134"/>
        </w:tabs>
        <w:spacing w:after="90"/>
        <w:ind w:left="1134" w:hanging="1134"/>
      </w:pPr>
      <w:r>
        <w:rPr>
          <w:b/>
          <w:bCs/>
        </w:rPr>
        <w:t xml:space="preserve">RD-01</w:t>
      </w:r>
      <w:r>
        <w:tab/>
        <w:t xml:space="preserve">Report of the SATCON1 Workshop on Satellite Constellation Impacts on Astronomy, 2020.</w:t>
      </w:r>
    </w:p>
    <w:p>
      <w:pPr>
        <w:tabs>
          <w:tab w:val="left" w:pos="1134"/>
        </w:tabs>
        <w:spacing w:after="90"/>
        <w:ind w:left="1134" w:hanging="1134"/>
      </w:pPr>
      <w:r>
        <w:rPr>
          <w:b/>
          <w:bCs/>
        </w:rPr>
        <w:t xml:space="preserve">RD-02</w:t>
      </w:r>
      <w:r>
        <w:tab/>
        <w:t xml:space="preserve">Report of the SATCON2 Workshop, 2021.</w:t>
      </w:r>
    </w:p>
    <w:p>
      <w:pPr>
        <w:tabs>
          <w:tab w:val="left" w:pos="1134"/>
        </w:tabs>
        <w:spacing w:after="90"/>
        <w:ind w:left="1134" w:hanging="1134"/>
      </w:pPr>
      <w:r>
        <w:rPr>
          <w:b/>
          <w:bCs/>
        </w:rPr>
        <w:t xml:space="preserve">RD-03</w:t>
      </w:r>
      <w:r>
        <w:tab/>
        <w:t xml:space="preserve">IADC Space Debris Mitigation Guidelines.</w:t>
      </w:r>
    </w:p>
    <w:p>
      <w:pPr>
        <w:tabs>
          <w:tab w:val="left" w:pos="1134"/>
        </w:tabs>
        <w:spacing w:after="90"/>
        <w:ind w:left="1134" w:hanging="1134"/>
      </w:pPr>
      <w:r>
        <w:rPr>
          <w:b/>
          <w:bCs/>
        </w:rPr>
        <w:t xml:space="preserve">RD-04</w:t>
      </w:r>
      <w:r>
        <w:tab/>
        <w:t xml:space="preserve">UN COPUOS Guidelines for the Long-term Sustainability of Outer Space Activities, 2019.</w:t>
      </w:r>
    </w:p>
    <w:p>
      <w:pPr>
        <w:pStyle w:val="Heading1"/>
      </w:pPr>
      <w:r>
        <w:t xml:space="preserve">3. Terms, definitions and conventions</w:t>
      </w:r>
    </w:p>
    <w:p>
      <w:pPr>
        <w:spacing w:after="100"/>
        <w:jc w:val="both"/>
      </w:pPr>
      <w:r>
        <w:rPr>
          <w:b/>
          <w:bCs/>
        </w:rPr>
        <w:t xml:space="preserve">Requirement verbs. </w:t>
      </w:r>
      <w:r>
        <w:t xml:space="preserve">The verb “shall” identifies a mandatory provision. The verb “should” identifies a desirable goal that the applicant is expected to pursue and to justify if it is not met. The verb “may” identifies a permission.</w:t>
      </w:r>
    </w:p>
    <w:p>
      <w:pPr>
        <w:spacing w:after="100"/>
        <w:jc w:val="both"/>
      </w:pPr>
      <w:r>
        <w:rPr>
          <w:b/>
          <w:bCs/>
        </w:rPr>
        <w:t xml:space="preserve">Revisit time. </w:t>
      </w:r>
      <w:r>
        <w:t xml:space="preserve">The time interval between two consecutive imaging opportunities of the same target. Mean revisit time is the average of these intervals over the evaluation period, computed over the whole constellation.</w:t>
      </w:r>
    </w:p>
    <w:p>
      <w:pPr>
        <w:spacing w:after="100"/>
        <w:jc w:val="both"/>
      </w:pPr>
      <w:r>
        <w:rPr>
          <w:b/>
          <w:bCs/>
        </w:rPr>
        <w:t xml:space="preserve">Imaging opportunity. </w:t>
      </w:r>
      <w:r>
        <w:t xml:space="preserve">A time interval during which at least one satellite can acquire an image of a target while meeting all the geometric and illumination conditions of this call. Cloud cover is not considered.</w:t>
      </w:r>
    </w:p>
    <w:p>
      <w:pPr>
        <w:spacing w:after="100"/>
        <w:jc w:val="both"/>
      </w:pPr>
      <w:r>
        <w:rPr>
          <w:b/>
          <w:bCs/>
        </w:rPr>
        <w:t xml:space="preserve">Coverage. </w:t>
      </w:r>
      <w:r>
        <w:t xml:space="preserve">The fraction of days of the evaluation period with at least one imaging opportunity for a given target.</w:t>
      </w:r>
    </w:p>
    <w:p>
      <w:pPr>
        <w:spacing w:after="100"/>
        <w:jc w:val="both"/>
      </w:pPr>
      <w:r>
        <w:rPr>
          <w:b/>
          <w:bCs/>
        </w:rPr>
        <w:t xml:space="preserve">Night. </w:t>
      </w:r>
      <w:r>
        <w:t xml:space="preserve">A condition in which the Sun is more than 12 deg below the local horizon at the observer (end of nautical twilight).</w:t>
      </w:r>
    </w:p>
    <w:p>
      <w:pPr>
        <w:spacing w:after="100"/>
        <w:jc w:val="both"/>
      </w:pPr>
      <w:r>
        <w:rPr>
          <w:b/>
          <w:bCs/>
        </w:rPr>
        <w:t xml:space="preserve">Apparent visual magnitude. </w:t>
      </w:r>
      <w:r>
        <w:t xml:space="preserve">The magnitude in the visual (V) band of the sunlight reflected by a satellite, as seen by a ground observer at the stated range and phase angle, without atmospheric extinction. A light curve is the apparent visual magnitude as a function of time.</w:t>
      </w:r>
    </w:p>
    <w:p>
      <w:pPr>
        <w:spacing w:after="100"/>
        <w:jc w:val="both"/>
      </w:pPr>
      <w:r>
        <w:rPr>
          <w:b/>
          <w:bCs/>
        </w:rPr>
        <w:t xml:space="preserve">Time and frames. </w:t>
      </w:r>
      <w:r>
        <w:t xml:space="preserve">All epochs are expressed in UTC. Coordinates of ground locations refer to WGS84. Orbit and attitude analyses shall use reference frames consistent with AD-03.</w:t>
      </w:r>
    </w:p>
    <w:p>
      <w:pPr>
        <w:spacing w:after="100"/>
        <w:jc w:val="both"/>
      </w:pPr>
      <w:r>
        <w:rPr>
          <w:b/>
          <w:bCs/>
        </w:rPr>
        <w:t xml:space="preserve">Reference epoch (T_ref). </w:t>
      </w:r>
      <w:r>
        <w:t xml:space="preserve">21 May 2026 at 13:41 UTC.</w:t>
      </w:r>
    </w:p>
    <w:p>
      <w:pPr>
        <w:pStyle w:val="Heading1"/>
      </w:pPr>
      <w:r>
        <w:t xml:space="preserve">4. Mission description</w:t>
      </w:r>
    </w:p>
    <w:p>
      <w:pPr>
        <w:pStyle w:val="Heading2"/>
      </w:pPr>
      <w:r>
        <w:t xml:space="preserve">4.1 Mission concept</w:t>
      </w:r>
    </w:p>
    <w:p>
      <w:pPr>
        <w:spacing w:after="130"/>
        <w:jc w:val="both"/>
      </w:pPr>
      <w:r>
        <w:t>PATRIMONIO-CUBE is a constellation of CubeSats in low Earth orbit dedicated to the frequent imaging of the monuments of Section 4.2. The constellation is expected to serve the national heritage authorities for a mission lifetime of three years, counted from the end of the commissioning phase. Each satellite carries a visible-spectrum push-broom camera, acquires images in daylight only and sends them to the ground through radio links. The type of orbit, the number of satellites and the number of orbital planes are left to the applicant: the architecture shall be selected through a documented optimisation in which the revisit time is minimised and the coverage of the monuments is maximised.</w:t>
      </w:r>
    </w:p>
    <w:p>
      <w:pPr>
        <w:pStyle w:val="Heading2"/>
      </w:pPr>
      <w:r>
        <w:t xml:space="preserve">4.2 Reference targets</w:t>
      </w:r>
    </w:p>
    <w:p>
      <w:pPr>
        <w:spacing w:after="130"/>
        <w:jc w:val="both"/>
      </w:pPr>
      <w:r>
        <w:t xml:space="preserve">The area of interest is defined by a representative set of major Italian cultural heritage monuments, spanning latitude 40 deg N to 46 deg N. The reference targets and their coordinates are:</w:t>
      </w:r>
    </w:p>
    <w:p>
      <w:pPr>
        <w:pStyle w:val="ListParagraph"/>
        <w:numPr>
          <w:ilvl w:val="0"/>
          <w:numId w:val="2"/>
        </w:numPr>
        <w:spacing w:after="60"/>
      </w:pPr>
      <w:r>
        <w:t xml:space="preserve">Colosseum, Rome: 41.8902 deg N, 12.4922 deg E.</w:t>
      </w:r>
    </w:p>
    <w:p>
      <w:pPr>
        <w:pStyle w:val="ListParagraph"/>
        <w:numPr>
          <w:ilvl w:val="0"/>
          <w:numId w:val="2"/>
        </w:numPr>
        <w:spacing w:after="60"/>
      </w:pPr>
      <w:r>
        <w:t xml:space="preserve">Cathedral (Duomo), Milan: 45.4642 deg N, 9.1916 deg E.</w:t>
      </w:r>
    </w:p>
    <w:p>
      <w:pPr>
        <w:pStyle w:val="ListParagraph"/>
        <w:numPr>
          <w:ilvl w:val="0"/>
          <w:numId w:val="2"/>
        </w:numPr>
        <w:spacing w:after="60"/>
      </w:pPr>
      <w:r>
        <w:t xml:space="preserve">Leaning Tower, Pisa: 43.7230 deg N, 10.3966 deg E.</w:t>
      </w:r>
    </w:p>
    <w:p>
      <w:pPr>
        <w:pStyle w:val="ListParagraph"/>
        <w:numPr>
          <w:ilvl w:val="0"/>
          <w:numId w:val="2"/>
        </w:numPr>
        <w:spacing w:after="60"/>
      </w:pPr>
      <w:r>
        <w:t xml:space="preserve">St Mark's Square, Venice: 45.4340 deg N, 12.3388 deg E.</w:t>
      </w:r>
    </w:p>
    <w:p>
      <w:pPr>
        <w:pStyle w:val="ListParagraph"/>
        <w:numPr>
          <w:ilvl w:val="0"/>
          <w:numId w:val="2"/>
        </w:numPr>
        <w:spacing w:after="60"/>
      </w:pPr>
      <w:r>
        <w:t xml:space="preserve">Archaeological site of Pompeii: 40.7506 deg N, 14.4869 deg E.</w:t>
      </w:r>
    </w:p>
    <w:p>
      <w:pPr>
        <w:pStyle w:val="Heading2"/>
      </w:pPr>
      <w:r>
        <w:t xml:space="preserve">4.3 Constellation, orbit and space debris</w:t>
      </w:r>
    </w:p>
    <w:p>
      <w:pPr>
        <w:spacing w:after="130"/>
        <w:jc w:val="both"/>
      </w:pPr>
      <w:r>
        <w:t>The satellites shall orbit between 500 km and 650 km of altitude, and the applicant shall declare the operational altitude and the orbital elements of every satellite at T_ref. The performance of the constellation is judged on the revisit time and on the coverage of each reference target, evaluated over a period of one week (7 days). The mean revisit time of each target shall not exceed 48 hours, with a goal of 24 hours, and the maximum revisit gap shall also be reported. Each target shall be covered on at least 50 percent of the days of the evaluation period, with a goal of 80 percent.</w:t>
      </w:r>
    </w:p>
    <w:p>
      <w:pPr>
        <w:spacing w:after="130"/>
        <w:jc w:val="both"/>
      </w:pPr>
      <w:r>
        <w:t>The orbit propagation shall cover a period of at least 7 days and shall include at least the Earth's gravity field with the J2 perturbation, the atmospheric drag and the solar radiation pressure, and the models and parameters shall be declared. The orbital lifetime shall be assessed with an atmospheric drag model and with solar and geomagnetic activity predictions consistent with AD-02.</w:t>
      </w:r>
    </w:p>
    <w:p>
      <w:pPr>
        <w:spacing w:after="130"/>
        <w:jc w:val="both"/>
      </w:pPr>
      <w:r>
        <w:t>The satellites shall keep a safe separation from each other: the distance between any two satellites of the constellation shall not fall below 5 km at any time over the mission lifetime, taking into account deployment dispersions and differential drag.</w:t>
      </w:r>
    </w:p>
    <w:p>
      <w:pPr>
        <w:spacing w:after="130"/>
        <w:jc w:val="both"/>
      </w:pPr>
      <w:r>
        <w:t>Each satellite shall re-enter the atmosphere within 5 years of the end of its mission, in compliance with the space debris mitigation rules of AD-07 and AD-08. The disposal strategy (passive decay or propulsive manoeuvre) and the corresponding disposal delta-v shall be provided.</w:t>
      </w:r>
    </w:p>
    <w:p>
      <w:pPr>
        <w:pStyle w:val="Heading2"/>
      </w:pPr>
      <w:r>
        <w:t xml:space="preserve">4.4 Operations concept</w:t>
      </w:r>
    </w:p>
    <w:p>
      <w:pPr>
        <w:spacing w:after="130"/>
        <w:jc w:val="both"/>
      </w:pPr>
      <w:r>
        <w:t xml:space="preserve">Each satellite alternates imaging orbits and idle orbits. In a day of 15 orbits, 8 are imaging orbits and 7 are idle orbits. Payload data are sent to the ground through the UHF or S-band transmitters. As reference ground station for telemetry, telecommand and data downlink the applicant shall assume the ASI Space Geodesy Centre “G. Colombo” at Matera (latitude 40.6492 deg N, longitude 16.7039 deg E, altitude 400 m); additional stations may be proposed with justification.</w:t>
      </w:r>
    </w:p>
    <w:p>
      <w:pPr>
        <w:pStyle w:val="Heading1"/>
      </w:pPr>
      <w:r>
        <w:t xml:space="preserve">5. Technical description of the system</w:t>
      </w:r>
    </w:p>
    <w:p>
      <w:pPr>
        <w:spacing w:after="130"/>
        <w:jc w:val="both"/>
      </w:pPr>
      <w:r>
        <w:t xml:space="preserve">This section describes the expected technical characteristics of the satellites. The applicant shall treat the statements containing “shall” as binding for the design and shall report, in the compliance statement of Section 7, how each of them is met.</w:t>
      </w:r>
    </w:p>
    <w:p>
      <w:pPr>
        <w:pStyle w:val="Heading2"/>
      </w:pPr>
      <w:r>
        <w:t xml:space="preserve">5.1 Payload and imaging performance</w:t>
      </w:r>
    </w:p>
    <w:p>
      <w:pPr>
        <w:spacing w:after="130"/>
        <w:jc w:val="both"/>
      </w:pPr>
      <w:r>
        <w:t>Each satellite is equipped with a visible-spectrum push-broom camera with a panchromatic Ground Sample Distance of 6.5 m, or better, and a swath of 24 km, or wider, at nadir. At the operational altitude declared by the applicant this implies a detector line of at least 3,700 pixels across track. These figures shall be justified with vendor datasheets.</w:t>
      </w:r>
    </w:p>
    <w:p>
      <w:pPr>
        <w:spacing w:after="130"/>
        <w:jc w:val="both"/>
      </w:pPr>
      <w:r>
        <w:t>The satellite shall be able to image targets at an off-nadir angle of up to 30 deg, with a GSD not exceeding 10 m at that angle. Images are acquired in daylight only: the Sun shall be above the local horizon at the target, and the Sun elevation should be higher than 20 deg.</w:t>
      </w:r>
    </w:p>
    <w:p>
      <w:pPr>
        <w:pStyle w:val="Heading2"/>
      </w:pPr>
      <w:r>
        <w:t xml:space="preserve">5.2 CubeSat platform</w:t>
      </w:r>
    </w:p>
    <w:p>
      <w:pPr>
        <w:spacing w:after="130"/>
        <w:jc w:val="both"/>
      </w:pPr>
      <w:r>
        <w:t xml:space="preserve">Each satellite is a CubeSat in a format between 6U and 12U, compliant with AD-09. The total mass, including a margin of 10 percent, shall remain within the maximum allowed by AD-09 for the selected format, namely 12 kg for 6U and 24 kg for 12U. The platform components are the structure, the on-board computer, the electrical power system, the battery, the deployable solar panels, the UHF and S-band radios, the attitude determination and control subsystem and the optical payload. They shall be selected among commercially available CubeSat products documented by vendor datasheets and shall fit, together, within the mass and volume of the selected format, with a volume margin of at least 10 percent and with the deployable solar panels, stowed, within the dispenser envelope.</w:t>
      </w:r>
    </w:p>
    <w:p>
      <w:pPr>
        <w:spacing w:after="130"/>
        <w:jc w:val="both"/>
      </w:pPr>
      <w:r>
        <w:t>For each component the applicant shall provide a bill of materials entry stating vendor, model, mass, dimensions, declared power in each operating mode and operational temperature limits.</w:t>
      </w:r>
    </w:p>
    <w:p>
      <w:pPr>
        <w:pStyle w:val="Heading2"/>
      </w:pPr>
      <w:r>
        <w:t xml:space="preserve">5.3 Attitude determination and control</w:t>
      </w:r>
    </w:p>
    <w:p>
      <w:pPr>
        <w:spacing w:after="130"/>
        <w:jc w:val="both"/>
      </w:pPr>
      <w:r>
        <w:t>During imaging the pointing accuracy shall be better than 0.1 deg (3 sigma) and the attitude knowledge better than 0.03 deg (3 sigma). The satellite shall be able to slew by 30 deg in not more than 120 seconds, so as to point at targets off the ground track.</w:t>
      </w:r>
    </w:p>
    <w:p>
      <w:pPr>
        <w:pStyle w:val="Heading2"/>
      </w:pPr>
      <w:r>
        <w:t xml:space="preserve">5.4 Electrical power</w:t>
      </w:r>
    </w:p>
    <w:p>
      <w:pPr>
        <w:spacing w:after="130"/>
        <w:jc w:val="both"/>
      </w:pPr>
      <w:r>
        <w:t xml:space="preserve">The electrical power budget shall be closed in sunlight and in eclipse for every operating mode, namely idle, payload acquisition, UHF downlink and S-band downlink, with the duty cycle of each subsystem in each mode. Power consumption values are taken from the vendor datasheets of the selected components, and any value not available in the datasheets shall be justified. A design margin of 10 percent shall be applied to the budget.</w:t>
      </w:r>
    </w:p>
    <w:p>
      <w:pPr>
        <w:spacing w:after="130"/>
        <w:jc w:val="both"/>
      </w:pPr>
      <w:r>
        <w:t xml:space="preserve">The daily energy balance shall not be negative over a day of 15 orbits with 8 imaging orbits and 7 idle orbits, as described in Section 4.4, and the battery depth of discharge shall not exceed 30 percent in any orbit. Both conditions shall be met in the worst case, at end of life, considering the degradation of the solar cells and of the battery capacity, the maximum eclipse duration and the worst Sun-array geometry of the selected orbit. The power generated by the solar panels shall account for the cell temperature derived from the thermal analysis of Section 5.5.</w:t>
      </w:r>
    </w:p>
    <w:p>
      <w:pPr>
        <w:pStyle w:val="Heading2"/>
      </w:pPr>
      <w:r>
        <w:t xml:space="preserve">5.5 Thermal behaviour</w:t>
      </w:r>
    </w:p>
    <w:p>
      <w:pPr>
        <w:spacing w:after="130"/>
        <w:jc w:val="both"/>
      </w:pPr>
      <w:r>
        <w:t>The temperatures of the CubeSat faces, of the solar panels, of the central body and of the battery shall be assessed along the orbit and during the daylight reference imaging pass of Case A (Section 6.2). The battery temperature shall stay within the operational limit of the selected battery at all times.</w:t>
      </w:r>
    </w:p>
    <w:p>
      <w:pPr>
        <w:spacing w:after="130"/>
        <w:jc w:val="both"/>
      </w:pPr>
      <w:r>
        <w:t xml:space="preserve">The analysis shall consider at least a hot case and a cold case, defined by the solar flux, the Earth albedo and the Earth infrared emission of AD-02 and by the beta-angle extremes of the selected orbit. The thermal model shall be at least a lumped-parameter model with a node for each face, for the solar panels, for the central body and for the battery, and the heat dissipated in each operating mode shall be consistent with the power budget of Section 5.4.</w:t>
      </w:r>
    </w:p>
    <w:p>
      <w:pPr>
        <w:pStyle w:val="Heading2"/>
      </w:pPr>
      <w:r>
        <w:t xml:space="preserve">5.6 Communications and data handling</w:t>
      </w:r>
    </w:p>
    <w:p>
      <w:pPr>
        <w:spacing w:after="130"/>
        <w:jc w:val="both"/>
      </w:pPr>
      <w:r>
        <w:t>Data are sent to the ground through radio links in the UHF band or in the S band, and the applicant shall indicate which link is used for each purpose.</w:t>
      </w:r>
    </w:p>
    <w:p>
      <w:pPr>
        <w:pStyle w:val="Heading2"/>
      </w:pPr>
      <w:r>
        <w:t xml:space="preserve">5.7 Impact on astronomy</w:t>
      </w:r>
    </w:p>
    <w:p>
      <w:pPr>
        <w:spacing w:after="130"/>
        <w:jc w:val="both"/>
      </w:pPr>
      <w:r>
        <w:t xml:space="preserve">The peak apparent visual magnitude of every sunlit satellite seen from Matera at night shall be fainter than magnitude 7, the conventional limit of naked-eye visibility. The light reflected by the satellite during the night pass of Case B (Section 6.3) shall be provided as a light curve with a time step not larger than 5 seconds, together with the phase angle, the range and the estimated apparent visual magnitude.</w:t>
      </w:r>
    </w:p>
    <w:p>
      <w:pPr>
        <w:spacing w:after="130"/>
        <w:jc w:val="both"/>
      </w:pPr>
      <w:r>
        <w:t>The light curve shall be computed with a documented reflectance model for the surfaces of the satellite (solar panels, faces and optical aperture), including diffuse and specular components, and with the attitude of the satellite during the pass.</w:t>
      </w:r>
    </w:p>
    <w:p>
      <w:pPr>
        <w:pStyle w:val="Heading1"/>
      </w:pPr>
      <w:r>
        <w:t xml:space="preserve">6. Reference operational cases</w:t>
      </w:r>
    </w:p>
    <w:p>
      <w:pPr>
        <w:pStyle w:val="Heading2"/>
      </w:pPr>
      <w:r>
        <w:t xml:space="preserve">6.1 Common conditions</w:t>
      </w:r>
    </w:p>
    <w:p>
      <w:pPr>
        <w:spacing w:after="130"/>
        <w:jc w:val="both"/>
      </w:pPr>
      <w:r>
        <w:t xml:space="preserve">The design shall be checked on two reference cases over 48 hours starting at T_ref. The applicant shall use the constellation defined in the proposal, with the initial conditions declared as per Section 4.3, and shall select the satellite and the pass that satisfy the conditions of each case. If no pass satisfying the conditions of a case exists within the 48 hours, the applicant shall state it and shall report the first pass that does, after the end of the window.</w:t>
      </w:r>
    </w:p>
    <w:p>
      <w:pPr>
        <w:pStyle w:val="Heading2"/>
      </w:pPr>
      <w:r>
        <w:t xml:space="preserve">6.2 Case A: daylight imaging of the Colosseum</w:t>
      </w:r>
    </w:p>
    <w:p>
      <w:pPr>
        <w:spacing w:after="130"/>
        <w:jc w:val="both"/>
      </w:pPr>
      <w:r>
        <w:t>A satellite images the Colosseum in Rome (latitude 41.8902 deg N, longitude 12.4922 deg E) in daylight. The off-nadir angle at the acquisition shall not exceed 30 deg, as per Section 5.1, and the Sun shall be above the horizon at the target, preferably higher than 20 deg. For this case the applicant shall report:</w:t>
      </w:r>
    </w:p>
    <w:p>
      <w:pPr>
        <w:pStyle w:val="ListParagraph"/>
        <w:numPr>
          <w:ilvl w:val="0"/>
          <w:numId w:val="2"/>
        </w:numPr>
        <w:spacing w:after="60"/>
      </w:pPr>
      <w:r>
        <w:t xml:space="preserve">the satellite, the date, and the start and end times of the pass;</w:t>
      </w:r>
    </w:p>
    <w:p>
      <w:pPr>
        <w:pStyle w:val="ListParagraph"/>
        <w:numPr>
          <w:ilvl w:val="0"/>
          <w:numId w:val="2"/>
        </w:numPr>
        <w:spacing w:after="60"/>
      </w:pPr>
      <w:r>
        <w:t xml:space="preserve">the imaging geometry (off-nadir angle, satellite elevation and azimuth) and the ground footprint;</w:t>
      </w:r>
    </w:p>
    <w:p>
      <w:pPr>
        <w:pStyle w:val="ListParagraph"/>
        <w:numPr>
          <w:ilvl w:val="0"/>
          <w:numId w:val="2"/>
        </w:numPr>
        <w:spacing w:after="60"/>
      </w:pPr>
      <w:r>
        <w:t xml:space="preserve">the Sun elevation and azimuth at the target;</w:t>
      </w:r>
    </w:p>
    <w:p>
      <w:pPr>
        <w:pStyle w:val="ListParagraph"/>
        <w:numPr>
          <w:ilvl w:val="0"/>
          <w:numId w:val="2"/>
        </w:numPr>
        <w:spacing w:after="60"/>
      </w:pPr>
      <w:r>
        <w:t xml:space="preserve">the temperatures of faces, solar panels, central body and battery during the pass.</w:t>
      </w:r>
    </w:p>
    <w:p>
      <w:pPr>
        <w:pStyle w:val="Heading2"/>
      </w:pPr>
      <w:r>
        <w:t xml:space="preserve">6.3 Case B: night pass over Matera</w:t>
      </w:r>
    </w:p>
    <w:p>
      <w:pPr>
        <w:spacing w:after="130"/>
        <w:jc w:val="both"/>
      </w:pPr>
      <w:r>
        <w:t xml:space="preserve">A satellite crosses the sky of the ASI Space Geodesy Centre “G. Colombo” at Matera (latitude 40.6492 deg N, longitude 16.7039 deg E, altitude 400 m) at night, above 10 deg of elevation and sunlit. For this case the applicant shall report:</w:t>
      </w:r>
    </w:p>
    <w:p>
      <w:pPr>
        <w:pStyle w:val="ListParagraph"/>
        <w:numPr>
          <w:ilvl w:val="0"/>
          <w:numId w:val="2"/>
        </w:numPr>
        <w:spacing w:after="60"/>
      </w:pPr>
      <w:r>
        <w:t xml:space="preserve">the satellite, the date, and the start and end times of the pass;</w:t>
      </w:r>
    </w:p>
    <w:p>
      <w:pPr>
        <w:pStyle w:val="ListParagraph"/>
        <w:numPr>
          <w:ilvl w:val="0"/>
          <w:numId w:val="2"/>
        </w:numPr>
        <w:spacing w:after="60"/>
      </w:pPr>
      <w:r>
        <w:t xml:space="preserve">the light curve, the phase angle and the range along the pass;</w:t>
      </w:r>
    </w:p>
    <w:p>
      <w:pPr>
        <w:pStyle w:val="ListParagraph"/>
        <w:numPr>
          <w:ilvl w:val="0"/>
          <w:numId w:val="2"/>
        </w:numPr>
        <w:spacing w:after="60"/>
      </w:pPr>
      <w:r>
        <w:t xml:space="preserve">the estimated apparent visual magnitude and its peak value.</w:t>
      </w:r>
    </w:p>
    <w:p>
      <w:pPr>
        <w:pStyle w:val="Heading1"/>
      </w:pPr>
      <w:r>
        <w:t xml:space="preserve">7. Verification and deliverables</w:t>
      </w:r>
    </w:p>
    <w:p>
      <w:pPr>
        <w:pStyle w:val="Heading2"/>
      </w:pPr>
      <w:r>
        <w:t xml:space="preserve">7.1 Verification</w:t>
      </w:r>
    </w:p>
    <w:p>
      <w:pPr>
        <w:spacing w:after="130"/>
        <w:jc w:val="both"/>
      </w:pPr>
      <w:r>
        <w:t xml:space="preserve">Compliance shall be verified by simulation and analysis only. The applicant shall provide evidence of the optimised constellation architecture and of its revisit-time and coverage performance over the reference targets; of the propagated orbit and attitude of the satellites and of the two reference cases; of the electrical power budget; of the selected platform components with their bill of materials, mass, volume and declared power; of the temperatures of the CubeSat against the battery limit; of representative simulated imagery of the daylight pass over the Colosseum; and of the light curve, the phase angle, the range and the estimated apparent visual magnitude of the night pass over Matera.</w:t>
      </w:r>
    </w:p>
    <w:p>
      <w:pPr>
        <w:spacing w:after="130"/>
        <w:jc w:val="both"/>
      </w:pPr>
      <w:r>
        <w:t>The simulated imagery shall show the imaging geometry, the footprint and a ground illumination consistent with the acquisition time, and shall be accompanied by the acquisition time in UTC, the Sun elevation and azimuth, the off-nadir angle and the coordinates of the footprint corners. The same orbit and attitude profiles shall be used in the coverage, power, thermal, imaging and astronomy analyses, so that the results are consistent with each other.</w:t>
      </w:r>
    </w:p>
    <w:p>
      <w:pPr>
        <w:spacing w:after="130"/>
        <w:jc w:val="both"/>
      </w:pPr>
      <w:r>
        <w:t xml:space="preserve">The proposal shall include a compliance statement that gives, for each provision containing “shall” in Sections 4 and 5, the status (compliant, partially compliant, non-compliant) and the reference to the supporting evidence. Any deviation shall be justified.</w:t>
      </w:r>
    </w:p>
    <w:p>
      <w:pPr>
        <w:pStyle w:val="Heading2"/>
      </w:pPr>
      <w:r>
        <w:t xml:space="preserve">7.2 Deliverables</w:t>
      </w:r>
    </w:p>
    <w:p>
      <w:pPr>
        <w:spacing w:after="130"/>
        <w:jc w:val="both"/>
      </w:pPr>
      <w:r>
        <w:t xml:space="preserve">The applicant shall deliver the following items, in English:</w:t>
      </w:r>
    </w:p>
    <w:p>
      <w:pPr>
        <w:pStyle w:val="ListParagraph"/>
        <w:numPr>
          <w:ilvl w:val="0"/>
          <w:numId w:val="2"/>
        </w:numPr>
        <w:spacing w:after="60"/>
      </w:pPr>
      <w:r>
        <w:t xml:space="preserve">the optimised constellation architecture, with its revisit time and coverage;</w:t>
      </w:r>
    </w:p>
    <w:p>
      <w:pPr>
        <w:pStyle w:val="ListParagraph"/>
        <w:numPr>
          <w:ilvl w:val="0"/>
          <w:numId w:val="2"/>
        </w:numPr>
        <w:spacing w:after="60"/>
      </w:pPr>
      <w:r>
        <w:t xml:space="preserve">the satellites, the dates and the start and end times of the two reference passes;</w:t>
      </w:r>
    </w:p>
    <w:p>
      <w:pPr>
        <w:pStyle w:val="ListParagraph"/>
        <w:numPr>
          <w:ilvl w:val="0"/>
          <w:numId w:val="2"/>
        </w:numPr>
        <w:spacing w:after="60"/>
      </w:pPr>
      <w:r>
        <w:t xml:space="preserve">the power budget, with its tables and figures;</w:t>
      </w:r>
    </w:p>
    <w:p>
      <w:pPr>
        <w:pStyle w:val="ListParagraph"/>
        <w:numPr>
          <w:ilvl w:val="0"/>
          <w:numId w:val="2"/>
        </w:numPr>
        <w:spacing w:after="60"/>
      </w:pPr>
      <w:r>
        <w:t xml:space="preserve">the temperatures of faces, solar panels and battery;</w:t>
      </w:r>
    </w:p>
    <w:p>
      <w:pPr>
        <w:pStyle w:val="ListParagraph"/>
        <w:numPr>
          <w:ilvl w:val="0"/>
          <w:numId w:val="2"/>
        </w:numPr>
        <w:spacing w:after="60"/>
      </w:pPr>
      <w:r>
        <w:t xml:space="preserve">the separation between the satellites and their disposal delta-v;</w:t>
      </w:r>
    </w:p>
    <w:p>
      <w:pPr>
        <w:pStyle w:val="ListParagraph"/>
        <w:numPr>
          <w:ilvl w:val="0"/>
          <w:numId w:val="2"/>
        </w:numPr>
        <w:spacing w:after="60"/>
      </w:pPr>
      <w:r>
        <w:t xml:space="preserve">the simulated images of the daylight pass over the Colosseum;</w:t>
      </w:r>
    </w:p>
    <w:p>
      <w:pPr>
        <w:pStyle w:val="ListParagraph"/>
        <w:numPr>
          <w:ilvl w:val="0"/>
          <w:numId w:val="2"/>
        </w:numPr>
        <w:spacing w:after="60"/>
      </w:pPr>
      <w:r>
        <w:t xml:space="preserve">the light curve and the apparent magnitude from Matera;</w:t>
      </w:r>
    </w:p>
    <w:p>
      <w:pPr>
        <w:pStyle w:val="ListParagraph"/>
        <w:numPr>
          <w:ilvl w:val="0"/>
          <w:numId w:val="2"/>
        </w:numPr>
        <w:spacing w:after="60"/>
      </w:pPr>
      <w:r>
        <w:t xml:space="preserve">the compliance statement;</w:t>
      </w:r>
    </w:p>
    <w:p>
      <w:pPr>
        <w:pStyle w:val="Heading1"/>
      </w:pPr>
      <w:r>
        <w:t>8. Evaluation criteria</w:t>
      </w:r>
    </w:p>
    <w:p>
      <w:pPr>
        <w:spacing w:after="130"/>
        <w:jc w:val="both"/>
      </w:pPr>
      <w:r>
        <w:t xml:space="preserve">Proposals will be evaluated by a panel appointed by ASI, which may include external experts, on the following criteria, each scored from 0 to 5 and weighted as indicated.</w:t>
      </w:r>
    </w:p>
    <w:p>
      <w:pPr>
        <w:spacing w:after="100"/>
        <w:jc w:val="both"/>
      </w:pPr>
      <w:r>
        <w:rPr>
          <w:b/>
          <w:bCs/>
        </w:rPr>
        <w:t xml:space="preserve">Compliance with the call (30 percent). </w:t>
      </w:r>
      <w:r>
        <w:t xml:space="preserve">Extent to which the proposal meets the provisions of Sections 4 and 5 and provides the evidence of Section 7. A proposal scoring less than 3 on this criterion will not be considered further.</w:t>
      </w:r>
    </w:p>
    <w:p>
      <w:pPr>
        <w:spacing w:after="100"/>
        <w:jc w:val="both"/>
      </w:pPr>
      <w:r>
        <w:rPr>
          <w:b/>
          <w:bCs/>
        </w:rPr>
        <w:t xml:space="preserve">Technical quality of the design (25 percent). </w:t>
      </w:r>
      <w:r>
        <w:t xml:space="preserve">Soundness of the constellation optimisation, justification of the choice of components, consistency of the analyses with each other, and quality of the simulations.</w:t>
      </w:r>
    </w:p>
    <w:p>
      <w:pPr>
        <w:spacing w:after="100"/>
        <w:jc w:val="both"/>
      </w:pPr>
      <w:r>
        <w:rPr>
          <w:b/>
          <w:bCs/>
        </w:rPr>
        <w:t xml:space="preserve">Service to the cultural heritage monuments (25 percent). </w:t>
      </w:r>
      <w:r>
        <w:t>Revisit time and coverage achieved on each of the reference monuments of Section 4.2, assessed against the values and goals of Section 4.3. The panel will also consider the usefulness of the imagery for monument monitoring, based on the simulated acquisition over the Colosseum in Case A (footprint centred on the monument, illumination and viewing geometry suited to the observation of the structure).</w:t>
      </w:r>
    </w:p>
    <w:p>
      <w:pPr>
        <w:spacing w:after="100"/>
        <w:jc w:val="both"/>
      </w:pPr>
      <w:r>
        <w:rPr>
          <w:b/>
          <w:bCs/>
        </w:rPr>
        <w:t xml:space="preserve">Impact on astronomy (20 percent). </w:t>
      </w:r>
      <w:r>
        <w:t xml:space="preserve">Brightness of the satellites as seen from the ground, quality of the reflectance analysis and effectiveness of the mitigation measures.</w:t>
      </w:r>
    </w:p>
    <w:p>
      <w:pPr>
        <w:spacing w:after="130"/>
        <w:jc w:val="both"/>
      </w:pPr>
      <w:r>
        <w:t xml:space="preserve">In the case of equal scores, the proposal with the lowest impact on astronomy ranks first. Costs and lifecycle economics are outside the scope of this call and will not be evaluated.</w:t>
      </w:r>
    </w:p>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55555"/>
        <w:sz w:val="17"/>
        <w:szCs w:val="17"/>
      </w:rPr>
      <w:t xml:space="preserve">ASI-PCUBE-CFP-001 | Issue 1, Revision 2</w:t>
    </w:r>
    <w:r>
      <w:rPr>
        <w:color w:val="555555"/>
        <w:sz w:val="17"/>
        <w:szCs w:val="17"/>
      </w:rPr>
      <w:tab/>
      <w:t xml:space="preserve">Page </w:t>
    </w:r>
    <w:r>
      <w:rPr>
        <w:color w:val="555555"/>
        <w:sz w:val="17"/>
        <w:szCs w:val="17"/>
      </w:rPr>
      <w:fldChar w:fldCharType="begin"/>
      <w:instrText xml:space="preserve">PAGE</w:instrText>
      <w:fldChar w:fldCharType="separate"/>
      <w:fldChar w:fldCharType="end"/>
    </w:r>
    <w:r>
      <w:rPr>
        <w:color w:val="555555"/>
        <w:sz w:val="17"/>
        <w:szCs w:val="17"/>
      </w:rPr>
      <w:t xml:space="preserve"> of </w:t>
    </w:r>
    <w:r>
      <w:rPr>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555555"/>
        <w:sz w:val="17"/>
        <w:szCs w:val="17"/>
      </w:rPr>
      <w:t xml:space="preserve">Agenzia Spaziale Italiana | Call for Proposals PATRIMONIO-CUBE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00" w:before="220"/>
      <w:outlineLvl w:val="1"/>
    </w:pPr>
    <w:rPr>
      <w:rFonts w:ascii="Arial" w:cs="Arial" w:eastAsia="Arial" w:hAnsi="Arial"/>
      <w:b/>
      <w:bCs/>
      <w:color w:val="1F386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PATRIMONIO-CUBE Call for Proposals</dc:title>
  <dc:creator>ASI</dc:creator>
  <cp:lastModifiedBy>Un-named</cp:lastModifiedBy>
  <cp:revision>1</cp:revision>
  <dcterms:created xsi:type="dcterms:W3CDTF">2026-10-23T20:55:33.217Z</dcterms:created>
  <dcterms:modified xsi:type="dcterms:W3CDTF">2026-10-23T20:55:33.226Z</dcterms:modified>
</cp:coreProperties>
</file>

<file path=docProps/custom.xml><?xml version="1.0" encoding="utf-8"?>
<Properties xmlns="http://schemas.openxmlformats.org/officeDocument/2006/custom-properties" xmlns:vt="http://schemas.openxmlformats.org/officeDocument/2006/docPropsVTypes"/>
</file>