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375C"/>
          <w:sz w:val="48"/>
        </w:rPr>
        <w:t>Standard interno per la redazione di documentazione aziendale destinata a sistemi RAG</w:t>
      </w:r>
    </w:p>
    <w:p>
      <w:pPr>
        <w:jc w:val="center"/>
      </w:pPr>
      <w:r>
        <w:rPr>
          <w:i/>
          <w:color w:val="5A5A5A"/>
          <w:sz w:val="26"/>
        </w:rPr>
        <w:t>Best practice, workflow operativo e metriche di qualità del documento</w:t>
      </w:r>
    </w:p>
    <w:p/>
    <w:p/>
    <w:p/>
    <w:tbl>
      <w:tblPr>
        <w:tblStyle w:val="TableGrid"/>
        <w:tblW w:type="auto" w:w="0"/>
        <w:jc w:val="center"/>
        <w:tblLook w:firstColumn="1" w:firstRow="1" w:lastColumn="0" w:lastRow="0" w:noHBand="0" w:noVBand="1" w:val="04A0"/>
      </w:tblPr>
      <w:tblGrid>
        <w:gridCol w:w="4873"/>
        <w:gridCol w:w="4873"/>
      </w:tblGrid>
      <w:tr>
        <w:trPr>
          <w:cantSplit/>
        </w:trPr>
        <w:tc>
          <w:tcPr>
            <w:tcW w:type="dxa" w:w="4873"/>
            <w:vAlign w:val="center"/>
            <w:shd w:fill="DCE6F1"/>
          </w:tcPr>
          <w:p>
            <w:pPr>
              <w:spacing w:after="40"/>
            </w:pPr>
            <w:r/>
            <w:r>
              <w:rPr>
                <w:b/>
              </w:rPr>
              <w:t>Tipo documento</w:t>
            </w:r>
          </w:p>
        </w:tc>
        <w:tc>
          <w:tcPr>
            <w:tcW w:type="dxa" w:w="4873"/>
            <w:vAlign w:val="center"/>
          </w:tcPr>
          <w:p>
            <w:pPr>
              <w:spacing w:after="40"/>
            </w:pPr>
            <w:r/>
            <w:r>
              <w:rPr>
                <w:b w:val="0"/>
              </w:rPr>
              <w:t>Linea guida / SOP aziendale</w:t>
            </w:r>
          </w:p>
        </w:tc>
      </w:tr>
      <w:tr>
        <w:trPr>
          <w:cantSplit/>
        </w:trPr>
        <w:tc>
          <w:tcPr>
            <w:tcW w:type="dxa" w:w="4873"/>
            <w:vAlign w:val="center"/>
            <w:shd w:fill="DCE6F1"/>
          </w:tcPr>
          <w:p>
            <w:pPr>
              <w:spacing w:after="40"/>
            </w:pPr>
            <w:r/>
            <w:r>
              <w:rPr>
                <w:b/>
              </w:rPr>
              <w:t>Ambito</w:t>
            </w:r>
          </w:p>
        </w:tc>
        <w:tc>
          <w:tcPr>
            <w:tcW w:type="dxa" w:w="4873"/>
            <w:vAlign w:val="center"/>
          </w:tcPr>
          <w:p>
            <w:pPr>
              <w:spacing w:after="40"/>
            </w:pPr>
            <w:r/>
            <w:r>
              <w:rPr>
                <w:b w:val="0"/>
              </w:rPr>
              <w:t>Preparazione e governance di documenti e knowledge objects per Retrieval-Augmented Generation (RAG)</w:t>
            </w:r>
          </w:p>
        </w:tc>
      </w:tr>
      <w:tr>
        <w:trPr>
          <w:cantSplit/>
        </w:trPr>
        <w:tc>
          <w:tcPr>
            <w:tcW w:type="dxa" w:w="4873"/>
            <w:vAlign w:val="center"/>
            <w:shd w:fill="DCE6F1"/>
          </w:tcPr>
          <w:p>
            <w:pPr>
              <w:spacing w:after="40"/>
            </w:pPr>
            <w:r/>
            <w:r>
              <w:rPr>
                <w:b/>
              </w:rPr>
              <w:t>Versione</w:t>
            </w:r>
          </w:p>
        </w:tc>
        <w:tc>
          <w:tcPr>
            <w:tcW w:type="dxa" w:w="4873"/>
            <w:vAlign w:val="center"/>
          </w:tcPr>
          <w:p>
            <w:pPr>
              <w:spacing w:after="40"/>
            </w:pPr>
            <w:r/>
            <w:r>
              <w:rPr>
                <w:b w:val="0"/>
              </w:rPr>
              <w:t>v1.0 – 25 marzo 2026</w:t>
            </w:r>
          </w:p>
        </w:tc>
      </w:tr>
      <w:tr>
        <w:trPr>
          <w:cantSplit/>
        </w:trPr>
        <w:tc>
          <w:tcPr>
            <w:tcW w:type="dxa" w:w="4873"/>
            <w:vAlign w:val="center"/>
            <w:shd w:fill="DCE6F1"/>
          </w:tcPr>
          <w:p>
            <w:pPr>
              <w:spacing w:after="40"/>
            </w:pPr>
            <w:r/>
            <w:r>
              <w:rPr>
                <w:b/>
              </w:rPr>
              <w:t>Uso previsto</w:t>
            </w:r>
          </w:p>
        </w:tc>
        <w:tc>
          <w:tcPr>
            <w:tcW w:type="dxa" w:w="4873"/>
            <w:vAlign w:val="center"/>
          </w:tcPr>
          <w:p>
            <w:pPr>
              <w:spacing w:after="40"/>
            </w:pPr>
            <w:r/>
            <w:r>
              <w:rPr>
                <w:b w:val="0"/>
              </w:rPr>
              <w:t>Riferimento comune per team di business, data, analytics, knowledge management, AI engineering e governance</w:t>
            </w:r>
          </w:p>
        </w:tc>
      </w:tr>
    </w:tbl>
    <w:p/>
    <w:p/>
    <w:p/>
    <w:p/>
    <w:p/>
    <w:p/>
    <w:p>
      <w:pPr>
        <w:jc w:val="center"/>
      </w:pPr>
      <w:r>
        <w:rPr>
          <w:color w:val="464646"/>
          <w:sz w:val="21"/>
        </w:rPr>
        <w:t xml:space="preserve">Documento generalizzato: non dipende da un singolo dominio applicativo o da un corpus specifico. </w:t>
      </w:r>
      <w:r>
        <w:rPr>
          <w:b/>
          <w:color w:val="464646"/>
          <w:sz w:val="21"/>
        </w:rPr>
        <w:t>Le soglie quantitative proposte in questo standard sono soglie interne iniziali e devono essere calibrate sul dataset di valutazione dell’organizzazione.</w:t>
      </w:r>
    </w:p>
    <w:p>
      <w:r>
        <w:br w:type="page"/>
      </w:r>
    </w:p>
    <w:p>
      <w:pPr>
        <w:pStyle w:val="Heading1"/>
      </w:pPr>
      <w:r>
        <w:t>Indice</w:t>
      </w:r>
    </w:p>
    <w:p>
      <w:pPr>
        <w:pStyle w:val="ListBullet"/>
      </w:pPr>
      <w:r>
        <w:t>1. Scopo, perimetro e definizioni operative</w:t>
      </w:r>
    </w:p>
    <w:p>
      <w:pPr>
        <w:pStyle w:val="ListBullet"/>
      </w:pPr>
      <w:r>
        <w:t>2. Principi guida</w:t>
      </w:r>
    </w:p>
    <w:p>
      <w:pPr>
        <w:pStyle w:val="ListBullet"/>
      </w:pPr>
      <w:r>
        <w:t>3. Best practice di redazione per documenti destinati al RAG</w:t>
      </w:r>
    </w:p>
    <w:p>
      <w:pPr>
        <w:pStyle w:val="ListBullet"/>
      </w:pPr>
      <w:r>
        <w:t>4. Workflow operativo standard</w:t>
      </w:r>
    </w:p>
    <w:p>
      <w:pPr>
        <w:pStyle w:val="ListBullet"/>
      </w:pPr>
      <w:r>
        <w:t>5. Metriche di valutazione della qualità del documento</w:t>
      </w:r>
    </w:p>
    <w:p>
      <w:pPr>
        <w:pStyle w:val="ListBullet"/>
      </w:pPr>
      <w:r>
        <w:t>6. Metriche di sistema RAG da monitorare in parallelo</w:t>
      </w:r>
    </w:p>
    <w:p>
      <w:pPr>
        <w:pStyle w:val="ListBullet"/>
      </w:pPr>
      <w:r>
        <w:t>7. Gate di rilascio e checklist operativa</w:t>
      </w:r>
    </w:p>
    <w:p>
      <w:pPr>
        <w:pStyle w:val="ListBullet"/>
      </w:pPr>
      <w:r>
        <w:t>8. Governance, ownership e aggiornamento continuo</w:t>
      </w:r>
    </w:p>
    <w:p>
      <w:pPr>
        <w:pStyle w:val="ListBullet"/>
      </w:pPr>
      <w:r>
        <w:t>Appendice A – Schema minimo di metadati</w:t>
      </w:r>
    </w:p>
    <w:p>
      <w:pPr>
        <w:pStyle w:val="ListBullet"/>
      </w:pPr>
      <w:r>
        <w:t>Appendice B – Fonti ufficiali consigliate</w:t>
      </w:r>
    </w:p>
    <w:p>
      <w:pPr>
        <w:pStyle w:val="Heading1"/>
      </w:pPr>
      <w:r>
        <w:t>1. Scopo, perimetro e definizioni operative</w:t>
      </w:r>
    </w:p>
    <w:p>
      <w:r>
        <w:rPr>
          <w:b/>
        </w:rPr>
        <w:t xml:space="preserve">Scopo. </w:t>
      </w:r>
      <w:r>
        <w:t>Definire uno standard aziendale per progettare, redigere, strutturare, valutare e governare documentazione che dovrà essere indicizzata e usata da sistemi RAG per rispondere a domande aziendali in modo accurato, rintracciabile e aggiornabile.</w:t>
      </w:r>
    </w:p>
    <w:p>
      <w:r>
        <w:rPr>
          <w:b/>
        </w:rPr>
        <w:t xml:space="preserve">Perimetro. </w:t>
      </w:r>
      <w:r>
        <w:t>Lo standard si applica a policy, procedure, guide operative, glossari, knowledge objects, FAQ, runbook, specifiche di processo e documentazione tecnica o business che debba alimentare motori di retrieval e generazione.</w:t>
      </w:r>
    </w:p>
    <w:p>
      <w:r>
        <w:rPr>
          <w:b/>
        </w:rPr>
        <w:t xml:space="preserve">Definizione operativa di RAG. </w:t>
      </w:r>
      <w:r>
        <w:t>In questo documento, RAG indica un’architettura in cui il modello non apprende nuovi pesi dal corpus, ma riceve al momento della richiesta un contesto recuperato da una knowledge base. Ne consegue che la qualità delle risposte dipende in misura sostanziale dalla qualità del corpus, del retrieval e della valutazione continua.</w:t>
      </w:r>
    </w:p>
    <w:p>
      <w:pPr>
        <w:pStyle w:val="Heading1"/>
      </w:pPr>
      <w:r>
        <w:t>2. Principi guida</w:t>
      </w:r>
    </w:p>
    <w:p>
      <w:pPr>
        <w:pStyle w:val="ListNumber"/>
      </w:pPr>
      <w:r>
        <w:rPr>
          <w:b/>
        </w:rPr>
        <w:t xml:space="preserve">Progettare dai casi d’uso e dalle domande reali. </w:t>
      </w:r>
      <w:r>
        <w:t>La documentazione va costruita a partire dalle query che i team porranno davvero, non a partire dalla semplice disponibilità di file.</w:t>
      </w:r>
    </w:p>
    <w:p>
      <w:pPr>
        <w:pStyle w:val="ListNumber"/>
      </w:pPr>
      <w:r>
        <w:rPr>
          <w:b/>
        </w:rPr>
        <w:t xml:space="preserve">Separare conoscenza approvata, contenuti in bozza e ambiguità aperte. </w:t>
      </w:r>
      <w:r>
        <w:t>Il corpus non deve mescolare fatti confermati, ipotesi, conflitti o note di lavoro senza marcature esplicite.</w:t>
      </w:r>
    </w:p>
    <w:p>
      <w:pPr>
        <w:pStyle w:val="ListNumber"/>
      </w:pPr>
      <w:r>
        <w:rPr>
          <w:b/>
        </w:rPr>
        <w:t xml:space="preserve">Scrivere per il retrieval, non solo per la lettura lineare. </w:t>
      </w:r>
      <w:r>
        <w:t>Il documento deve essere comprensibile anche quando il sistema recupera solo una sua parte.</w:t>
      </w:r>
    </w:p>
    <w:p>
      <w:pPr>
        <w:pStyle w:val="ListNumber"/>
      </w:pPr>
      <w:r>
        <w:rPr>
          <w:b/>
        </w:rPr>
        <w:t xml:space="preserve">Trattare metadati, versioning ed evidenze come parte del contenuto. </w:t>
      </w:r>
      <w:r>
        <w:t>Senza attributi, stato e fonte, un documento corretto può comunque produrre risposte sbagliate o non verificabili.</w:t>
      </w:r>
    </w:p>
    <w:p>
      <w:pPr>
        <w:pStyle w:val="ListNumber"/>
      </w:pPr>
      <w:r>
        <w:rPr>
          <w:b/>
        </w:rPr>
        <w:t xml:space="preserve">Valutare con metriche e benchmark prima del rilascio. </w:t>
      </w:r>
      <w:r>
        <w:t>Le scelte di chunking, struttura, filtri e ranking devono essere giustificate da evals, non da preferenze estetiche o supposizioni.</w:t>
      </w:r>
    </w:p>
    <w:p>
      <w:pPr>
        <w:pStyle w:val="Heading1"/>
      </w:pPr>
      <w:r>
        <w:t>3. Best practice di redazione per documenti destinati al RAG</w:t>
      </w:r>
    </w:p>
    <w:p>
      <w:r>
        <w:t>Le regole di questa sezione costituiscono il minimo comune denominatore da applicare a qualunque corpus aziendale. Ogni regola include una razionalità pratica e una base di riferimento ufficiale.</w:t>
      </w:r>
    </w:p>
    <w:p>
      <w:pPr>
        <w:pStyle w:val="Heading2"/>
      </w:pPr>
      <w:r>
        <w:t>BP-01 — Partire dalle domande reali e dal dominio d’uso</w:t>
      </w:r>
    </w:p>
    <w:p>
      <w:r>
        <w:rPr>
          <w:b/>
        </w:rPr>
        <w:t xml:space="preserve">Regola. </w:t>
      </w:r>
      <w:r>
        <w:t>La fase di preparazione deve definire il dominio della soluzione, raccogliere documenti e raccogliere query di test in parallelo. Le domande del benchmark devono essere effettivamente answerable usando il corpus selezionato.</w:t>
      </w:r>
    </w:p>
    <w:p>
      <w:r>
        <w:rPr>
          <w:b/>
        </w:rPr>
        <w:t xml:space="preserve">Applicazione pratica minima. </w:t>
      </w:r>
    </w:p>
    <w:p>
      <w:pPr>
        <w:pStyle w:val="ListBullet2"/>
      </w:pPr>
      <w:r>
        <w:t>Creare un set iniziale di query reali o realistiche per ruolo, reparto e processo.</w:t>
      </w:r>
    </w:p>
    <w:p>
      <w:pPr>
        <w:pStyle w:val="ListBullet2"/>
      </w:pPr>
      <w:r>
        <w:t>Per ogni query, identificare la fonte primaria attesa o il set minimo di fonti che dovrebbe consentire la risposta.</w:t>
      </w:r>
    </w:p>
    <w:p>
      <w:pPr>
        <w:pStyle w:val="ListBullet2"/>
      </w:pPr>
      <w:r>
        <w:t>Escludere dal corpus contenuti che non contribuiscono ai casi d’uso target o che generano rumore.</w:t>
      </w:r>
    </w:p>
    <w:p>
      <w:r>
        <w:rPr>
          <w:b/>
        </w:rPr>
        <w:t xml:space="preserve">Riferimenti ufficiali. </w:t>
      </w:r>
      <w:hyperlink r:id="rId10">
        <w:r>
          <w:rPr>
            <w:color w:val="0563C1"/>
            <w:u w:val="single"/>
          </w:rPr>
          <w:t>Microsoft Learn – RAG preparation phase</w:t>
        </w:r>
      </w:hyperlink>
      <w:r>
        <w:t xml:space="preserve"> | </w:t>
      </w:r>
      <w:hyperlink r:id="rId11">
        <w:r>
          <w:rPr>
            <w:color w:val="0563C1"/>
            <w:u w:val="single"/>
          </w:rPr>
          <w:t>OpenAI – Evaluation best practices</w:t>
        </w:r>
      </w:hyperlink>
    </w:p>
    <w:p>
      <w:pPr>
        <w:pStyle w:val="Heading2"/>
      </w:pPr>
      <w:r>
        <w:t>BP-02 — Separare ontologia, documentazione esplicativa e FAQ</w:t>
      </w:r>
    </w:p>
    <w:p>
      <w:r>
        <w:rPr>
          <w:b/>
        </w:rPr>
        <w:t xml:space="preserve">Regola. </w:t>
      </w:r>
      <w:r>
        <w:t>Un corpus robusto non deve dipendere da un unico documento “monolite”. È buona pratica distinguere fra layer canonico/ontologico, schede informative atomiche e risposte canoniche answer-oriented.</w:t>
      </w:r>
    </w:p>
    <w:p>
      <w:r>
        <w:rPr>
          <w:b/>
        </w:rPr>
        <w:t xml:space="preserve">Applicazione pratica minima. </w:t>
      </w:r>
    </w:p>
    <w:p>
      <w:pPr>
        <w:pStyle w:val="ListBullet2"/>
      </w:pPr>
      <w:r>
        <w:t>Mantenere un layer canonico con definizioni, tassonomia, regole di naming, sinonimi e stato di approvazione.</w:t>
      </w:r>
    </w:p>
    <w:p>
      <w:pPr>
        <w:pStyle w:val="ListBullet2"/>
      </w:pPr>
      <w:r>
        <w:t>Produrre schede autonome per concetti, processi o entità critiche.</w:t>
      </w:r>
    </w:p>
    <w:p>
      <w:pPr>
        <w:pStyle w:val="ListBullet2"/>
      </w:pPr>
      <w:r>
        <w:t>Affiancare FAQ o Q&amp;A canoniche per le domande più frequenti o ad alta criticità.</w:t>
      </w:r>
    </w:p>
    <w:p>
      <w:r>
        <w:rPr>
          <w:b/>
        </w:rPr>
        <w:t xml:space="preserve">Riferimenti ufficiali. </w:t>
      </w:r>
      <w:hyperlink r:id="rId10">
        <w:r>
          <w:rPr>
            <w:color w:val="0563C1"/>
            <w:u w:val="single"/>
          </w:rPr>
          <w:t>Microsoft Learn – RAG preparation phase</w:t>
        </w:r>
      </w:hyperlink>
      <w:r>
        <w:t xml:space="preserve"> | </w:t>
      </w:r>
      <w:hyperlink r:id="rId12">
        <w:r>
          <w:rPr>
            <w:color w:val="0563C1"/>
            <w:u w:val="single"/>
          </w:rPr>
          <w:t>Microsoft Learn – RAG chunking phase</w:t>
        </w:r>
      </w:hyperlink>
    </w:p>
    <w:p>
      <w:pPr>
        <w:pStyle w:val="Heading2"/>
      </w:pPr>
      <w:r>
        <w:t>BP-03 — Organizzare il contenuto in unità semantiche piccole e coerenti</w:t>
      </w:r>
    </w:p>
    <w:p>
      <w:r>
        <w:rPr>
          <w:b/>
        </w:rPr>
        <w:t xml:space="preserve">Regola. </w:t>
      </w:r>
      <w:r>
        <w:t>Il chunking è efficace quando ogni unità contiene contenuto semanticamente coerente; chunk troppo grandi introducono rumore, chunk troppo piccoli perdono contesto.</w:t>
      </w:r>
    </w:p>
    <w:p>
      <w:r>
        <w:rPr>
          <w:b/>
        </w:rPr>
        <w:t xml:space="preserve">Applicazione pratica minima. </w:t>
      </w:r>
    </w:p>
    <w:p>
      <w:pPr>
        <w:pStyle w:val="ListBullet2"/>
      </w:pPr>
      <w:r>
        <w:t>Una sezione deve trattare un solo concetto, procedura, regola o metrica.</w:t>
      </w:r>
    </w:p>
    <w:p>
      <w:pPr>
        <w:pStyle w:val="ListBullet2"/>
      </w:pPr>
      <w:r>
        <w:t>Evitare paragrafi che mescolano definizione, eccezioni, cronologia e dubbi aperti.</w:t>
      </w:r>
    </w:p>
    <w:p>
      <w:pPr>
        <w:pStyle w:val="ListBullet2"/>
      </w:pPr>
      <w:r>
        <w:t>Rendere espliciti confini logici con heading, subheading e liste.</w:t>
      </w:r>
    </w:p>
    <w:p>
      <w:r>
        <w:rPr>
          <w:b/>
        </w:rPr>
        <w:t xml:space="preserve">Riferimenti ufficiali. </w:t>
      </w:r>
      <w:hyperlink r:id="rId12">
        <w:r>
          <w:rPr>
            <w:color w:val="0563C1"/>
            <w:u w:val="single"/>
          </w:rPr>
          <w:t>Microsoft Learn – RAG chunking phase</w:t>
        </w:r>
      </w:hyperlink>
      <w:r>
        <w:t xml:space="preserve"> | </w:t>
      </w:r>
      <w:hyperlink r:id="rId13">
        <w:r>
          <w:rPr>
            <w:color w:val="0563C1"/>
            <w:u w:val="single"/>
          </w:rPr>
          <w:t>Google Cloud – Process documents with layout parser</w:t>
        </w:r>
      </w:hyperlink>
    </w:p>
    <w:p>
      <w:pPr>
        <w:pStyle w:val="Heading2"/>
      </w:pPr>
      <w:r>
        <w:t>BP-04 — Rendere ogni chunk autosufficiente</w:t>
      </w:r>
    </w:p>
    <w:p>
      <w:r>
        <w:rPr>
          <w:b/>
        </w:rPr>
        <w:t xml:space="preserve">Regola. </w:t>
      </w:r>
      <w:r>
        <w:t>Un sistema RAG spesso recupera solo porzioni del documento; quindi il chunk deve essere comprensibile senza dipendenze implicite dal contesto precedente.</w:t>
      </w:r>
    </w:p>
    <w:p>
      <w:r>
        <w:rPr>
          <w:b/>
        </w:rPr>
        <w:t xml:space="preserve">Applicazione pratica minima. </w:t>
      </w:r>
    </w:p>
    <w:p>
      <w:pPr>
        <w:pStyle w:val="ListBullet2"/>
      </w:pPr>
      <w:r>
        <w:t>Espandere acronimi almeno alla prima occorrenza rilevante.</w:t>
      </w:r>
    </w:p>
    <w:p>
      <w:pPr>
        <w:pStyle w:val="ListBullet2"/>
      </w:pPr>
      <w:r>
        <w:t>Specificare sempre soggetto, sistema, processo, area e periodo quando sono parte del significato.</w:t>
      </w:r>
    </w:p>
    <w:p>
      <w:pPr>
        <w:pStyle w:val="ListBullet2"/>
      </w:pPr>
      <w:r>
        <w:t>Evitare riferimenti deittici come “questo”, “sopra”, “come visto prima” senza ripresa esplicita del referente.</w:t>
      </w:r>
    </w:p>
    <w:p>
      <w:r>
        <w:rPr>
          <w:b/>
        </w:rPr>
        <w:t xml:space="preserve">Riferimenti ufficiali. </w:t>
      </w:r>
      <w:hyperlink r:id="rId14">
        <w:r>
          <w:rPr>
            <w:color w:val="0563C1"/>
            <w:u w:val="single"/>
          </w:rPr>
          <w:t>Anthropic – Contextual Retrieval</w:t>
        </w:r>
      </w:hyperlink>
      <w:r>
        <w:t xml:space="preserve"> | </w:t>
      </w:r>
      <w:hyperlink r:id="rId15">
        <w:r>
          <w:rPr>
            <w:color w:val="0563C1"/>
            <w:u w:val="single"/>
          </w:rPr>
          <w:t>Google Cloud – Layout parser integration for Vertex AI RAG Engine</w:t>
        </w:r>
      </w:hyperlink>
    </w:p>
    <w:p>
      <w:pPr>
        <w:pStyle w:val="Heading2"/>
      </w:pPr>
      <w:r>
        <w:t>BP-05 — Usare una struttura documentale forte</w:t>
      </w:r>
    </w:p>
    <w:p>
      <w:r>
        <w:rPr>
          <w:b/>
        </w:rPr>
        <w:t xml:space="preserve">Regola. </w:t>
      </w:r>
      <w:r>
        <w:t>Titoli, heading, sottosezioni, elenchi e tabelle ben progettati migliorano sia il parsing sia il retrieval.</w:t>
      </w:r>
    </w:p>
    <w:p>
      <w:r>
        <w:rPr>
          <w:b/>
        </w:rPr>
        <w:t xml:space="preserve">Applicazione pratica minima. </w:t>
      </w:r>
    </w:p>
    <w:p>
      <w:pPr>
        <w:pStyle w:val="ListBullet2"/>
      </w:pPr>
      <w:r>
        <w:t>Usare heading informativi e interrogabili, non generici.</w:t>
      </w:r>
    </w:p>
    <w:p>
      <w:pPr>
        <w:pStyle w:val="ListBullet2"/>
      </w:pPr>
      <w:r>
        <w:t>Preferire procedure in forma di step numerati.</w:t>
      </w:r>
    </w:p>
    <w:p>
      <w:pPr>
        <w:pStyle w:val="ListBullet2"/>
      </w:pPr>
      <w:r>
        <w:t>Separare chiaramente: definizione, regola, eccezioni, responsabilità, esempi, fonte, stato.</w:t>
      </w:r>
    </w:p>
    <w:p>
      <w:r>
        <w:rPr>
          <w:b/>
        </w:rPr>
        <w:t xml:space="preserve">Riferimenti ufficiali. </w:t>
      </w:r>
      <w:hyperlink r:id="rId12">
        <w:r>
          <w:rPr>
            <w:color w:val="0563C1"/>
            <w:u w:val="single"/>
          </w:rPr>
          <w:t>Microsoft Learn – RAG chunking phase</w:t>
        </w:r>
      </w:hyperlink>
      <w:r>
        <w:t xml:space="preserve"> | </w:t>
      </w:r>
      <w:hyperlink r:id="rId13">
        <w:r>
          <w:rPr>
            <w:color w:val="0563C1"/>
            <w:u w:val="single"/>
          </w:rPr>
          <w:t>Google Cloud – Process documents with layout parser</w:t>
        </w:r>
      </w:hyperlink>
    </w:p>
    <w:p>
      <w:pPr>
        <w:pStyle w:val="Heading2"/>
      </w:pPr>
      <w:r>
        <w:t>BP-06 — Non lasciare informazioni critiche solo in tabelle, grafici o immagini</w:t>
      </w:r>
    </w:p>
    <w:p>
      <w:r>
        <w:rPr>
          <w:b/>
        </w:rPr>
        <w:t xml:space="preserve">Regola. </w:t>
      </w:r>
      <w:r>
        <w:t>Le informazioni visuali devono essere traducibili in testo recuperabile; tabelle e grafici importanti vanno accompagnati da sintesi testuale o parsing strutturato.</w:t>
      </w:r>
    </w:p>
    <w:p>
      <w:r>
        <w:rPr>
          <w:b/>
        </w:rPr>
        <w:t xml:space="preserve">Applicazione pratica minima. </w:t>
      </w:r>
    </w:p>
    <w:p>
      <w:pPr>
        <w:pStyle w:val="ListBullet2"/>
      </w:pPr>
      <w:r>
        <w:t>Aggiungere sotto ogni tabella critica una sintesi testuale dei messaggi chiave.</w:t>
      </w:r>
    </w:p>
    <w:p>
      <w:pPr>
        <w:pStyle w:val="ListBullet2"/>
      </w:pPr>
      <w:r>
        <w:t>Esplicitare in testo soglie, eccezioni, differenze e conclusioni presenti in grafici o figure.</w:t>
      </w:r>
    </w:p>
    <w:p>
      <w:pPr>
        <w:pStyle w:val="ListBullet2"/>
      </w:pPr>
      <w:r>
        <w:t>Per documenti ricchi di layout, preferire pipeline con layout parser o preprocessing dedicato.</w:t>
      </w:r>
    </w:p>
    <w:p>
      <w:r>
        <w:rPr>
          <w:b/>
        </w:rPr>
        <w:t xml:space="preserve">Riferimenti ufficiali. </w:t>
      </w:r>
      <w:hyperlink r:id="rId12">
        <w:r>
          <w:rPr>
            <w:color w:val="0563C1"/>
            <w:u w:val="single"/>
          </w:rPr>
          <w:t>Microsoft Learn – RAG chunking phase</w:t>
        </w:r>
      </w:hyperlink>
      <w:r>
        <w:t xml:space="preserve"> | </w:t>
      </w:r>
      <w:hyperlink r:id="rId13">
        <w:r>
          <w:rPr>
            <w:color w:val="0563C1"/>
            <w:u w:val="single"/>
          </w:rPr>
          <w:t>Google Cloud – Process documents with layout parser</w:t>
        </w:r>
      </w:hyperlink>
    </w:p>
    <w:p>
      <w:pPr>
        <w:pStyle w:val="Heading2"/>
      </w:pPr>
      <w:r>
        <w:t>BP-07 — Gestire i metadati come requisito obbligatorio</w:t>
      </w:r>
    </w:p>
    <w:p>
      <w:r>
        <w:rPr>
          <w:b/>
        </w:rPr>
        <w:t xml:space="preserve">Regola. </w:t>
      </w:r>
      <w:r>
        <w:t>Il retrieval di qualità richiede attributi filtrabili e stato documentale esplicito. I metadati non sono un optional amministrativo.</w:t>
      </w:r>
    </w:p>
    <w:p>
      <w:r>
        <w:rPr>
          <w:b/>
        </w:rPr>
        <w:t xml:space="preserve">Applicazione pratica minima. </w:t>
      </w:r>
    </w:p>
    <w:p>
      <w:pPr>
        <w:pStyle w:val="ListBullet2"/>
      </w:pPr>
      <w:r>
        <w:t>Definire uno schema minimo aziendale di metadati obbligatori.</w:t>
      </w:r>
    </w:p>
    <w:p>
      <w:pPr>
        <w:pStyle w:val="ListBullet2"/>
      </w:pPr>
      <w:r>
        <w:t>Includere stato, versione, owner, dominio, validità temporale, area geografica, audience e fonte primaria.</w:t>
      </w:r>
    </w:p>
    <w:p>
      <w:pPr>
        <w:pStyle w:val="ListBullet2"/>
      </w:pPr>
      <w:r>
        <w:t>Usare filtri metadata-based nel retrieval quando una query deve essere ristretta per paese, periodo, funzione o categoria.</w:t>
      </w:r>
    </w:p>
    <w:p>
      <w:r>
        <w:rPr>
          <w:b/>
        </w:rPr>
        <w:t xml:space="preserve">Riferimenti ufficiali. </w:t>
      </w:r>
      <w:hyperlink r:id="rId16">
        <w:r>
          <w:rPr>
            <w:color w:val="0563C1"/>
            <w:u w:val="single"/>
          </w:rPr>
          <w:t>OpenAI – Retrieval guide</w:t>
        </w:r>
      </w:hyperlink>
      <w:r>
        <w:t xml:space="preserve"> | </w:t>
      </w:r>
      <w:hyperlink r:id="rId17">
        <w:r>
          <w:rPr>
            <w:color w:val="0563C1"/>
            <w:u w:val="single"/>
          </w:rPr>
          <w:t>OpenAI – File search guide</w:t>
        </w:r>
      </w:hyperlink>
    </w:p>
    <w:p>
      <w:pPr>
        <w:pStyle w:val="Heading2"/>
      </w:pPr>
      <w:r>
        <w:t>BP-08 — Ridurre duplicazioni e conflitti</w:t>
      </w:r>
    </w:p>
    <w:p>
      <w:r>
        <w:rPr>
          <w:b/>
        </w:rPr>
        <w:t xml:space="preserve">Regola. </w:t>
      </w:r>
      <w:r>
        <w:t>Definizioni duplicate o divergenti fanno emergere chunk contraddittori e peggiorano groundedness e affidabilità della risposta.</w:t>
      </w:r>
    </w:p>
    <w:p>
      <w:r>
        <w:rPr>
          <w:b/>
        </w:rPr>
        <w:t xml:space="preserve">Applicazione pratica minima. </w:t>
      </w:r>
    </w:p>
    <w:p>
      <w:pPr>
        <w:pStyle w:val="ListBullet2"/>
      </w:pPr>
      <w:r>
        <w:t>Mantenere una sola fonte primaria per ciascuna definizione canonica.</w:t>
      </w:r>
    </w:p>
    <w:p>
      <w:pPr>
        <w:pStyle w:val="ListBullet2"/>
      </w:pPr>
      <w:r>
        <w:t>Gestire i documenti derivati come spiegazioni o viste, non come nuove fonti di verità.</w:t>
      </w:r>
    </w:p>
    <w:p>
      <w:pPr>
        <w:pStyle w:val="ListBullet2"/>
      </w:pPr>
      <w:r>
        <w:t>Marcare esplicitamente i contenuti deprecati o superati invece di lasciarli convivere senza stato.</w:t>
      </w:r>
    </w:p>
    <w:p>
      <w:r>
        <w:rPr>
          <w:b/>
        </w:rPr>
        <w:t xml:space="preserve">Riferimenti ufficiali. </w:t>
      </w:r>
      <w:hyperlink r:id="rId18">
        <w:r>
          <w:rPr>
            <w:color w:val="0563C1"/>
            <w:u w:val="single"/>
          </w:rPr>
          <w:t>Microsoft Foundry – RAG evaluators</w:t>
        </w:r>
      </w:hyperlink>
      <w:r>
        <w:t xml:space="preserve"> | </w:t>
      </w:r>
      <w:hyperlink r:id="rId11">
        <w:r>
          <w:rPr>
            <w:color w:val="0563C1"/>
            <w:u w:val="single"/>
          </w:rPr>
          <w:t>OpenAI – Evaluation best practices</w:t>
        </w:r>
      </w:hyperlink>
    </w:p>
    <w:p>
      <w:pPr>
        <w:pStyle w:val="Heading2"/>
      </w:pPr>
      <w:r>
        <w:t>BP-09 — Usare retrieval ibrido e tuning guidato da eval</w:t>
      </w:r>
    </w:p>
    <w:p>
      <w:r>
        <w:rPr>
          <w:b/>
        </w:rPr>
        <w:t xml:space="preserve">Regola. </w:t>
      </w:r>
      <w:r>
        <w:t>Su corpora aziendali con nomi tecnici, codici, sigle e label, la combinazione di matching semantico e lessicale tende a essere più robusta del solo embedding retrieval.</w:t>
      </w:r>
    </w:p>
    <w:p>
      <w:r>
        <w:rPr>
          <w:b/>
        </w:rPr>
        <w:t xml:space="preserve">Applicazione pratica minima. </w:t>
      </w:r>
    </w:p>
    <w:p>
      <w:pPr>
        <w:pStyle w:val="ListBullet2"/>
      </w:pPr>
      <w:r>
        <w:t>Usare come baseline una configurazione ibrida o comunque testare ibrido vs solo vettoriale.</w:t>
      </w:r>
    </w:p>
    <w:p>
      <w:pPr>
        <w:pStyle w:val="ListBullet2"/>
      </w:pPr>
      <w:r>
        <w:t>Regolare ranking, score threshold e pesi tra segnali embedding e testuali sulla base di un benchmark.</w:t>
      </w:r>
    </w:p>
    <w:p>
      <w:pPr>
        <w:pStyle w:val="ListBullet2"/>
      </w:pPr>
      <w:r>
        <w:t>Valutare l’uso di reranking quando il top-k iniziale contiene rumore elevato.</w:t>
      </w:r>
    </w:p>
    <w:p>
      <w:r>
        <w:rPr>
          <w:b/>
        </w:rPr>
        <w:t xml:space="preserve">Riferimenti ufficiali. </w:t>
      </w:r>
      <w:hyperlink r:id="rId16">
        <w:r>
          <w:rPr>
            <w:color w:val="0563C1"/>
            <w:u w:val="single"/>
          </w:rPr>
          <w:t>OpenAI – Retrieval guide</w:t>
        </w:r>
      </w:hyperlink>
      <w:r>
        <w:t xml:space="preserve"> | </w:t>
      </w:r>
      <w:hyperlink r:id="rId14">
        <w:r>
          <w:rPr>
            <w:color w:val="0563C1"/>
            <w:u w:val="single"/>
          </w:rPr>
          <w:t>Anthropic – Contextual Retrieval</w:t>
        </w:r>
      </w:hyperlink>
    </w:p>
    <w:p>
      <w:pPr>
        <w:pStyle w:val="Heading2"/>
      </w:pPr>
      <w:r>
        <w:t>BP-10 — Trattare chunk size e overlap come variabili sperimentali</w:t>
      </w:r>
    </w:p>
    <w:p>
      <w:r>
        <w:rPr>
          <w:b/>
        </w:rPr>
        <w:t xml:space="preserve">Regola. </w:t>
      </w:r>
      <w:r>
        <w:t>La dimensione del chunk e l’overlap influenzano precisione, contesto e costo. Non vanno fissati “per tradizione”, ma scelti dopo test comparativi.</w:t>
      </w:r>
    </w:p>
    <w:p>
      <w:r>
        <w:rPr>
          <w:b/>
        </w:rPr>
        <w:t xml:space="preserve">Applicazione pratica minima. </w:t>
      </w:r>
    </w:p>
    <w:p>
      <w:pPr>
        <w:pStyle w:val="ListBullet2"/>
      </w:pPr>
      <w:r>
        <w:t>Definire almeno due o tre strategie candidate di chunking.</w:t>
      </w:r>
    </w:p>
    <w:p>
      <w:pPr>
        <w:pStyle w:val="ListBullet2"/>
      </w:pPr>
      <w:r>
        <w:t>Confrontarle su recall, precisione del contesto, groundedness e costo.</w:t>
      </w:r>
    </w:p>
    <w:p>
      <w:pPr>
        <w:pStyle w:val="ListBullet2"/>
      </w:pPr>
      <w:r>
        <w:t>Documentare la configurazione approvata per tipologia documentale.</w:t>
      </w:r>
    </w:p>
    <w:p>
      <w:r>
        <w:rPr>
          <w:b/>
        </w:rPr>
        <w:t xml:space="preserve">Riferimenti ufficiali. </w:t>
      </w:r>
      <w:hyperlink r:id="rId19">
        <w:r>
          <w:rPr>
            <w:color w:val="0563C1"/>
            <w:u w:val="single"/>
          </w:rPr>
          <w:t>Google Cloud – Fine-tune RAG transformations</w:t>
        </w:r>
      </w:hyperlink>
      <w:r>
        <w:t xml:space="preserve"> | </w:t>
      </w:r>
      <w:hyperlink r:id="rId12">
        <w:r>
          <w:rPr>
            <w:color w:val="0563C1"/>
            <w:u w:val="single"/>
          </w:rPr>
          <w:t>Microsoft Learn – RAG chunking phase</w:t>
        </w:r>
      </w:hyperlink>
    </w:p>
    <w:p>
      <w:pPr>
        <w:pStyle w:val="Heading2"/>
      </w:pPr>
      <w:r>
        <w:t>BP-11 — Istituire eval automatiche e review umane</w:t>
      </w:r>
    </w:p>
    <w:p>
      <w:r>
        <w:rPr>
          <w:b/>
        </w:rPr>
        <w:t xml:space="preserve">Regola. </w:t>
      </w:r>
      <w:r>
        <w:t>Le architetture LLM sono non deterministiche; la qualità del corpus e del sistema va misurata con benchmark, metriche e controlli umani periodici.</w:t>
      </w:r>
    </w:p>
    <w:p>
      <w:r>
        <w:rPr>
          <w:b/>
        </w:rPr>
        <w:t xml:space="preserve">Applicazione pratica minima. </w:t>
      </w:r>
    </w:p>
    <w:p>
      <w:pPr>
        <w:pStyle w:val="ListBullet2"/>
      </w:pPr>
      <w:r>
        <w:t>Progettare eval dataset con casi tipici, edge case e casi avversari.</w:t>
      </w:r>
    </w:p>
    <w:p>
      <w:pPr>
        <w:pStyle w:val="ListBullet2"/>
      </w:pPr>
      <w:r>
        <w:t>Usare metriche quantitative per regressioni e human review per calibrare i giudizi automatici.</w:t>
      </w:r>
    </w:p>
    <w:p>
      <w:pPr>
        <w:pStyle w:val="ListBullet2"/>
      </w:pPr>
      <w:r>
        <w:t>Aggiornare il benchmark con dati reali di produzione e feedback utenti.</w:t>
      </w:r>
    </w:p>
    <w:p>
      <w:r>
        <w:rPr>
          <w:b/>
        </w:rPr>
        <w:t xml:space="preserve">Riferimenti ufficiali. </w:t>
      </w:r>
      <w:hyperlink r:id="rId11">
        <w:r>
          <w:rPr>
            <w:color w:val="0563C1"/>
            <w:u w:val="single"/>
          </w:rPr>
          <w:t>OpenAI – Evaluation best practices</w:t>
        </w:r>
      </w:hyperlink>
      <w:r>
        <w:t xml:space="preserve"> | </w:t>
      </w:r>
      <w:hyperlink r:id="rId18">
        <w:r>
          <w:rPr>
            <w:color w:val="0563C1"/>
            <w:u w:val="single"/>
          </w:rPr>
          <w:t>Microsoft Foundry – RAG evaluators</w:t>
        </w:r>
      </w:hyperlink>
    </w:p>
    <w:p>
      <w:pPr>
        <w:pStyle w:val="Heading2"/>
      </w:pPr>
      <w:r>
        <w:t>BP-12 — Prevedere governance continua</w:t>
      </w:r>
    </w:p>
    <w:p>
      <w:r>
        <w:rPr>
          <w:b/>
        </w:rPr>
        <w:t xml:space="preserve">Regola. </w:t>
      </w:r>
      <w:r>
        <w:t>Il corpus è un prodotto vivo: versioning, deprecazione, ownership e refresh fanno parte del processo di qualità, non di un adempimento finale.</w:t>
      </w:r>
    </w:p>
    <w:p>
      <w:r>
        <w:rPr>
          <w:b/>
        </w:rPr>
        <w:t xml:space="preserve">Applicazione pratica minima. </w:t>
      </w:r>
    </w:p>
    <w:p>
      <w:pPr>
        <w:pStyle w:val="ListBullet2"/>
      </w:pPr>
      <w:r>
        <w:t>Assegnare owner espliciti per dominio o famiglia documentale.</w:t>
      </w:r>
    </w:p>
    <w:p>
      <w:pPr>
        <w:pStyle w:val="ListBullet2"/>
      </w:pPr>
      <w:r>
        <w:t>Definire tempi di riesame e criteri di deprecazione.</w:t>
      </w:r>
    </w:p>
    <w:p>
      <w:pPr>
        <w:pStyle w:val="ListBullet2"/>
      </w:pPr>
      <w:r>
        <w:t>Ogni variazione sostanziale del corpus deve attivare una riesecuzione delle eval rilevanti.</w:t>
      </w:r>
    </w:p>
    <w:p>
      <w:r>
        <w:rPr>
          <w:b/>
        </w:rPr>
        <w:t xml:space="preserve">Riferimenti ufficiali. </w:t>
      </w:r>
      <w:hyperlink r:id="rId11">
        <w:r>
          <w:rPr>
            <w:color w:val="0563C1"/>
            <w:u w:val="single"/>
          </w:rPr>
          <w:t>OpenAI – Evaluation best practices</w:t>
        </w:r>
      </w:hyperlink>
      <w:r>
        <w:t xml:space="preserve"> | </w:t>
      </w:r>
      <w:hyperlink r:id="rId10">
        <w:r>
          <w:rPr>
            <w:color w:val="0563C1"/>
            <w:u w:val="single"/>
          </w:rPr>
          <w:t>Microsoft Learn – RAG preparation phase</w:t>
        </w:r>
      </w:hyperlink>
    </w:p>
    <w:p>
      <w:pPr>
        <w:pStyle w:val="Heading1"/>
      </w:pPr>
      <w:r>
        <w:t>4. Workflow operativo standard</w:t>
      </w:r>
    </w:p>
    <w:p>
      <w:r>
        <w:t>Il workflow seguente è generalizzato e applicabile a team diversi. Va interpretato come processo standard da adattare al contesto, non come sequenza rigida monodominio.</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vAlign w:val="center"/>
            <w:shd w:fill="B8CCE4"/>
          </w:tcPr>
          <w:p>
            <w:pPr>
              <w:spacing w:after="40"/>
              <w:jc w:val="center"/>
            </w:pPr>
            <w:r/>
            <w:r>
              <w:rPr>
                <w:b/>
              </w:rPr>
              <w:t>Fase</w:t>
            </w:r>
          </w:p>
        </w:tc>
        <w:tc>
          <w:tcPr>
            <w:tcW w:type="dxa" w:w="3249"/>
            <w:vAlign w:val="center"/>
            <w:shd w:fill="B8CCE4"/>
          </w:tcPr>
          <w:p>
            <w:pPr>
              <w:spacing w:after="40"/>
              <w:jc w:val="center"/>
            </w:pPr>
            <w:r/>
            <w:r>
              <w:rPr>
                <w:b/>
              </w:rPr>
              <w:t>Obiettivo</w:t>
            </w:r>
          </w:p>
        </w:tc>
        <w:tc>
          <w:tcPr>
            <w:tcW w:type="dxa" w:w="3249"/>
            <w:vAlign w:val="center"/>
            <w:shd w:fill="B8CCE4"/>
          </w:tcPr>
          <w:p>
            <w:pPr>
              <w:spacing w:after="40"/>
              <w:jc w:val="center"/>
            </w:pPr>
            <w:r/>
            <w:r>
              <w:rPr>
                <w:b/>
              </w:rPr>
              <w:t>Output minimo atteso</w:t>
            </w:r>
          </w:p>
        </w:tc>
      </w:tr>
      <w:tr>
        <w:trPr>
          <w:cantSplit/>
        </w:trPr>
        <w:tc>
          <w:tcPr>
            <w:tcW w:type="dxa" w:w="3249"/>
            <w:vAlign w:val="center"/>
          </w:tcPr>
          <w:p>
            <w:pPr>
              <w:spacing w:after="40"/>
            </w:pPr>
            <w:r/>
            <w:r>
              <w:rPr>
                <w:b w:val="0"/>
              </w:rPr>
              <w:t>Fase 1 — Scoping del caso d’uso</w:t>
            </w:r>
          </w:p>
        </w:tc>
        <w:tc>
          <w:tcPr>
            <w:tcW w:type="dxa" w:w="3249"/>
            <w:vAlign w:val="center"/>
          </w:tcPr>
          <w:p>
            <w:pPr>
              <w:spacing w:after="40"/>
            </w:pPr>
            <w:r/>
            <w:r>
              <w:rPr>
                <w:b w:val="0"/>
              </w:rPr>
              <w:t>Chiarire utenti, decisioni da supportare, tipologie di domanda, vincoli di compliance e perimetro informativo.</w:t>
            </w:r>
          </w:p>
        </w:tc>
        <w:tc>
          <w:tcPr>
            <w:tcW w:type="dxa" w:w="3249"/>
            <w:vAlign w:val="center"/>
          </w:tcPr>
          <w:p>
            <w:pPr>
              <w:spacing w:after="40"/>
            </w:pPr>
            <w:r/>
            <w:r>
              <w:rPr>
                <w:b w:val="0"/>
              </w:rPr>
              <w:t>Use case approvati; query iniziali; perimetro del corpus; ruoli e responsabilità.</w:t>
            </w:r>
          </w:p>
        </w:tc>
      </w:tr>
      <w:tr>
        <w:trPr>
          <w:cantSplit/>
        </w:trPr>
        <w:tc>
          <w:tcPr>
            <w:tcW w:type="dxa" w:w="3249"/>
            <w:vAlign w:val="center"/>
          </w:tcPr>
          <w:p>
            <w:pPr>
              <w:spacing w:after="40"/>
            </w:pPr>
            <w:r/>
            <w:r>
              <w:rPr>
                <w:b w:val="0"/>
              </w:rPr>
              <w:t>Fase 2 — Inventario e classificazione delle fonti</w:t>
            </w:r>
          </w:p>
        </w:tc>
        <w:tc>
          <w:tcPr>
            <w:tcW w:type="dxa" w:w="3249"/>
            <w:vAlign w:val="center"/>
          </w:tcPr>
          <w:p>
            <w:pPr>
              <w:spacing w:after="40"/>
            </w:pPr>
            <w:r/>
            <w:r>
              <w:rPr>
                <w:b w:val="0"/>
              </w:rPr>
              <w:t>Censire fonti candidate, distinguendo tra fonti primarie, secondarie, obsolete, duplicate e non affidabili.</w:t>
            </w:r>
          </w:p>
        </w:tc>
        <w:tc>
          <w:tcPr>
            <w:tcW w:type="dxa" w:w="3249"/>
            <w:vAlign w:val="center"/>
          </w:tcPr>
          <w:p>
            <w:pPr>
              <w:spacing w:after="40"/>
            </w:pPr>
            <w:r/>
            <w:r>
              <w:rPr>
                <w:b w:val="0"/>
              </w:rPr>
              <w:t>Catalogo fonti; classificazione per attendibilità; piano di esclusione.</w:t>
            </w:r>
          </w:p>
        </w:tc>
      </w:tr>
      <w:tr>
        <w:trPr>
          <w:cantSplit/>
        </w:trPr>
        <w:tc>
          <w:tcPr>
            <w:tcW w:type="dxa" w:w="3249"/>
            <w:vAlign w:val="center"/>
          </w:tcPr>
          <w:p>
            <w:pPr>
              <w:spacing w:after="40"/>
            </w:pPr>
            <w:r/>
            <w:r>
              <w:rPr>
                <w:b w:val="0"/>
              </w:rPr>
              <w:t>Fase 3 — Canonicalizzazione del dominio</w:t>
            </w:r>
          </w:p>
        </w:tc>
        <w:tc>
          <w:tcPr>
            <w:tcW w:type="dxa" w:w="3249"/>
            <w:vAlign w:val="center"/>
          </w:tcPr>
          <w:p>
            <w:pPr>
              <w:spacing w:after="40"/>
            </w:pPr>
            <w:r/>
            <w:r>
              <w:rPr>
                <w:b w:val="0"/>
              </w:rPr>
              <w:t>Definire glossario, tassonomia, alias, relazioni fra entità e stato di approvazione della conoscenza.</w:t>
            </w:r>
          </w:p>
        </w:tc>
        <w:tc>
          <w:tcPr>
            <w:tcW w:type="dxa" w:w="3249"/>
            <w:vAlign w:val="center"/>
          </w:tcPr>
          <w:p>
            <w:pPr>
              <w:spacing w:after="40"/>
            </w:pPr>
            <w:r/>
            <w:r>
              <w:rPr>
                <w:b w:val="0"/>
              </w:rPr>
              <w:t>Ontologia minima; glossario; matrice sinonimi/alias; log delle ambiguità aperte.</w:t>
            </w:r>
          </w:p>
        </w:tc>
      </w:tr>
      <w:tr>
        <w:trPr>
          <w:cantSplit/>
        </w:trPr>
        <w:tc>
          <w:tcPr>
            <w:tcW w:type="dxa" w:w="3249"/>
            <w:vAlign w:val="center"/>
          </w:tcPr>
          <w:p>
            <w:pPr>
              <w:spacing w:after="40"/>
            </w:pPr>
            <w:r/>
            <w:r>
              <w:rPr>
                <w:b w:val="0"/>
              </w:rPr>
              <w:t>Fase 4 — Redazione o refactoring in knowledge objects</w:t>
            </w:r>
          </w:p>
        </w:tc>
        <w:tc>
          <w:tcPr>
            <w:tcW w:type="dxa" w:w="3249"/>
            <w:vAlign w:val="center"/>
          </w:tcPr>
          <w:p>
            <w:pPr>
              <w:spacing w:after="40"/>
            </w:pPr>
            <w:r/>
            <w:r>
              <w:rPr>
                <w:b w:val="0"/>
              </w:rPr>
              <w:t>Trasformare documenti monolitici in unità informative atomiche, autosufficienti e answer-oriented.</w:t>
            </w:r>
          </w:p>
        </w:tc>
        <w:tc>
          <w:tcPr>
            <w:tcW w:type="dxa" w:w="3249"/>
            <w:vAlign w:val="center"/>
          </w:tcPr>
          <w:p>
            <w:pPr>
              <w:spacing w:after="40"/>
            </w:pPr>
            <w:r/>
            <w:r>
              <w:rPr>
                <w:b w:val="0"/>
              </w:rPr>
              <w:t>Schede RAG-ready; FAQ canoniche; separazione approved vs ambiguous.</w:t>
            </w:r>
          </w:p>
        </w:tc>
      </w:tr>
      <w:tr>
        <w:trPr>
          <w:cantSplit/>
        </w:trPr>
        <w:tc>
          <w:tcPr>
            <w:tcW w:type="dxa" w:w="3249"/>
            <w:vAlign w:val="center"/>
          </w:tcPr>
          <w:p>
            <w:pPr>
              <w:spacing w:after="40"/>
            </w:pPr>
            <w:r/>
            <w:r>
              <w:rPr>
                <w:b w:val="0"/>
              </w:rPr>
              <w:t>Fase 5 — Parsing, chunking ed enrichment</w:t>
            </w:r>
          </w:p>
        </w:tc>
        <w:tc>
          <w:tcPr>
            <w:tcW w:type="dxa" w:w="3249"/>
            <w:vAlign w:val="center"/>
          </w:tcPr>
          <w:p>
            <w:pPr>
              <w:spacing w:after="40"/>
            </w:pPr>
            <w:r/>
            <w:r>
              <w:rPr>
                <w:b w:val="0"/>
              </w:rPr>
              <w:t>Applicare parser, strategia di chunking, metadati, attributi filtrabili e, se necessario, contesto aggiuntivo a livello chunk.</w:t>
            </w:r>
          </w:p>
        </w:tc>
        <w:tc>
          <w:tcPr>
            <w:tcW w:type="dxa" w:w="3249"/>
            <w:vAlign w:val="center"/>
          </w:tcPr>
          <w:p>
            <w:pPr>
              <w:spacing w:after="40"/>
            </w:pPr>
            <w:r/>
            <w:r>
              <w:rPr>
                <w:b w:val="0"/>
              </w:rPr>
              <w:t>Chunk indexabili; schema metadati; configurazione chunking; report di parsing.</w:t>
            </w:r>
          </w:p>
        </w:tc>
      </w:tr>
      <w:tr>
        <w:trPr>
          <w:cantSplit/>
        </w:trPr>
        <w:tc>
          <w:tcPr>
            <w:tcW w:type="dxa" w:w="3249"/>
            <w:vAlign w:val="center"/>
          </w:tcPr>
          <w:p>
            <w:pPr>
              <w:spacing w:after="40"/>
            </w:pPr>
            <w:r/>
            <w:r>
              <w:rPr>
                <w:b w:val="0"/>
              </w:rPr>
              <w:t>Fase 6 — Ingestion e tuning del retrieval</w:t>
            </w:r>
          </w:p>
        </w:tc>
        <w:tc>
          <w:tcPr>
            <w:tcW w:type="dxa" w:w="3249"/>
            <w:vAlign w:val="center"/>
          </w:tcPr>
          <w:p>
            <w:pPr>
              <w:spacing w:after="40"/>
            </w:pPr>
            <w:r/>
            <w:r>
              <w:rPr>
                <w:b w:val="0"/>
              </w:rPr>
              <w:t>Caricare il corpus nel sistema target e ottimizzare top-k, filtri, ranking, retrieval ibrido e reranking.</w:t>
            </w:r>
          </w:p>
        </w:tc>
        <w:tc>
          <w:tcPr>
            <w:tcW w:type="dxa" w:w="3249"/>
            <w:vAlign w:val="center"/>
          </w:tcPr>
          <w:p>
            <w:pPr>
              <w:spacing w:after="40"/>
            </w:pPr>
            <w:r/>
            <w:r>
              <w:rPr>
                <w:b w:val="0"/>
              </w:rPr>
              <w:t>Configurazione retrieval approvata; parametri baseline; note di tuning.</w:t>
            </w:r>
          </w:p>
        </w:tc>
      </w:tr>
      <w:tr>
        <w:trPr>
          <w:cantSplit/>
        </w:trPr>
        <w:tc>
          <w:tcPr>
            <w:tcW w:type="dxa" w:w="3249"/>
            <w:vAlign w:val="center"/>
          </w:tcPr>
          <w:p>
            <w:pPr>
              <w:spacing w:after="40"/>
            </w:pPr>
            <w:r/>
            <w:r>
              <w:rPr>
                <w:b w:val="0"/>
              </w:rPr>
              <w:t>Fase 7 — Valutazione</w:t>
            </w:r>
          </w:p>
        </w:tc>
        <w:tc>
          <w:tcPr>
            <w:tcW w:type="dxa" w:w="3249"/>
            <w:vAlign w:val="center"/>
          </w:tcPr>
          <w:p>
            <w:pPr>
              <w:spacing w:after="40"/>
            </w:pPr>
            <w:r/>
            <w:r>
              <w:rPr>
                <w:b w:val="0"/>
              </w:rPr>
              <w:t>Misurare qualità del documento, qualità del retrieval e qualità della risposta mediante benchmark ed eval continue.</w:t>
            </w:r>
          </w:p>
        </w:tc>
        <w:tc>
          <w:tcPr>
            <w:tcW w:type="dxa" w:w="3249"/>
            <w:vAlign w:val="center"/>
          </w:tcPr>
          <w:p>
            <w:pPr>
              <w:spacing w:after="40"/>
            </w:pPr>
            <w:r/>
            <w:r>
              <w:rPr>
                <w:b w:val="0"/>
              </w:rPr>
              <w:t>Scorecard; benchmark set; report di pass/fail; azioni correttive.</w:t>
            </w:r>
          </w:p>
        </w:tc>
      </w:tr>
      <w:tr>
        <w:trPr>
          <w:cantSplit/>
        </w:trPr>
        <w:tc>
          <w:tcPr>
            <w:tcW w:type="dxa" w:w="3249"/>
            <w:vAlign w:val="center"/>
          </w:tcPr>
          <w:p>
            <w:pPr>
              <w:spacing w:after="40"/>
            </w:pPr>
            <w:r/>
            <w:r>
              <w:rPr>
                <w:b w:val="0"/>
              </w:rPr>
              <w:t>Fase 8 — Rilascio e governance continua</w:t>
            </w:r>
          </w:p>
        </w:tc>
        <w:tc>
          <w:tcPr>
            <w:tcW w:type="dxa" w:w="3249"/>
            <w:vAlign w:val="center"/>
          </w:tcPr>
          <w:p>
            <w:pPr>
              <w:spacing w:after="40"/>
            </w:pPr>
            <w:r/>
            <w:r>
              <w:rPr>
                <w:b w:val="0"/>
              </w:rPr>
              <w:t>Pubblicare il corpus solo dopo il superamento dei gate e mantenerlo aggiornato nel tempo.</w:t>
            </w:r>
          </w:p>
        </w:tc>
        <w:tc>
          <w:tcPr>
            <w:tcW w:type="dxa" w:w="3249"/>
            <w:vAlign w:val="center"/>
          </w:tcPr>
          <w:p>
            <w:pPr>
              <w:spacing w:after="40"/>
            </w:pPr>
            <w:r/>
            <w:r>
              <w:rPr>
                <w:b w:val="0"/>
              </w:rPr>
              <w:t>Registro versioni; owner; SLA di refresh; processo di deprecazione.</w:t>
            </w:r>
          </w:p>
        </w:tc>
      </w:tr>
    </w:tbl>
    <w:p>
      <w:pPr>
        <w:pStyle w:val="Heading2"/>
      </w:pPr>
      <w:r>
        <w:t>Gate obbligatori prima del rilascio:</w:t>
      </w:r>
    </w:p>
    <w:p>
      <w:pPr>
        <w:pStyle w:val="ListBullet"/>
      </w:pPr>
      <w:r>
        <w:t>Il corpus copre i casi d’uso e le query target con documenti effettivamente answerable.</w:t>
      </w:r>
    </w:p>
    <w:p>
      <w:pPr>
        <w:pStyle w:val="ListBullet"/>
      </w:pPr>
      <w:r>
        <w:t>Ogni documento o knowledge object ha stato, owner, versione e fonte primaria.</w:t>
      </w:r>
    </w:p>
    <w:p>
      <w:pPr>
        <w:pStyle w:val="ListBullet"/>
      </w:pPr>
      <w:r>
        <w:t>Le ambiguità aperte sono isolate e non confuse con la conoscenza approvata.</w:t>
      </w:r>
    </w:p>
    <w:p>
      <w:pPr>
        <w:pStyle w:val="ListBullet"/>
      </w:pPr>
      <w:r>
        <w:t>Le eval document-centric e retrieval/system-centric raggiungono le soglie interne approvate.</w:t>
      </w:r>
    </w:p>
    <w:p>
      <w:pPr>
        <w:pStyle w:val="ListBullet"/>
      </w:pPr>
      <w:r>
        <w:t>È definito il processo di aggiornamento, deprecazione e re-test.</w:t>
      </w:r>
    </w:p>
    <w:p>
      <w:pPr>
        <w:pStyle w:val="Heading1"/>
      </w:pPr>
      <w:r>
        <w:t>5. Metriche di valutazione della qualità del documento</w:t>
      </w:r>
    </w:p>
    <w:p>
      <w:r>
        <w:t>Le metriche sotto servono a decidere se un documento è idoneo a entrare in un corpus RAG. Le soglie proposte sono soglie aziendali iniziali: non sono soglie “ufficiali” dei vendor e devono essere calibrate sul benchmark interno.</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B8CCE4"/>
          </w:tcPr>
          <w:p>
            <w:pPr>
              <w:spacing w:after="40"/>
              <w:jc w:val="center"/>
            </w:pPr>
            <w:r/>
            <w:r>
              <w:rPr>
                <w:b/>
              </w:rPr>
              <w:t>Metrica</w:t>
            </w:r>
          </w:p>
        </w:tc>
        <w:tc>
          <w:tcPr>
            <w:tcW w:type="dxa" w:w="2436"/>
            <w:vAlign w:val="center"/>
            <w:shd w:fill="B8CCE4"/>
          </w:tcPr>
          <w:p>
            <w:pPr>
              <w:spacing w:after="40"/>
              <w:jc w:val="center"/>
            </w:pPr>
            <w:r/>
            <w:r>
              <w:rPr>
                <w:b/>
              </w:rPr>
              <w:t>Descrizione operativa</w:t>
            </w:r>
          </w:p>
        </w:tc>
        <w:tc>
          <w:tcPr>
            <w:tcW w:type="dxa" w:w="2436"/>
            <w:vAlign w:val="center"/>
            <w:shd w:fill="B8CCE4"/>
          </w:tcPr>
          <w:p>
            <w:pPr>
              <w:spacing w:after="40"/>
              <w:jc w:val="center"/>
            </w:pPr>
            <w:r/>
            <w:r>
              <w:rPr>
                <w:b/>
              </w:rPr>
              <w:t>Indicatore di calcolo</w:t>
            </w:r>
          </w:p>
        </w:tc>
        <w:tc>
          <w:tcPr>
            <w:tcW w:type="dxa" w:w="2436"/>
            <w:vAlign w:val="center"/>
            <w:shd w:fill="B8CCE4"/>
          </w:tcPr>
          <w:p>
            <w:pPr>
              <w:spacing w:after="40"/>
              <w:jc w:val="center"/>
            </w:pPr>
            <w:r/>
            <w:r>
              <w:rPr>
                <w:b/>
              </w:rPr>
              <w:t>Soglia iniziale</w:t>
            </w:r>
          </w:p>
        </w:tc>
      </w:tr>
      <w:tr>
        <w:trPr>
          <w:cantSplit/>
        </w:trPr>
        <w:tc>
          <w:tcPr>
            <w:tcW w:type="dxa" w:w="2436"/>
            <w:vAlign w:val="center"/>
          </w:tcPr>
          <w:p>
            <w:pPr>
              <w:spacing w:after="40"/>
            </w:pPr>
            <w:r/>
            <w:r>
              <w:rPr>
                <w:b w:val="0"/>
              </w:rPr>
              <w:t>Answerability Coverage</w:t>
            </w:r>
          </w:p>
        </w:tc>
        <w:tc>
          <w:tcPr>
            <w:tcW w:type="dxa" w:w="2436"/>
            <w:vAlign w:val="center"/>
          </w:tcPr>
          <w:p>
            <w:pPr>
              <w:spacing w:after="40"/>
            </w:pPr>
            <w:r/>
            <w:r>
              <w:rPr>
                <w:b w:val="0"/>
              </w:rPr>
              <w:t>Quota di query del benchmark per cui il documento o il set minimo associato consente una risposta diretta e verificabile.</w:t>
            </w:r>
          </w:p>
        </w:tc>
        <w:tc>
          <w:tcPr>
            <w:tcW w:type="dxa" w:w="2436"/>
            <w:vAlign w:val="center"/>
          </w:tcPr>
          <w:p>
            <w:pPr>
              <w:spacing w:after="40"/>
            </w:pPr>
            <w:r/>
            <w:r>
              <w:rPr>
                <w:b w:val="0"/>
              </w:rPr>
              <w:t>query answerable / query collegate</w:t>
            </w:r>
          </w:p>
        </w:tc>
        <w:tc>
          <w:tcPr>
            <w:tcW w:type="dxa" w:w="2436"/>
            <w:vAlign w:val="center"/>
          </w:tcPr>
          <w:p>
            <w:pPr>
              <w:spacing w:after="40"/>
            </w:pPr>
            <w:r/>
            <w:r>
              <w:rPr>
                <w:b w:val="0"/>
              </w:rPr>
              <w:t>&gt;= 0,90</w:t>
            </w:r>
          </w:p>
        </w:tc>
      </w:tr>
      <w:tr>
        <w:trPr>
          <w:cantSplit/>
        </w:trPr>
        <w:tc>
          <w:tcPr>
            <w:tcW w:type="dxa" w:w="2436"/>
            <w:vAlign w:val="center"/>
          </w:tcPr>
          <w:p>
            <w:pPr>
              <w:spacing w:after="40"/>
            </w:pPr>
            <w:r/>
            <w:r>
              <w:rPr>
                <w:b w:val="0"/>
              </w:rPr>
              <w:t>Chunk Self-Containment Score</w:t>
            </w:r>
          </w:p>
        </w:tc>
        <w:tc>
          <w:tcPr>
            <w:tcW w:type="dxa" w:w="2436"/>
            <w:vAlign w:val="center"/>
          </w:tcPr>
          <w:p>
            <w:pPr>
              <w:spacing w:after="40"/>
            </w:pPr>
            <w:r/>
            <w:r>
              <w:rPr>
                <w:b w:val="0"/>
              </w:rPr>
              <w:t>Quanto un chunk campionato è comprensibile senza leggere contenuto esterno; misurabile con review umana o LLM-judge su scala 1–5.</w:t>
            </w:r>
          </w:p>
        </w:tc>
        <w:tc>
          <w:tcPr>
            <w:tcW w:type="dxa" w:w="2436"/>
            <w:vAlign w:val="center"/>
          </w:tcPr>
          <w:p>
            <w:pPr>
              <w:spacing w:after="40"/>
            </w:pPr>
            <w:r/>
            <w:r>
              <w:rPr>
                <w:b w:val="0"/>
              </w:rPr>
              <w:t>media punteggi chunk campionati</w:t>
            </w:r>
          </w:p>
        </w:tc>
        <w:tc>
          <w:tcPr>
            <w:tcW w:type="dxa" w:w="2436"/>
            <w:vAlign w:val="center"/>
          </w:tcPr>
          <w:p>
            <w:pPr>
              <w:spacing w:after="40"/>
            </w:pPr>
            <w:r/>
            <w:r>
              <w:rPr>
                <w:b w:val="0"/>
              </w:rPr>
              <w:t>&gt;= 4/5</w:t>
            </w:r>
          </w:p>
        </w:tc>
      </w:tr>
      <w:tr>
        <w:trPr>
          <w:cantSplit/>
        </w:trPr>
        <w:tc>
          <w:tcPr>
            <w:tcW w:type="dxa" w:w="2436"/>
            <w:vAlign w:val="center"/>
          </w:tcPr>
          <w:p>
            <w:pPr>
              <w:spacing w:after="40"/>
            </w:pPr>
            <w:r/>
            <w:r>
              <w:rPr>
                <w:b w:val="0"/>
              </w:rPr>
              <w:t>Metadata Completeness</w:t>
            </w:r>
          </w:p>
        </w:tc>
        <w:tc>
          <w:tcPr>
            <w:tcW w:type="dxa" w:w="2436"/>
            <w:vAlign w:val="center"/>
          </w:tcPr>
          <w:p>
            <w:pPr>
              <w:spacing w:after="40"/>
            </w:pPr>
            <w:r/>
            <w:r>
              <w:rPr>
                <w:b w:val="0"/>
              </w:rPr>
              <w:t>Percentuale di metadati obbligatori valorizzati.</w:t>
            </w:r>
          </w:p>
        </w:tc>
        <w:tc>
          <w:tcPr>
            <w:tcW w:type="dxa" w:w="2436"/>
            <w:vAlign w:val="center"/>
          </w:tcPr>
          <w:p>
            <w:pPr>
              <w:spacing w:after="40"/>
            </w:pPr>
            <w:r/>
            <w:r>
              <w:rPr>
                <w:b w:val="0"/>
              </w:rPr>
              <w:t>campi valorizzati / campi obbligatori</w:t>
            </w:r>
          </w:p>
        </w:tc>
        <w:tc>
          <w:tcPr>
            <w:tcW w:type="dxa" w:w="2436"/>
            <w:vAlign w:val="center"/>
          </w:tcPr>
          <w:p>
            <w:pPr>
              <w:spacing w:after="40"/>
            </w:pPr>
            <w:r/>
            <w:r>
              <w:rPr>
                <w:b w:val="0"/>
              </w:rPr>
              <w:t>&gt;= 0,95</w:t>
            </w:r>
          </w:p>
        </w:tc>
      </w:tr>
      <w:tr>
        <w:trPr>
          <w:cantSplit/>
        </w:trPr>
        <w:tc>
          <w:tcPr>
            <w:tcW w:type="dxa" w:w="2436"/>
            <w:vAlign w:val="center"/>
          </w:tcPr>
          <w:p>
            <w:pPr>
              <w:spacing w:after="40"/>
            </w:pPr>
            <w:r/>
            <w:r>
              <w:rPr>
                <w:b w:val="0"/>
              </w:rPr>
              <w:t>Evidence Traceability</w:t>
            </w:r>
          </w:p>
        </w:tc>
        <w:tc>
          <w:tcPr>
            <w:tcW w:type="dxa" w:w="2436"/>
            <w:vAlign w:val="center"/>
          </w:tcPr>
          <w:p>
            <w:pPr>
              <w:spacing w:after="40"/>
            </w:pPr>
            <w:r/>
            <w:r>
              <w:rPr>
                <w:b w:val="0"/>
              </w:rPr>
              <w:t>Quota di chunk o sezioni con fonte primaria, data di validazione e stato espliciti.</w:t>
            </w:r>
          </w:p>
        </w:tc>
        <w:tc>
          <w:tcPr>
            <w:tcW w:type="dxa" w:w="2436"/>
            <w:vAlign w:val="center"/>
          </w:tcPr>
          <w:p>
            <w:pPr>
              <w:spacing w:after="40"/>
            </w:pPr>
            <w:r/>
            <w:r>
              <w:rPr>
                <w:b w:val="0"/>
              </w:rPr>
              <w:t>chunk tracciabili / chunk totali</w:t>
            </w:r>
          </w:p>
        </w:tc>
        <w:tc>
          <w:tcPr>
            <w:tcW w:type="dxa" w:w="2436"/>
            <w:vAlign w:val="center"/>
          </w:tcPr>
          <w:p>
            <w:pPr>
              <w:spacing w:after="40"/>
            </w:pPr>
            <w:r/>
            <w:r>
              <w:rPr>
                <w:b w:val="0"/>
              </w:rPr>
              <w:t>&gt;= 0,95</w:t>
            </w:r>
          </w:p>
        </w:tc>
      </w:tr>
      <w:tr>
        <w:trPr>
          <w:cantSplit/>
        </w:trPr>
        <w:tc>
          <w:tcPr>
            <w:tcW w:type="dxa" w:w="2436"/>
            <w:vAlign w:val="center"/>
          </w:tcPr>
          <w:p>
            <w:pPr>
              <w:spacing w:after="40"/>
            </w:pPr>
            <w:r/>
            <w:r>
              <w:rPr>
                <w:b w:val="0"/>
              </w:rPr>
              <w:t>Ambiguity Isolation Rate</w:t>
            </w:r>
          </w:p>
        </w:tc>
        <w:tc>
          <w:tcPr>
            <w:tcW w:type="dxa" w:w="2436"/>
            <w:vAlign w:val="center"/>
          </w:tcPr>
          <w:p>
            <w:pPr>
              <w:spacing w:after="40"/>
            </w:pPr>
            <w:r/>
            <w:r>
              <w:rPr>
                <w:b w:val="0"/>
              </w:rPr>
              <w:t>Quota di contenuti ambigui correttamente segregati dal layer approvato.</w:t>
            </w:r>
          </w:p>
        </w:tc>
        <w:tc>
          <w:tcPr>
            <w:tcW w:type="dxa" w:w="2436"/>
            <w:vAlign w:val="center"/>
          </w:tcPr>
          <w:p>
            <w:pPr>
              <w:spacing w:after="40"/>
            </w:pPr>
            <w:r/>
            <w:r>
              <w:rPr>
                <w:b w:val="0"/>
              </w:rPr>
              <w:t>ambiguità segregate / ambiguità identificate</w:t>
            </w:r>
          </w:p>
        </w:tc>
        <w:tc>
          <w:tcPr>
            <w:tcW w:type="dxa" w:w="2436"/>
            <w:vAlign w:val="center"/>
          </w:tcPr>
          <w:p>
            <w:pPr>
              <w:spacing w:after="40"/>
            </w:pPr>
            <w:r/>
            <w:r>
              <w:rPr>
                <w:b w:val="0"/>
              </w:rPr>
              <w:t>= 1,00</w:t>
            </w:r>
          </w:p>
        </w:tc>
      </w:tr>
      <w:tr>
        <w:trPr>
          <w:cantSplit/>
        </w:trPr>
        <w:tc>
          <w:tcPr>
            <w:tcW w:type="dxa" w:w="2436"/>
            <w:vAlign w:val="center"/>
          </w:tcPr>
          <w:p>
            <w:pPr>
              <w:spacing w:after="40"/>
            </w:pPr>
            <w:r/>
            <w:r>
              <w:rPr>
                <w:b w:val="0"/>
              </w:rPr>
              <w:t>Table/Image Textualization Coverage</w:t>
            </w:r>
          </w:p>
        </w:tc>
        <w:tc>
          <w:tcPr>
            <w:tcW w:type="dxa" w:w="2436"/>
            <w:vAlign w:val="center"/>
          </w:tcPr>
          <w:p>
            <w:pPr>
              <w:spacing w:after="40"/>
            </w:pPr>
            <w:r/>
            <w:r>
              <w:rPr>
                <w:b w:val="0"/>
              </w:rPr>
              <w:t>Quota di elementi visuali critici accompagnati da sintesi testuale o parsing utile.</w:t>
            </w:r>
          </w:p>
        </w:tc>
        <w:tc>
          <w:tcPr>
            <w:tcW w:type="dxa" w:w="2436"/>
            <w:vAlign w:val="center"/>
          </w:tcPr>
          <w:p>
            <w:pPr>
              <w:spacing w:after="40"/>
            </w:pPr>
            <w:r/>
            <w:r>
              <w:rPr>
                <w:b w:val="0"/>
              </w:rPr>
              <w:t>visuali testualizzati / visuali critici</w:t>
            </w:r>
          </w:p>
        </w:tc>
        <w:tc>
          <w:tcPr>
            <w:tcW w:type="dxa" w:w="2436"/>
            <w:vAlign w:val="center"/>
          </w:tcPr>
          <w:p>
            <w:pPr>
              <w:spacing w:after="40"/>
            </w:pPr>
            <w:r/>
            <w:r>
              <w:rPr>
                <w:b w:val="0"/>
              </w:rPr>
              <w:t>&gt;= 0,90</w:t>
            </w:r>
          </w:p>
        </w:tc>
      </w:tr>
      <w:tr>
        <w:trPr>
          <w:cantSplit/>
        </w:trPr>
        <w:tc>
          <w:tcPr>
            <w:tcW w:type="dxa" w:w="2436"/>
            <w:vAlign w:val="center"/>
          </w:tcPr>
          <w:p>
            <w:pPr>
              <w:spacing w:after="40"/>
            </w:pPr>
            <w:r/>
            <w:r>
              <w:rPr>
                <w:b w:val="0"/>
              </w:rPr>
              <w:t>Duplicate/Conflict Rate</w:t>
            </w:r>
          </w:p>
        </w:tc>
        <w:tc>
          <w:tcPr>
            <w:tcW w:type="dxa" w:w="2436"/>
            <w:vAlign w:val="center"/>
          </w:tcPr>
          <w:p>
            <w:pPr>
              <w:spacing w:after="40"/>
            </w:pPr>
            <w:r/>
            <w:r>
              <w:rPr>
                <w:b w:val="0"/>
              </w:rPr>
              <w:t>Incidenza di definizioni duplicate o conflittuali rispetto al set canonico.</w:t>
            </w:r>
          </w:p>
        </w:tc>
        <w:tc>
          <w:tcPr>
            <w:tcW w:type="dxa" w:w="2436"/>
            <w:vAlign w:val="center"/>
          </w:tcPr>
          <w:p>
            <w:pPr>
              <w:spacing w:after="40"/>
            </w:pPr>
            <w:r/>
            <w:r>
              <w:rPr>
                <w:b w:val="0"/>
              </w:rPr>
              <w:t>duplicati o conflitti / definizioni canoniche</w:t>
            </w:r>
          </w:p>
        </w:tc>
        <w:tc>
          <w:tcPr>
            <w:tcW w:type="dxa" w:w="2436"/>
            <w:vAlign w:val="center"/>
          </w:tcPr>
          <w:p>
            <w:pPr>
              <w:spacing w:after="40"/>
            </w:pPr>
            <w:r/>
            <w:r>
              <w:rPr>
                <w:b w:val="0"/>
              </w:rPr>
              <w:t>Tendere a 0</w:t>
            </w:r>
          </w:p>
        </w:tc>
      </w:tr>
      <w:tr>
        <w:trPr>
          <w:cantSplit/>
        </w:trPr>
        <w:tc>
          <w:tcPr>
            <w:tcW w:type="dxa" w:w="2436"/>
            <w:vAlign w:val="center"/>
          </w:tcPr>
          <w:p>
            <w:pPr>
              <w:spacing w:after="40"/>
            </w:pPr>
            <w:r/>
            <w:r>
              <w:rPr>
                <w:b w:val="0"/>
              </w:rPr>
              <w:t>Freshness &amp; Deprecation Hygiene</w:t>
            </w:r>
          </w:p>
        </w:tc>
        <w:tc>
          <w:tcPr>
            <w:tcW w:type="dxa" w:w="2436"/>
            <w:vAlign w:val="center"/>
          </w:tcPr>
          <w:p>
            <w:pPr>
              <w:spacing w:after="40"/>
            </w:pPr>
            <w:r/>
            <w:r>
              <w:rPr>
                <w:b w:val="0"/>
              </w:rPr>
              <w:t>Quota di documenti con stato, validità e owner; percentuale di documenti obsoleti marcati come deprecated.</w:t>
            </w:r>
          </w:p>
        </w:tc>
        <w:tc>
          <w:tcPr>
            <w:tcW w:type="dxa" w:w="2436"/>
            <w:vAlign w:val="center"/>
          </w:tcPr>
          <w:p>
            <w:pPr>
              <w:spacing w:after="40"/>
            </w:pPr>
            <w:r/>
            <w:r>
              <w:rPr>
                <w:b w:val="0"/>
              </w:rPr>
              <w:t>misura composita</w:t>
            </w:r>
          </w:p>
        </w:tc>
        <w:tc>
          <w:tcPr>
            <w:tcW w:type="dxa" w:w="2436"/>
            <w:vAlign w:val="center"/>
          </w:tcPr>
          <w:p>
            <w:pPr>
              <w:spacing w:after="40"/>
            </w:pPr>
            <w:r/>
            <w:r>
              <w:rPr>
                <w:b w:val="0"/>
              </w:rPr>
              <w:t>&gt;= 0,95 sui campi core</w:t>
            </w:r>
          </w:p>
        </w:tc>
      </w:tr>
      <w:tr>
        <w:trPr>
          <w:cantSplit/>
        </w:trPr>
        <w:tc>
          <w:tcPr>
            <w:tcW w:type="dxa" w:w="2436"/>
            <w:vAlign w:val="center"/>
          </w:tcPr>
          <w:p>
            <w:pPr>
              <w:spacing w:after="40"/>
            </w:pPr>
            <w:r/>
            <w:r>
              <w:rPr>
                <w:b w:val="0"/>
              </w:rPr>
              <w:t>Query Lexical Coverage</w:t>
            </w:r>
          </w:p>
        </w:tc>
        <w:tc>
          <w:tcPr>
            <w:tcW w:type="dxa" w:w="2436"/>
            <w:vAlign w:val="center"/>
          </w:tcPr>
          <w:p>
            <w:pPr>
              <w:spacing w:after="40"/>
            </w:pPr>
            <w:r/>
            <w:r>
              <w:rPr>
                <w:b w:val="0"/>
              </w:rPr>
              <w:t>Copertura di alias, sinonimi, codici e lessico reale usato dagli utenti per un concetto.</w:t>
            </w:r>
          </w:p>
        </w:tc>
        <w:tc>
          <w:tcPr>
            <w:tcW w:type="dxa" w:w="2436"/>
            <w:vAlign w:val="center"/>
          </w:tcPr>
          <w:p>
            <w:pPr>
              <w:spacing w:after="40"/>
            </w:pPr>
            <w:r/>
            <w:r>
              <w:rPr>
                <w:b w:val="0"/>
              </w:rPr>
              <w:t>termini coperti / termini rilevati</w:t>
            </w:r>
          </w:p>
        </w:tc>
        <w:tc>
          <w:tcPr>
            <w:tcW w:type="dxa" w:w="2436"/>
            <w:vAlign w:val="center"/>
          </w:tcPr>
          <w:p>
            <w:pPr>
              <w:spacing w:after="40"/>
            </w:pPr>
            <w:r/>
            <w:r>
              <w:rPr>
                <w:b w:val="0"/>
              </w:rPr>
              <w:t>Soglia da calibrare per dominio</w:t>
            </w:r>
          </w:p>
        </w:tc>
      </w:tr>
    </w:tbl>
    <w:p>
      <w:pPr>
        <w:pStyle w:val="IntenseQuote"/>
      </w:pPr>
      <w:r>
        <w:t>Base di riferimento ufficiale per l’impostazione delle metriche: Microsoft Learn e Microsoft Foundry per answerability, retrieval, groundedness e completeness; OpenAI per il disegno degli eval; Anthropic e Google Cloud per chunking e retrieval tuning.</w:t>
      </w:r>
    </w:p>
    <w:p>
      <w:pPr>
        <w:pStyle w:val="Heading1"/>
      </w:pPr>
      <w:r>
        <w:t>6. Metriche di sistema RAG da monitorare in parallelo</w:t>
      </w:r>
    </w:p>
    <w:p>
      <w:r>
        <w:t>Un documento eccellente può comunque produrre risultati scadenti se retrieval e generazione sono configurati male. Per questo motivo il controllo qualità documentale deve essere affiancato da metriche di processo e di sistema.</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DCE6F1"/>
          </w:tcPr>
          <w:p>
            <w:pPr>
              <w:spacing w:after="40"/>
              <w:jc w:val="center"/>
            </w:pPr>
            <w:r/>
            <w:r>
              <w:rPr>
                <w:b/>
              </w:rPr>
              <w:t>Famiglia</w:t>
            </w:r>
          </w:p>
        </w:tc>
        <w:tc>
          <w:tcPr>
            <w:tcW w:type="dxa" w:w="2436"/>
            <w:vAlign w:val="center"/>
            <w:shd w:fill="DCE6F1"/>
          </w:tcPr>
          <w:p>
            <w:pPr>
              <w:spacing w:after="40"/>
              <w:jc w:val="center"/>
            </w:pPr>
            <w:r/>
            <w:r>
              <w:rPr>
                <w:b/>
              </w:rPr>
              <w:t>Obiettivo</w:t>
            </w:r>
          </w:p>
        </w:tc>
        <w:tc>
          <w:tcPr>
            <w:tcW w:type="dxa" w:w="2436"/>
            <w:vAlign w:val="center"/>
            <w:shd w:fill="DCE6F1"/>
          </w:tcPr>
          <w:p>
            <w:pPr>
              <w:spacing w:after="40"/>
              <w:jc w:val="center"/>
            </w:pPr>
            <w:r/>
            <w:r>
              <w:rPr>
                <w:b/>
              </w:rPr>
              <w:t>Misure tipiche</w:t>
            </w:r>
          </w:p>
        </w:tc>
        <w:tc>
          <w:tcPr>
            <w:tcW w:type="dxa" w:w="2436"/>
            <w:vAlign w:val="center"/>
            <w:shd w:fill="DCE6F1"/>
          </w:tcPr>
          <w:p>
            <w:pPr>
              <w:spacing w:after="40"/>
              <w:jc w:val="center"/>
            </w:pPr>
            <w:r/>
            <w:r>
              <w:rPr>
                <w:b/>
              </w:rPr>
              <w:t>Riferimento</w:t>
            </w:r>
          </w:p>
        </w:tc>
      </w:tr>
      <w:tr>
        <w:trPr>
          <w:cantSplit/>
        </w:trPr>
        <w:tc>
          <w:tcPr>
            <w:tcW w:type="dxa" w:w="2436"/>
            <w:vAlign w:val="center"/>
          </w:tcPr>
          <w:p>
            <w:pPr>
              <w:spacing w:after="40"/>
            </w:pPr>
            <w:r/>
            <w:r>
              <w:rPr>
                <w:b w:val="0"/>
              </w:rPr>
              <w:t>Document Retrieval</w:t>
            </w:r>
          </w:p>
        </w:tc>
        <w:tc>
          <w:tcPr>
            <w:tcW w:type="dxa" w:w="2436"/>
            <w:vAlign w:val="center"/>
          </w:tcPr>
          <w:p>
            <w:pPr>
              <w:spacing w:after="40"/>
            </w:pPr>
            <w:r/>
            <w:r>
              <w:rPr>
                <w:b w:val="0"/>
              </w:rPr>
              <w:t>Qualità del retrieval quando esistono relevance labels (qrels).</w:t>
            </w:r>
          </w:p>
        </w:tc>
        <w:tc>
          <w:tcPr>
            <w:tcW w:type="dxa" w:w="2436"/>
            <w:vAlign w:val="center"/>
          </w:tcPr>
          <w:p>
            <w:pPr>
              <w:spacing w:after="40"/>
            </w:pPr>
            <w:r/>
            <w:r>
              <w:rPr>
                <w:b w:val="0"/>
              </w:rPr>
              <w:t>Fidelity, NDCG, XDCG, Max Relevance, Holes</w:t>
            </w:r>
          </w:p>
        </w:tc>
        <w:tc>
          <w:tcPr>
            <w:tcW w:type="dxa" w:w="2436"/>
            <w:vAlign w:val="center"/>
          </w:tcPr>
          <w:p>
            <w:pPr>
              <w:spacing w:after="40"/>
            </w:pPr>
            <w:r/>
            <w:r>
              <w:rPr>
                <w:b w:val="0"/>
              </w:rPr>
              <w:t>Microsoft Foundry – RAG evaluators</w:t>
            </w:r>
          </w:p>
        </w:tc>
      </w:tr>
      <w:tr>
        <w:trPr>
          <w:cantSplit/>
        </w:trPr>
        <w:tc>
          <w:tcPr>
            <w:tcW w:type="dxa" w:w="2436"/>
            <w:vAlign w:val="center"/>
          </w:tcPr>
          <w:p>
            <w:pPr>
              <w:spacing w:after="40"/>
            </w:pPr>
            <w:r/>
            <w:r>
              <w:rPr>
                <w:b w:val="0"/>
              </w:rPr>
              <w:t>Retrieval</w:t>
            </w:r>
          </w:p>
        </w:tc>
        <w:tc>
          <w:tcPr>
            <w:tcW w:type="dxa" w:w="2436"/>
            <w:vAlign w:val="center"/>
          </w:tcPr>
          <w:p>
            <w:pPr>
              <w:spacing w:after="40"/>
            </w:pPr>
            <w:r/>
            <w:r>
              <w:rPr>
                <w:b w:val="0"/>
              </w:rPr>
              <w:t>Qualità testuale del contesto recuperato in assenza di ground truth.</w:t>
            </w:r>
          </w:p>
        </w:tc>
        <w:tc>
          <w:tcPr>
            <w:tcW w:type="dxa" w:w="2436"/>
            <w:vAlign w:val="center"/>
          </w:tcPr>
          <w:p>
            <w:pPr>
              <w:spacing w:after="40"/>
            </w:pPr>
            <w:r/>
            <w:r>
              <w:rPr>
                <w:b w:val="0"/>
              </w:rPr>
              <w:t>Pass/Fail o score LLM-judge sul contesto</w:t>
            </w:r>
          </w:p>
        </w:tc>
        <w:tc>
          <w:tcPr>
            <w:tcW w:type="dxa" w:w="2436"/>
            <w:vAlign w:val="center"/>
          </w:tcPr>
          <w:p>
            <w:pPr>
              <w:spacing w:after="40"/>
            </w:pPr>
            <w:r/>
            <w:r>
              <w:rPr>
                <w:b w:val="0"/>
              </w:rPr>
              <w:t>Microsoft Foundry – RAG evaluators</w:t>
            </w:r>
          </w:p>
        </w:tc>
      </w:tr>
      <w:tr>
        <w:trPr>
          <w:cantSplit/>
        </w:trPr>
        <w:tc>
          <w:tcPr>
            <w:tcW w:type="dxa" w:w="2436"/>
            <w:vAlign w:val="center"/>
          </w:tcPr>
          <w:p>
            <w:pPr>
              <w:spacing w:after="40"/>
            </w:pPr>
            <w:r/>
            <w:r>
              <w:rPr>
                <w:b w:val="0"/>
              </w:rPr>
              <w:t>Groundedness</w:t>
            </w:r>
          </w:p>
        </w:tc>
        <w:tc>
          <w:tcPr>
            <w:tcW w:type="dxa" w:w="2436"/>
            <w:vAlign w:val="center"/>
          </w:tcPr>
          <w:p>
            <w:pPr>
              <w:spacing w:after="40"/>
            </w:pPr>
            <w:r/>
            <w:r>
              <w:rPr>
                <w:b w:val="0"/>
              </w:rPr>
              <w:t>Allineamento della risposta al contesto senza invenzioni.</w:t>
            </w:r>
          </w:p>
        </w:tc>
        <w:tc>
          <w:tcPr>
            <w:tcW w:type="dxa" w:w="2436"/>
            <w:vAlign w:val="center"/>
          </w:tcPr>
          <w:p>
            <w:pPr>
              <w:spacing w:after="40"/>
            </w:pPr>
            <w:r/>
            <w:r>
              <w:rPr>
                <w:b w:val="0"/>
              </w:rPr>
              <w:t>Pass/Fail o score LLM-judge</w:t>
            </w:r>
          </w:p>
        </w:tc>
        <w:tc>
          <w:tcPr>
            <w:tcW w:type="dxa" w:w="2436"/>
            <w:vAlign w:val="center"/>
          </w:tcPr>
          <w:p>
            <w:pPr>
              <w:spacing w:after="40"/>
            </w:pPr>
            <w:r/>
            <w:r>
              <w:rPr>
                <w:b w:val="0"/>
              </w:rPr>
              <w:t>Microsoft Foundry – RAG evaluators</w:t>
            </w:r>
          </w:p>
        </w:tc>
      </w:tr>
      <w:tr>
        <w:trPr>
          <w:cantSplit/>
        </w:trPr>
        <w:tc>
          <w:tcPr>
            <w:tcW w:type="dxa" w:w="2436"/>
            <w:vAlign w:val="center"/>
          </w:tcPr>
          <w:p>
            <w:pPr>
              <w:spacing w:after="40"/>
            </w:pPr>
            <w:r/>
            <w:r>
              <w:rPr>
                <w:b w:val="0"/>
              </w:rPr>
              <w:t>Relevance</w:t>
            </w:r>
          </w:p>
        </w:tc>
        <w:tc>
          <w:tcPr>
            <w:tcW w:type="dxa" w:w="2436"/>
            <w:vAlign w:val="center"/>
          </w:tcPr>
          <w:p>
            <w:pPr>
              <w:spacing w:after="40"/>
            </w:pPr>
            <w:r/>
            <w:r>
              <w:rPr>
                <w:b w:val="0"/>
              </w:rPr>
              <w:t>Pertinenza della risposta rispetto alla query utente.</w:t>
            </w:r>
          </w:p>
        </w:tc>
        <w:tc>
          <w:tcPr>
            <w:tcW w:type="dxa" w:w="2436"/>
            <w:vAlign w:val="center"/>
          </w:tcPr>
          <w:p>
            <w:pPr>
              <w:spacing w:after="40"/>
            </w:pPr>
            <w:r/>
            <w:r>
              <w:rPr>
                <w:b w:val="0"/>
              </w:rPr>
              <w:t>Pass/Fail o score LLM-judge</w:t>
            </w:r>
          </w:p>
        </w:tc>
        <w:tc>
          <w:tcPr>
            <w:tcW w:type="dxa" w:w="2436"/>
            <w:vAlign w:val="center"/>
          </w:tcPr>
          <w:p>
            <w:pPr>
              <w:spacing w:after="40"/>
            </w:pPr>
            <w:r/>
            <w:r>
              <w:rPr>
                <w:b w:val="0"/>
              </w:rPr>
              <w:t>Microsoft Foundry – RAG evaluators</w:t>
            </w:r>
          </w:p>
        </w:tc>
      </w:tr>
      <w:tr>
        <w:trPr>
          <w:cantSplit/>
        </w:trPr>
        <w:tc>
          <w:tcPr>
            <w:tcW w:type="dxa" w:w="2436"/>
            <w:vAlign w:val="center"/>
          </w:tcPr>
          <w:p>
            <w:pPr>
              <w:spacing w:after="40"/>
            </w:pPr>
            <w:r/>
            <w:r>
              <w:rPr>
                <w:b w:val="0"/>
              </w:rPr>
              <w:t>Response Completeness</w:t>
            </w:r>
          </w:p>
        </w:tc>
        <w:tc>
          <w:tcPr>
            <w:tcW w:type="dxa" w:w="2436"/>
            <w:vAlign w:val="center"/>
          </w:tcPr>
          <w:p>
            <w:pPr>
              <w:spacing w:after="40"/>
            </w:pPr>
            <w:r/>
            <w:r>
              <w:rPr>
                <w:b w:val="0"/>
              </w:rPr>
              <w:t>Capacità della risposta di non omettere elementi critici attesi.</w:t>
            </w:r>
          </w:p>
        </w:tc>
        <w:tc>
          <w:tcPr>
            <w:tcW w:type="dxa" w:w="2436"/>
            <w:vAlign w:val="center"/>
          </w:tcPr>
          <w:p>
            <w:pPr>
              <w:spacing w:after="40"/>
            </w:pPr>
            <w:r/>
            <w:r>
              <w:rPr>
                <w:b w:val="0"/>
              </w:rPr>
              <w:t>Pass/Fail o score rispetto a riferimento</w:t>
            </w:r>
          </w:p>
        </w:tc>
        <w:tc>
          <w:tcPr>
            <w:tcW w:type="dxa" w:w="2436"/>
            <w:vAlign w:val="center"/>
          </w:tcPr>
          <w:p>
            <w:pPr>
              <w:spacing w:after="40"/>
            </w:pPr>
            <w:r/>
            <w:r>
              <w:rPr>
                <w:b w:val="0"/>
              </w:rPr>
              <w:t>Microsoft Foundry – RAG evaluators</w:t>
            </w:r>
          </w:p>
        </w:tc>
      </w:tr>
      <w:tr>
        <w:trPr>
          <w:cantSplit/>
        </w:trPr>
        <w:tc>
          <w:tcPr>
            <w:tcW w:type="dxa" w:w="2436"/>
            <w:vAlign w:val="center"/>
          </w:tcPr>
          <w:p>
            <w:pPr>
              <w:spacing w:after="40"/>
            </w:pPr>
            <w:r/>
            <w:r>
              <w:rPr>
                <w:b w:val="0"/>
              </w:rPr>
              <w:t>Context precision / recall</w:t>
            </w:r>
          </w:p>
        </w:tc>
        <w:tc>
          <w:tcPr>
            <w:tcW w:type="dxa" w:w="2436"/>
            <w:vAlign w:val="center"/>
          </w:tcPr>
          <w:p>
            <w:pPr>
              <w:spacing w:after="40"/>
            </w:pPr>
            <w:r/>
            <w:r>
              <w:rPr>
                <w:b w:val="0"/>
              </w:rPr>
              <w:t>Richiamati come esempi di metriche di eval per Q&amp;A over docs.</w:t>
            </w:r>
          </w:p>
        </w:tc>
        <w:tc>
          <w:tcPr>
            <w:tcW w:type="dxa" w:w="2436"/>
            <w:vAlign w:val="center"/>
          </w:tcPr>
          <w:p>
            <w:pPr>
              <w:spacing w:after="40"/>
            </w:pPr>
            <w:r/>
            <w:r>
              <w:rPr>
                <w:b w:val="0"/>
              </w:rPr>
              <w:t>Metriche quantitative su benchmark</w:t>
            </w:r>
          </w:p>
        </w:tc>
        <w:tc>
          <w:tcPr>
            <w:tcW w:type="dxa" w:w="2436"/>
            <w:vAlign w:val="center"/>
          </w:tcPr>
          <w:p>
            <w:pPr>
              <w:spacing w:after="40"/>
            </w:pPr>
            <w:r/>
            <w:r>
              <w:rPr>
                <w:b w:val="0"/>
              </w:rPr>
              <w:t>OpenAI – Evaluation best practices</w:t>
            </w:r>
          </w:p>
        </w:tc>
      </w:tr>
      <w:tr>
        <w:trPr>
          <w:cantSplit/>
        </w:trPr>
        <w:tc>
          <w:tcPr>
            <w:tcW w:type="dxa" w:w="2436"/>
            <w:vAlign w:val="center"/>
          </w:tcPr>
          <w:p>
            <w:pPr>
              <w:spacing w:after="40"/>
            </w:pPr>
            <w:r/>
            <w:r>
              <w:rPr>
                <w:b w:val="0"/>
              </w:rPr>
              <w:t>Latency e costo</w:t>
            </w:r>
          </w:p>
        </w:tc>
        <w:tc>
          <w:tcPr>
            <w:tcW w:type="dxa" w:w="2436"/>
            <w:vAlign w:val="center"/>
          </w:tcPr>
          <w:p>
            <w:pPr>
              <w:spacing w:after="40"/>
            </w:pPr>
            <w:r/>
            <w:r>
              <w:rPr>
                <w:b w:val="0"/>
              </w:rPr>
              <w:t>Metriche operative da monitorare per sostenibilità della soluzione.</w:t>
            </w:r>
          </w:p>
        </w:tc>
        <w:tc>
          <w:tcPr>
            <w:tcW w:type="dxa" w:w="2436"/>
            <w:vAlign w:val="center"/>
          </w:tcPr>
          <w:p>
            <w:pPr>
              <w:spacing w:after="40"/>
            </w:pPr>
            <w:r/>
            <w:r>
              <w:rPr>
                <w:b w:val="0"/>
              </w:rPr>
              <w:t>p50, p95, token/call, costo/query</w:t>
            </w:r>
          </w:p>
        </w:tc>
        <w:tc>
          <w:tcPr>
            <w:tcW w:type="dxa" w:w="2436"/>
            <w:vAlign w:val="center"/>
          </w:tcPr>
          <w:p>
            <w:pPr>
              <w:spacing w:after="40"/>
            </w:pPr>
            <w:r/>
            <w:r>
              <w:rPr>
                <w:b w:val="0"/>
              </w:rPr>
              <w:t>Metrica interna raccomandata</w:t>
            </w:r>
          </w:p>
        </w:tc>
      </w:tr>
      <w:tr>
        <w:trPr>
          <w:cantSplit/>
        </w:trPr>
        <w:tc>
          <w:tcPr>
            <w:tcW w:type="dxa" w:w="2436"/>
            <w:vAlign w:val="center"/>
          </w:tcPr>
          <w:p>
            <w:pPr>
              <w:spacing w:after="40"/>
            </w:pPr>
            <w:r/>
            <w:r>
              <w:rPr>
                <w:b w:val="0"/>
              </w:rPr>
              <w:t>Citation hit rate</w:t>
            </w:r>
          </w:p>
        </w:tc>
        <w:tc>
          <w:tcPr>
            <w:tcW w:type="dxa" w:w="2436"/>
            <w:vAlign w:val="center"/>
          </w:tcPr>
          <w:p>
            <w:pPr>
              <w:spacing w:after="40"/>
            </w:pPr>
            <w:r/>
            <w:r>
              <w:rPr>
                <w:b w:val="0"/>
              </w:rPr>
              <w:t>Quota di risposte che citano correttamente la fonte rilevante.</w:t>
            </w:r>
          </w:p>
        </w:tc>
        <w:tc>
          <w:tcPr>
            <w:tcW w:type="dxa" w:w="2436"/>
            <w:vAlign w:val="center"/>
          </w:tcPr>
          <w:p>
            <w:pPr>
              <w:spacing w:after="40"/>
            </w:pPr>
            <w:r/>
            <w:r>
              <w:rPr>
                <w:b w:val="0"/>
              </w:rPr>
              <w:t>risposte con citazione corretta / risposte totali</w:t>
            </w:r>
          </w:p>
        </w:tc>
        <w:tc>
          <w:tcPr>
            <w:tcW w:type="dxa" w:w="2436"/>
            <w:vAlign w:val="center"/>
          </w:tcPr>
          <w:p>
            <w:pPr>
              <w:spacing w:after="40"/>
            </w:pPr>
            <w:r/>
            <w:r>
              <w:rPr>
                <w:b w:val="0"/>
              </w:rPr>
              <w:t>Metrica interna raccomandata</w:t>
            </w:r>
          </w:p>
        </w:tc>
      </w:tr>
    </w:tbl>
    <w:p>
      <w:pPr>
        <w:pStyle w:val="Heading1"/>
      </w:pPr>
      <w:r>
        <w:t>7. Gate di rilascio e checklist operativa</w:t>
      </w:r>
    </w:p>
    <w:p>
      <w:r>
        <w:t>Un documento o knowledge object può essere pubblicato nel corpus RAG solo se supera tutti i controlli di seguito.</w:t>
      </w:r>
    </w:p>
    <w:p>
      <w:pPr>
        <w:pStyle w:val="ListBullet"/>
      </w:pPr>
      <w:r>
        <w:t>Lo scopo del documento è esplicito e coerente con almeno un caso d’uso reale.</w:t>
      </w:r>
    </w:p>
    <w:p>
      <w:pPr>
        <w:pStyle w:val="ListBullet"/>
      </w:pPr>
      <w:r>
        <w:t>Il contenuto è scritto in unità semantiche coerenti e con heading informativi.</w:t>
      </w:r>
    </w:p>
    <w:p>
      <w:pPr>
        <w:pStyle w:val="ListBullet"/>
      </w:pPr>
      <w:r>
        <w:t>Ogni sezione rilevante è autosufficiente e non dipende da rimandi impliciti.</w:t>
      </w:r>
    </w:p>
    <w:p>
      <w:pPr>
        <w:pStyle w:val="ListBullet"/>
      </w:pPr>
      <w:r>
        <w:t>Metadati obbligatori presenti e validi.</w:t>
      </w:r>
    </w:p>
    <w:p>
      <w:pPr>
        <w:pStyle w:val="ListBullet"/>
      </w:pPr>
      <w:r>
        <w:t>Fonte primaria o evidenza identificata per ogni contenuto normativo/canonico.</w:t>
      </w:r>
    </w:p>
    <w:p>
      <w:pPr>
        <w:pStyle w:val="ListBullet"/>
      </w:pPr>
      <w:r>
        <w:t>Ambiguità, conflitti, ipotesi e contenuti non approvati marcati in modo esplicito.</w:t>
      </w:r>
    </w:p>
    <w:p>
      <w:pPr>
        <w:pStyle w:val="ListBullet"/>
      </w:pPr>
      <w:r>
        <w:t>Tabelle, grafici e immagini critiche accompagnati da sintesi testuale.</w:t>
      </w:r>
    </w:p>
    <w:p>
      <w:pPr>
        <w:pStyle w:val="ListBullet"/>
      </w:pPr>
      <w:r>
        <w:t>Duplicazioni e conflitti con il corpus esistente verificati.</w:t>
      </w:r>
    </w:p>
    <w:p>
      <w:pPr>
        <w:pStyle w:val="ListBullet"/>
      </w:pPr>
      <w:r>
        <w:t>Documento incluso nel benchmark ed esito eval document-centric registrato.</w:t>
      </w:r>
    </w:p>
    <w:p>
      <w:pPr>
        <w:pStyle w:val="ListBullet"/>
      </w:pPr>
      <w:r>
        <w:t>Owner, revisore e calendario di refresh assegnati.</w:t>
      </w:r>
    </w:p>
    <w:p>
      <w:pPr>
        <w:pStyle w:val="Heading1"/>
      </w:pPr>
      <w:r>
        <w:t>8. Governance, ownership e aggiornamento continuo</w:t>
      </w:r>
    </w:p>
    <w:p>
      <w:r>
        <w:rPr>
          <w:b/>
        </w:rPr>
        <w:t xml:space="preserve">Ownership. </w:t>
      </w:r>
      <w:r>
        <w:t>Ogni dominio documentale deve avere un owner di contenuto, un owner tecnico del corpus e, ove necessario, un owner di conformità.</w:t>
      </w:r>
    </w:p>
    <w:p>
      <w:r>
        <w:rPr>
          <w:b/>
        </w:rPr>
        <w:t xml:space="preserve">Versioning. </w:t>
      </w:r>
      <w:r>
        <w:t>Ogni modifica sostanziale deve incrementare la versione e registrare data, autore, revisore e motivazione della modifica.</w:t>
      </w:r>
    </w:p>
    <w:p>
      <w:r>
        <w:rPr>
          <w:b/>
        </w:rPr>
        <w:t xml:space="preserve">Deprecazione. </w:t>
      </w:r>
      <w:r>
        <w:t>Un documento superato deve essere marcato come deprecated; non va lasciato nel corpus in stato ambiguo.</w:t>
      </w:r>
    </w:p>
    <w:p>
      <w:r>
        <w:rPr>
          <w:b/>
        </w:rPr>
        <w:t xml:space="preserve">Re-test. </w:t>
      </w:r>
      <w:r>
        <w:t>Qualunque aggiornamento che cambia definizioni, regole, soglie, processi o classificazioni deve attivare una nuova esecuzione delle eval pertinenti.</w:t>
      </w:r>
    </w:p>
    <w:p>
      <w:r>
        <w:rPr>
          <w:b/>
        </w:rPr>
        <w:t xml:space="preserve">Audit trail. </w:t>
      </w:r>
      <w:r>
        <w:t>Le decisioni relative a inclusione, esclusione, eccezioni e conflitti devono essere rintracciabili.</w:t>
      </w:r>
    </w:p>
    <w:p>
      <w:pPr>
        <w:pStyle w:val="Heading1"/>
      </w:pPr>
      <w:r>
        <w:t>Appendice A – Schema minimo di metadati</w:t>
      </w:r>
    </w:p>
    <w:p>
      <w:r>
        <w:t>Schema minimo raccomandato per ciascun documento o knowledge object:</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vAlign w:val="center"/>
            <w:shd w:fill="B8CCE4"/>
          </w:tcPr>
          <w:p>
            <w:pPr>
              <w:spacing w:after="40"/>
              <w:jc w:val="center"/>
            </w:pPr>
            <w:r/>
            <w:r>
              <w:rPr>
                <w:b/>
              </w:rPr>
              <w:t>Campo</w:t>
            </w:r>
          </w:p>
        </w:tc>
        <w:tc>
          <w:tcPr>
            <w:tcW w:type="dxa" w:w="4873"/>
            <w:vAlign w:val="center"/>
            <w:shd w:fill="B8CCE4"/>
          </w:tcPr>
          <w:p>
            <w:pPr>
              <w:spacing w:after="40"/>
              <w:jc w:val="center"/>
            </w:pPr>
            <w:r/>
            <w:r>
              <w:rPr>
                <w:b/>
              </w:rPr>
              <w:t>Uso</w:t>
            </w:r>
          </w:p>
        </w:tc>
      </w:tr>
      <w:tr>
        <w:trPr>
          <w:cantSplit/>
        </w:trPr>
        <w:tc>
          <w:tcPr>
            <w:tcW w:type="dxa" w:w="4873"/>
            <w:vAlign w:val="center"/>
          </w:tcPr>
          <w:p>
            <w:pPr>
              <w:spacing w:after="40"/>
            </w:pPr>
            <w:r/>
            <w:r>
              <w:rPr>
                <w:b w:val="0"/>
              </w:rPr>
              <w:t>document_id</w:t>
            </w:r>
          </w:p>
        </w:tc>
        <w:tc>
          <w:tcPr>
            <w:tcW w:type="dxa" w:w="4873"/>
            <w:vAlign w:val="center"/>
          </w:tcPr>
          <w:p>
            <w:pPr>
              <w:spacing w:after="40"/>
            </w:pPr>
            <w:r/>
            <w:r>
              <w:rPr>
                <w:b w:val="0"/>
              </w:rPr>
              <w:t>Identificativo univoco e persistente</w:t>
            </w:r>
          </w:p>
        </w:tc>
      </w:tr>
      <w:tr>
        <w:trPr>
          <w:cantSplit/>
        </w:trPr>
        <w:tc>
          <w:tcPr>
            <w:tcW w:type="dxa" w:w="4873"/>
            <w:vAlign w:val="center"/>
          </w:tcPr>
          <w:p>
            <w:pPr>
              <w:spacing w:after="40"/>
            </w:pPr>
            <w:r/>
            <w:r>
              <w:rPr>
                <w:b w:val="0"/>
              </w:rPr>
              <w:t>title</w:t>
            </w:r>
          </w:p>
        </w:tc>
        <w:tc>
          <w:tcPr>
            <w:tcW w:type="dxa" w:w="4873"/>
            <w:vAlign w:val="center"/>
          </w:tcPr>
          <w:p>
            <w:pPr>
              <w:spacing w:after="40"/>
            </w:pPr>
            <w:r/>
            <w:r>
              <w:rPr>
                <w:b w:val="0"/>
              </w:rPr>
              <w:t>Titolo canonico interrogabile</w:t>
            </w:r>
          </w:p>
        </w:tc>
      </w:tr>
      <w:tr>
        <w:trPr>
          <w:cantSplit/>
        </w:trPr>
        <w:tc>
          <w:tcPr>
            <w:tcW w:type="dxa" w:w="4873"/>
            <w:vAlign w:val="center"/>
          </w:tcPr>
          <w:p>
            <w:pPr>
              <w:spacing w:after="40"/>
            </w:pPr>
            <w:r/>
            <w:r>
              <w:rPr>
                <w:b w:val="0"/>
              </w:rPr>
              <w:t>domain / subdomain</w:t>
            </w:r>
          </w:p>
        </w:tc>
        <w:tc>
          <w:tcPr>
            <w:tcW w:type="dxa" w:w="4873"/>
            <w:vAlign w:val="center"/>
          </w:tcPr>
          <w:p>
            <w:pPr>
              <w:spacing w:after="40"/>
            </w:pPr>
            <w:r/>
            <w:r>
              <w:rPr>
                <w:b w:val="0"/>
              </w:rPr>
              <w:t>Dominio e sottodominio informativo</w:t>
            </w:r>
          </w:p>
        </w:tc>
      </w:tr>
      <w:tr>
        <w:trPr>
          <w:cantSplit/>
        </w:trPr>
        <w:tc>
          <w:tcPr>
            <w:tcW w:type="dxa" w:w="4873"/>
            <w:vAlign w:val="center"/>
          </w:tcPr>
          <w:p>
            <w:pPr>
              <w:spacing w:after="40"/>
            </w:pPr>
            <w:r/>
            <w:r>
              <w:rPr>
                <w:b w:val="0"/>
              </w:rPr>
              <w:t>entity_type</w:t>
            </w:r>
          </w:p>
        </w:tc>
        <w:tc>
          <w:tcPr>
            <w:tcW w:type="dxa" w:w="4873"/>
            <w:vAlign w:val="center"/>
          </w:tcPr>
          <w:p>
            <w:pPr>
              <w:spacing w:after="40"/>
            </w:pPr>
            <w:r/>
            <w:r>
              <w:rPr>
                <w:b w:val="0"/>
              </w:rPr>
              <w:t>Policy, procedura, FAQ, glossario, runbook, scheda tecnica, ecc.</w:t>
            </w:r>
          </w:p>
        </w:tc>
      </w:tr>
      <w:tr>
        <w:trPr>
          <w:cantSplit/>
        </w:trPr>
        <w:tc>
          <w:tcPr>
            <w:tcW w:type="dxa" w:w="4873"/>
            <w:vAlign w:val="center"/>
          </w:tcPr>
          <w:p>
            <w:pPr>
              <w:spacing w:after="40"/>
            </w:pPr>
            <w:r/>
            <w:r>
              <w:rPr>
                <w:b w:val="0"/>
              </w:rPr>
              <w:t>owner</w:t>
            </w:r>
          </w:p>
        </w:tc>
        <w:tc>
          <w:tcPr>
            <w:tcW w:type="dxa" w:w="4873"/>
            <w:vAlign w:val="center"/>
          </w:tcPr>
          <w:p>
            <w:pPr>
              <w:spacing w:after="40"/>
            </w:pPr>
            <w:r/>
            <w:r>
              <w:rPr>
                <w:b w:val="0"/>
              </w:rPr>
              <w:t>Responsabile di contenuto</w:t>
            </w:r>
          </w:p>
        </w:tc>
      </w:tr>
      <w:tr>
        <w:trPr>
          <w:cantSplit/>
        </w:trPr>
        <w:tc>
          <w:tcPr>
            <w:tcW w:type="dxa" w:w="4873"/>
            <w:vAlign w:val="center"/>
          </w:tcPr>
          <w:p>
            <w:pPr>
              <w:spacing w:after="40"/>
            </w:pPr>
            <w:r/>
            <w:r>
              <w:rPr>
                <w:b w:val="0"/>
              </w:rPr>
              <w:t>status</w:t>
            </w:r>
          </w:p>
        </w:tc>
        <w:tc>
          <w:tcPr>
            <w:tcW w:type="dxa" w:w="4873"/>
            <w:vAlign w:val="center"/>
          </w:tcPr>
          <w:p>
            <w:pPr>
              <w:spacing w:after="40"/>
            </w:pPr>
            <w:r/>
            <w:r>
              <w:rPr>
                <w:b w:val="0"/>
              </w:rPr>
              <w:t>draft, approved, deprecated, ambiguous, archived</w:t>
            </w:r>
          </w:p>
        </w:tc>
      </w:tr>
      <w:tr>
        <w:trPr>
          <w:cantSplit/>
        </w:trPr>
        <w:tc>
          <w:tcPr>
            <w:tcW w:type="dxa" w:w="4873"/>
            <w:vAlign w:val="center"/>
          </w:tcPr>
          <w:p>
            <w:pPr>
              <w:spacing w:after="40"/>
            </w:pPr>
            <w:r/>
            <w:r>
              <w:rPr>
                <w:b w:val="0"/>
              </w:rPr>
              <w:t>version</w:t>
            </w:r>
          </w:p>
        </w:tc>
        <w:tc>
          <w:tcPr>
            <w:tcW w:type="dxa" w:w="4873"/>
            <w:vAlign w:val="center"/>
          </w:tcPr>
          <w:p>
            <w:pPr>
              <w:spacing w:after="40"/>
            </w:pPr>
            <w:r/>
            <w:r>
              <w:rPr>
                <w:b w:val="0"/>
              </w:rPr>
              <w:t>Versione logica del contenuto</w:t>
            </w:r>
          </w:p>
        </w:tc>
      </w:tr>
      <w:tr>
        <w:trPr>
          <w:cantSplit/>
        </w:trPr>
        <w:tc>
          <w:tcPr>
            <w:tcW w:type="dxa" w:w="4873"/>
            <w:vAlign w:val="center"/>
          </w:tcPr>
          <w:p>
            <w:pPr>
              <w:spacing w:after="40"/>
            </w:pPr>
            <w:r/>
            <w:r>
              <w:rPr>
                <w:b w:val="0"/>
              </w:rPr>
              <w:t>valid_from / valid_to</w:t>
            </w:r>
          </w:p>
        </w:tc>
        <w:tc>
          <w:tcPr>
            <w:tcW w:type="dxa" w:w="4873"/>
            <w:vAlign w:val="center"/>
          </w:tcPr>
          <w:p>
            <w:pPr>
              <w:spacing w:after="40"/>
            </w:pPr>
            <w:r/>
            <w:r>
              <w:rPr>
                <w:b w:val="0"/>
              </w:rPr>
              <w:t>Intervallo di validità</w:t>
            </w:r>
          </w:p>
        </w:tc>
      </w:tr>
      <w:tr>
        <w:trPr>
          <w:cantSplit/>
        </w:trPr>
        <w:tc>
          <w:tcPr>
            <w:tcW w:type="dxa" w:w="4873"/>
            <w:vAlign w:val="center"/>
          </w:tcPr>
          <w:p>
            <w:pPr>
              <w:spacing w:after="40"/>
            </w:pPr>
            <w:r/>
            <w:r>
              <w:rPr>
                <w:b w:val="0"/>
              </w:rPr>
              <w:t>region / country / business_unit</w:t>
            </w:r>
          </w:p>
        </w:tc>
        <w:tc>
          <w:tcPr>
            <w:tcW w:type="dxa" w:w="4873"/>
            <w:vAlign w:val="center"/>
          </w:tcPr>
          <w:p>
            <w:pPr>
              <w:spacing w:after="40"/>
            </w:pPr>
            <w:r/>
            <w:r>
              <w:rPr>
                <w:b w:val="0"/>
              </w:rPr>
              <w:t>Filtri organizzativi o geografici</w:t>
            </w:r>
          </w:p>
        </w:tc>
      </w:tr>
      <w:tr>
        <w:trPr>
          <w:cantSplit/>
        </w:trPr>
        <w:tc>
          <w:tcPr>
            <w:tcW w:type="dxa" w:w="4873"/>
            <w:vAlign w:val="center"/>
          </w:tcPr>
          <w:p>
            <w:pPr>
              <w:spacing w:after="40"/>
            </w:pPr>
            <w:r/>
            <w:r>
              <w:rPr>
                <w:b w:val="0"/>
              </w:rPr>
              <w:t>source_system / source_url</w:t>
            </w:r>
          </w:p>
        </w:tc>
        <w:tc>
          <w:tcPr>
            <w:tcW w:type="dxa" w:w="4873"/>
            <w:vAlign w:val="center"/>
          </w:tcPr>
          <w:p>
            <w:pPr>
              <w:spacing w:after="40"/>
            </w:pPr>
            <w:r/>
            <w:r>
              <w:rPr>
                <w:b w:val="0"/>
              </w:rPr>
              <w:t>Sistema o repository di origine</w:t>
            </w:r>
          </w:p>
        </w:tc>
      </w:tr>
      <w:tr>
        <w:trPr>
          <w:cantSplit/>
        </w:trPr>
        <w:tc>
          <w:tcPr>
            <w:tcW w:type="dxa" w:w="4873"/>
            <w:vAlign w:val="center"/>
          </w:tcPr>
          <w:p>
            <w:pPr>
              <w:spacing w:after="40"/>
            </w:pPr>
            <w:r/>
            <w:r>
              <w:rPr>
                <w:b w:val="0"/>
              </w:rPr>
              <w:t>evidence_level</w:t>
            </w:r>
          </w:p>
        </w:tc>
        <w:tc>
          <w:tcPr>
            <w:tcW w:type="dxa" w:w="4873"/>
            <w:vAlign w:val="center"/>
          </w:tcPr>
          <w:p>
            <w:pPr>
              <w:spacing w:after="40"/>
            </w:pPr>
            <w:r/>
            <w:r>
              <w:rPr>
                <w:b w:val="0"/>
              </w:rPr>
              <w:t>Livello di evidenza o affidabilità</w:t>
            </w:r>
          </w:p>
        </w:tc>
      </w:tr>
      <w:tr>
        <w:trPr>
          <w:cantSplit/>
        </w:trPr>
        <w:tc>
          <w:tcPr>
            <w:tcW w:type="dxa" w:w="4873"/>
            <w:vAlign w:val="center"/>
          </w:tcPr>
          <w:p>
            <w:pPr>
              <w:spacing w:after="40"/>
            </w:pPr>
            <w:r/>
            <w:r>
              <w:rPr>
                <w:b w:val="0"/>
              </w:rPr>
              <w:t>audience</w:t>
            </w:r>
          </w:p>
        </w:tc>
        <w:tc>
          <w:tcPr>
            <w:tcW w:type="dxa" w:w="4873"/>
            <w:vAlign w:val="center"/>
          </w:tcPr>
          <w:p>
            <w:pPr>
              <w:spacing w:after="40"/>
            </w:pPr>
            <w:r/>
            <w:r>
              <w:rPr>
                <w:b w:val="0"/>
              </w:rPr>
              <w:t>Pubblico target</w:t>
            </w:r>
          </w:p>
        </w:tc>
      </w:tr>
      <w:tr>
        <w:trPr>
          <w:cantSplit/>
        </w:trPr>
        <w:tc>
          <w:tcPr>
            <w:tcW w:type="dxa" w:w="4873"/>
            <w:vAlign w:val="center"/>
          </w:tcPr>
          <w:p>
            <w:pPr>
              <w:spacing w:after="40"/>
            </w:pPr>
            <w:r/>
            <w:r>
              <w:rPr>
                <w:b w:val="0"/>
              </w:rPr>
              <w:t>language</w:t>
            </w:r>
          </w:p>
        </w:tc>
        <w:tc>
          <w:tcPr>
            <w:tcW w:type="dxa" w:w="4873"/>
            <w:vAlign w:val="center"/>
          </w:tcPr>
          <w:p>
            <w:pPr>
              <w:spacing w:after="40"/>
            </w:pPr>
            <w:r/>
            <w:r>
              <w:rPr>
                <w:b w:val="0"/>
              </w:rPr>
              <w:t>Lingua principale</w:t>
            </w:r>
          </w:p>
        </w:tc>
      </w:tr>
      <w:tr>
        <w:trPr>
          <w:cantSplit/>
        </w:trPr>
        <w:tc>
          <w:tcPr>
            <w:tcW w:type="dxa" w:w="4873"/>
            <w:vAlign w:val="center"/>
          </w:tcPr>
          <w:p>
            <w:pPr>
              <w:spacing w:after="40"/>
            </w:pPr>
            <w:r/>
            <w:r>
              <w:rPr>
                <w:b w:val="0"/>
              </w:rPr>
              <w:t>last_reviewed_at</w:t>
            </w:r>
          </w:p>
        </w:tc>
        <w:tc>
          <w:tcPr>
            <w:tcW w:type="dxa" w:w="4873"/>
            <w:vAlign w:val="center"/>
          </w:tcPr>
          <w:p>
            <w:pPr>
              <w:spacing w:after="40"/>
            </w:pPr>
            <w:r/>
            <w:r>
              <w:rPr>
                <w:b w:val="0"/>
              </w:rPr>
              <w:t>Data ultimo riesame</w:t>
            </w:r>
          </w:p>
        </w:tc>
      </w:tr>
      <w:tr>
        <w:trPr>
          <w:cantSplit/>
        </w:trPr>
        <w:tc>
          <w:tcPr>
            <w:tcW w:type="dxa" w:w="4873"/>
            <w:vAlign w:val="center"/>
          </w:tcPr>
          <w:p>
            <w:pPr>
              <w:spacing w:after="40"/>
            </w:pPr>
            <w:r/>
            <w:r>
              <w:rPr>
                <w:b w:val="0"/>
              </w:rPr>
              <w:t>tags / aliases</w:t>
            </w:r>
          </w:p>
        </w:tc>
        <w:tc>
          <w:tcPr>
            <w:tcW w:type="dxa" w:w="4873"/>
            <w:vAlign w:val="center"/>
          </w:tcPr>
          <w:p>
            <w:pPr>
              <w:spacing w:after="40"/>
            </w:pPr>
            <w:r/>
            <w:r>
              <w:rPr>
                <w:b w:val="0"/>
              </w:rPr>
              <w:t>Sinonimi, etichette, termini alternativi</w:t>
            </w:r>
          </w:p>
        </w:tc>
      </w:tr>
    </w:tbl>
    <w:p>
      <w:pPr>
        <w:pStyle w:val="Heading1"/>
      </w:pPr>
      <w:r>
        <w:t>Appendice B – Fonti ufficiali consigliate</w:t>
      </w:r>
    </w:p>
    <w:p>
      <w:r>
        <w:t>Le fonti sotto sono le principali referenze ufficiali da usare per verificare e approfondire le regole di questo standard. Dove possibile, il team deve preferire documentazione primaria del vendor rispetto a riassunti di terze parti.</w:t>
      </w:r>
    </w:p>
    <w:p>
      <w:pPr>
        <w:pStyle w:val="ListBullet"/>
      </w:pPr>
      <w:hyperlink r:id="rId10">
        <w:r>
          <w:rPr>
            <w:color w:val="0563C1"/>
            <w:u w:val="single"/>
          </w:rPr>
          <w:t>Microsoft Learn – Develop a RAG Solution: Preparation Phase</w:t>
        </w:r>
      </w:hyperlink>
      <w:r>
        <w:t xml:space="preserve"> — Definizione del dominio, raccolta documenti e query, answerability del corpus.</w:t>
      </w:r>
    </w:p>
    <w:p>
      <w:pPr>
        <w:pStyle w:val="ListBullet"/>
      </w:pPr>
      <w:hyperlink r:id="rId12">
        <w:r>
          <w:rPr>
            <w:color w:val="0563C1"/>
            <w:u w:val="single"/>
          </w:rPr>
          <w:t>Microsoft Learn – Develop a RAG Solution: Chunking Phase</w:t>
        </w:r>
      </w:hyperlink>
      <w:r>
        <w:t xml:space="preserve"> — Principi di chunking, struttura documentale, loading e trade-off di segmentazione.</w:t>
      </w:r>
    </w:p>
    <w:p>
      <w:pPr>
        <w:pStyle w:val="ListBullet"/>
      </w:pPr>
      <w:hyperlink r:id="rId18">
        <w:r>
          <w:rPr>
            <w:color w:val="0563C1"/>
            <w:u w:val="single"/>
          </w:rPr>
          <w:t>Microsoft Foundry – Retrieval-Augmented Generation (RAG) Evaluators</w:t>
        </w:r>
      </w:hyperlink>
      <w:r>
        <w:t xml:space="preserve"> — Metriche ufficiali per document retrieval, retrieval, groundedness, relevance e response completeness.</w:t>
      </w:r>
    </w:p>
    <w:p>
      <w:pPr>
        <w:pStyle w:val="ListBullet"/>
      </w:pPr>
      <w:hyperlink r:id="rId13">
        <w:r>
          <w:rPr>
            <w:color w:val="0563C1"/>
            <w:u w:val="single"/>
          </w:rPr>
          <w:t>Google Cloud – Process documents with layout parser</w:t>
        </w:r>
      </w:hyperlink>
      <w:r>
        <w:t xml:space="preserve"> — Parsing layout-aware, estrazione di tabelle/liste e chunk contestuali.</w:t>
      </w:r>
    </w:p>
    <w:p>
      <w:pPr>
        <w:pStyle w:val="ListBullet"/>
      </w:pPr>
      <w:hyperlink r:id="rId19">
        <w:r>
          <w:rPr>
            <w:color w:val="0563C1"/>
            <w:u w:val="single"/>
          </w:rPr>
          <w:t>Google Cloud – Fine-tune RAG transformations</w:t>
        </w:r>
      </w:hyperlink>
      <w:r>
        <w:t xml:space="preserve"> — Chunk size, overlap e trasformazioni di preparazione del corpus.</w:t>
      </w:r>
    </w:p>
    <w:p>
      <w:pPr>
        <w:pStyle w:val="ListBullet"/>
      </w:pPr>
      <w:hyperlink r:id="rId15">
        <w:r>
          <w:rPr>
            <w:color w:val="0563C1"/>
            <w:u w:val="single"/>
          </w:rPr>
          <w:t>Google Cloud – Layout parser integration for Vertex AI RAG Engine</w:t>
        </w:r>
      </w:hyperlink>
      <w:r>
        <w:t xml:space="preserve"> — Indicazioni pratiche su layout parser e impostazioni consigliate.</w:t>
      </w:r>
    </w:p>
    <w:p>
      <w:pPr>
        <w:pStyle w:val="ListBullet"/>
      </w:pPr>
      <w:hyperlink r:id="rId16">
        <w:r>
          <w:rPr>
            <w:color w:val="0563C1"/>
            <w:u w:val="single"/>
          </w:rPr>
          <w:t>OpenAI – Retrieval guide</w:t>
        </w:r>
      </w:hyperlink>
      <w:r>
        <w:t xml:space="preserve"> — Attribute filtering, ranking options, hybrid search e tuning del retrieval.</w:t>
      </w:r>
    </w:p>
    <w:p>
      <w:pPr>
        <w:pStyle w:val="ListBullet"/>
      </w:pPr>
      <w:hyperlink r:id="rId17">
        <w:r>
          <w:rPr>
            <w:color w:val="0563C1"/>
            <w:u w:val="single"/>
          </w:rPr>
          <w:t>OpenAI – File search guide</w:t>
        </w:r>
      </w:hyperlink>
      <w:r>
        <w:t xml:space="preserve"> — Ricerca su file, metadata filtering e modalità d’uso del file search.</w:t>
      </w:r>
    </w:p>
    <w:p>
      <w:pPr>
        <w:pStyle w:val="ListBullet"/>
      </w:pPr>
      <w:hyperlink r:id="rId11">
        <w:r>
          <w:rPr>
            <w:color w:val="0563C1"/>
            <w:u w:val="single"/>
          </w:rPr>
          <w:t>OpenAI – Evaluation best practices</w:t>
        </w:r>
      </w:hyperlink>
      <w:r>
        <w:t xml:space="preserve"> — Progettazione di eval, benchmark set, metriche quantitative e review umana.</w:t>
      </w:r>
    </w:p>
    <w:p>
      <w:pPr>
        <w:pStyle w:val="ListBullet"/>
      </w:pPr>
      <w:hyperlink r:id="rId14">
        <w:r>
          <w:rPr>
            <w:color w:val="0563C1"/>
            <w:u w:val="single"/>
          </w:rPr>
          <w:t>Anthropic – Contextual Retrieval</w:t>
        </w:r>
      </w:hyperlink>
      <w:r>
        <w:t xml:space="preserve"> — Contesto a livello chunk, BM25 + embeddings, reranking e confronto tra configurazioni di retrieval.</w:t>
      </w:r>
    </w:p>
    <w:p>
      <w:pPr>
        <w:spacing w:before="240" w:after="0"/>
      </w:pPr>
      <w:r>
        <w:rPr>
          <w:b/>
          <w:color w:val="10375C"/>
        </w:rPr>
        <w:t>Nota finale</w:t>
      </w:r>
    </w:p>
    <w:p>
      <w:r>
        <w:t>Questo standard è deliberatamente conservativo: preferisce contenuti verificabili, atomici e governati a corpus voluminosi ma ambigui. In ambito RAG, la copertura senza disciplina documentale tende ad aumentare il rischio di recupero rumoroso, groundedness bassa e risposte incoerenti.</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Standard interno RAG – Documentazione aziendale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37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4D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4D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037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azure/architecture/ai-ml/guide/rag/rag-preparation-phase" TargetMode="External"/><Relationship Id="rId11" Type="http://schemas.openxmlformats.org/officeDocument/2006/relationships/hyperlink" Target="https://platform.openai.com/docs/guides/evaluation-best-practices" TargetMode="External"/><Relationship Id="rId12" Type="http://schemas.openxmlformats.org/officeDocument/2006/relationships/hyperlink" Target="https://learn.microsoft.com/en-us/azure/architecture/ai-ml/guide/rag/rag-chunking-phase" TargetMode="External"/><Relationship Id="rId13" Type="http://schemas.openxmlformats.org/officeDocument/2006/relationships/hyperlink" Target="https://docs.cloud.google.com/document-ai/docs/layout-parse-chunk" TargetMode="External"/><Relationship Id="rId14" Type="http://schemas.openxmlformats.org/officeDocument/2006/relationships/hyperlink" Target="https://www.anthropic.com/research/contextual-retrieval" TargetMode="External"/><Relationship Id="rId15" Type="http://schemas.openxmlformats.org/officeDocument/2006/relationships/hyperlink" Target="https://docs.cloud.google.com/vertex-ai/generative-ai/docs/rag-engine/layout-parser-integration" TargetMode="External"/><Relationship Id="rId16" Type="http://schemas.openxmlformats.org/officeDocument/2006/relationships/hyperlink" Target="https://platform.openai.com/docs/guides/retrieval" TargetMode="External"/><Relationship Id="rId17" Type="http://schemas.openxmlformats.org/officeDocument/2006/relationships/hyperlink" Target="https://platform.openai.com/docs/guides/tools-file-search/" TargetMode="External"/><Relationship Id="rId18" Type="http://schemas.openxmlformats.org/officeDocument/2006/relationships/hyperlink" Target="https://learn.microsoft.com/en-us/azure/ai-foundry/concepts/evaluation-evaluators/rag-evaluators" TargetMode="External"/><Relationship Id="rId19" Type="http://schemas.openxmlformats.org/officeDocument/2006/relationships/hyperlink" Target="https://docs.cloud.google.com/vertex-ai/generative-ai/docs/rag-engine/fine-tune-rag-transfor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