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IQVIA Promo Insights — RAG-ready semantic layer</w:t>
      </w:r>
    </w:p>
    <w:p>
      <w:pPr>
        <w:pStyle w:val="SubtleBody"/>
      </w:pPr>
      <w:r>
        <w:t xml:space="preserve">Package scope: transform observed internal-measure insights into retrieval-ready knowledge objects, structured catalogs, and merge-ready metadata. </w:t>
      </w:r>
      <w:hyperlink r:id="rId9">
        <w:r>
          <w:rPr>
            <w:color w:val="0563C1"/>
            <w:u w:val="single"/>
          </w:rPr>
          <w:t>Primary sources in /mnt/data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Knowledge objects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Observed measure rows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Dimension mappings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Time patterns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4</w:t>
            </w:r>
          </w:p>
        </w:tc>
      </w:tr>
    </w:tbl>
    <w:p>
      <w:pPr>
        <w:pStyle w:val="Heading1"/>
      </w:pPr>
      <w:r>
        <w:t>What this package keeps</w:t>
      </w:r>
    </w:p>
    <w:p>
      <w:pPr>
        <w:pStyle w:val="ListBullet"/>
      </w:pPr>
      <w:r>
        <w:t>Measure-family semantics, derived KPI patterns, and recurring analytical frames.</w:t>
      </w:r>
    </w:p>
    <w:p>
      <w:pPr>
        <w:pStyle w:val="ListBullet"/>
      </w:pPr>
      <w:r>
        <w:t>Observed dimension usage tied to the promo semantic model in trusted_starschema_01.</w:t>
      </w:r>
    </w:p>
    <w:p>
      <w:pPr>
        <w:pStyle w:val="ListBullet"/>
      </w:pPr>
      <w:r>
        <w:t>Validation boundaries that separate strong candidate knowledge from still-unconfirmed formulas.</w:t>
      </w:r>
    </w:p>
    <w:p>
      <w:pPr>
        <w:pStyle w:val="Heading1"/>
      </w:pPr>
      <w:r>
        <w:t>What this package deliberately removes</w:t>
      </w:r>
    </w:p>
    <w:p>
      <w:pPr>
        <w:pStyle w:val="ListBullet"/>
      </w:pPr>
      <w:r>
        <w:t>Project-management framing such as migration backlog, parity language, or OAS-specific UX wording in the final titles.</w:t>
      </w:r>
    </w:p>
    <w:p>
      <w:pPr>
        <w:pStyle w:val="ListBullet"/>
      </w:pPr>
      <w:r>
        <w:t>False certainty around dynamic placeholders and index denominators.</w:t>
      </w:r>
    </w:p>
    <w:p>
      <w:pPr>
        <w:pStyle w:val="Heading1"/>
      </w:pPr>
      <w:r>
        <w:t>Family map</w:t>
      </w:r>
    </w:p>
    <w:p>
      <w:pPr>
        <w:pStyle w:val="SubtleBody"/>
      </w:pPr>
      <w:r>
        <w:t>Counts below refer to the structured measure catalog generated from the insight sources.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Observed measures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High confidence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Needs validation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t>Dynamic contact metrics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t>Performance &amp; positive prescribing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t>Prescription segmentation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t>Spending &amp; share of voice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t>Weighted calls analytical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t>Representative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b/>
              </w:rPr>
              <w:t>Measure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b/>
              </w:rPr>
              <w:t>Family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b/>
              </w:rPr>
              <w:t>Time behavior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b/>
              </w:rPr>
              <w:t>Formula status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t>Investments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Spending &amp; share of voice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MON|MQTR|QTR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pattern_inferred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t>% Share of Investments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Spending &amp; share of voice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MON|MQTR|QTR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explicit_or_near_explicit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medium_high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t>Product Details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Spending &amp; share of voice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MON|MQTR|QTR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pattern_inferred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t>% Share of Voice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Spending &amp; share of voice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MON|MQTR|QTR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explicit_or_near_explicit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medium_high</w:t>
            </w:r>
          </w:p>
        </w:tc>
      </w:tr>
    </w:tbl>
    <w:p>
      <w:pPr>
        <w:pStyle w:val="Heading1"/>
      </w:pPr>
      <w:r>
        <w:t>Files included</w:t>
      </w:r>
    </w:p>
    <w:p>
      <w:pPr>
        <w:pStyle w:val="ListBullet"/>
      </w:pPr>
      <w:r>
        <w:t>registry/knowledge_objects.csv</w:t>
      </w:r>
    </w:p>
    <w:p>
      <w:pPr>
        <w:pStyle w:val="ListBullet"/>
      </w:pPr>
      <w:r>
        <w:t>registry/knowledge_objects.jsonl</w:t>
      </w:r>
    </w:p>
    <w:p>
      <w:pPr>
        <w:pStyle w:val="ListBullet"/>
      </w:pPr>
      <w:r>
        <w:t>registry/measure_semantics_catalog.csv</w:t>
      </w:r>
    </w:p>
    <w:p>
      <w:pPr>
        <w:pStyle w:val="ListBullet"/>
      </w:pPr>
      <w:r>
        <w:t>registry/dimension_usage_catalog.csv</w:t>
      </w:r>
    </w:p>
    <w:p>
      <w:pPr>
        <w:pStyle w:val="ListBullet"/>
      </w:pPr>
      <w:r>
        <w:t>registry/time_behavior_catalog.csv</w:t>
      </w:r>
    </w:p>
    <w:p>
      <w:pPr>
        <w:pStyle w:val="ListBullet"/>
      </w:pPr>
      <w:r>
        <w:t>registry/measure_formula_patterns.csv</w:t>
      </w:r>
    </w:p>
    <w:p>
      <w:pPr>
        <w:pStyle w:val="ListBullet"/>
      </w:pPr>
      <w:r>
        <w:t>registry/source_traceability.csv</w:t>
      </w:r>
    </w:p>
    <w:p>
      <w:pPr>
        <w:pStyle w:val="ListBullet"/>
      </w:pPr>
      <w:r>
        <w:t>registry/merge_guidance.md</w:t>
      </w:r>
    </w:p>
    <w:p>
      <w:pPr>
        <w:pStyle w:val="Heading1"/>
      </w:pPr>
      <w:r>
        <w:t>Merge rule</w:t>
      </w:r>
    </w:p>
    <w:p>
      <w:r>
        <w:rPr>
          <w:b/>
        </w:rPr>
        <w:t xml:space="preserve">Use this package as a semantic-insight layer beside the promo technical package. </w:t>
      </w:r>
      <w:r>
        <w:t>It should enrich retrieval with measure-family meaning, dimension usage, and time logic, while remaining separate from business-approved final formulas until validation is complete.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 Display" w:hAnsi="Aptos Display"/>
      <w:b/>
      <w:color w:val="1F4E79"/>
      <w:sz w:val="44"/>
    </w:rPr>
  </w:style>
  <w:style w:type="paragraph" w:customStyle="1" w:styleId="SubtleBody">
    <w:name w:val="SubtleBody"/>
    <w:rPr>
      <w:rFonts w:ascii="Aptos" w:hAnsi="Aptos"/>
      <w:color w:val="58585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mn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