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FF767" w14:textId="77777777" w:rsidR="00C60DA4" w:rsidRPr="002E5C34" w:rsidRDefault="002011FE" w:rsidP="00C60DA4">
      <w:pPr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>03.2_</w:t>
      </w:r>
      <w:r w:rsidR="00C60DA4" w:rsidRPr="002E5C34">
        <w:rPr>
          <w:rFonts w:ascii="Times New Roman" w:hAnsi="Times New Roman" w:cs="Times New Roman"/>
          <w:b/>
          <w:sz w:val="24"/>
          <w:szCs w:val="24"/>
          <w:lang w:val="lt-LT"/>
        </w:rPr>
        <w:t>Pamokos plano struktūra</w:t>
      </w:r>
    </w:p>
    <w:p w14:paraId="2D2EA4FF" w14:textId="0E317430" w:rsidR="00C60DA4" w:rsidRPr="002E5C34" w:rsidRDefault="00380E38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>Mokinių</w:t>
      </w:r>
      <w:r w:rsidRPr="002E5C34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lt-LT"/>
        </w:rPr>
        <w:t xml:space="preserve"> </w:t>
      </w:r>
      <w:r w:rsidR="00C60DA4" w:rsidRPr="002E5C34">
        <w:rPr>
          <w:rFonts w:ascii="Times New Roman" w:hAnsi="Times New Roman" w:cs="Times New Roman"/>
          <w:b/>
          <w:sz w:val="24"/>
          <w:szCs w:val="24"/>
          <w:lang w:val="lt-LT"/>
        </w:rPr>
        <w:t>amžius</w:t>
      </w:r>
      <w:r w:rsidR="002011FE" w:rsidRPr="002E5C34">
        <w:rPr>
          <w:rFonts w:ascii="Times New Roman" w:hAnsi="Times New Roman" w:cs="Times New Roman"/>
          <w:b/>
          <w:sz w:val="24"/>
          <w:szCs w:val="24"/>
          <w:lang w:val="lt-LT"/>
        </w:rPr>
        <w:t>/ klasė</w:t>
      </w:r>
      <w:r w:rsidR="00C60DA4"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E536EE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nuo 1</w:t>
      </w:r>
      <w:r w:rsidR="003024DC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6</w:t>
      </w:r>
      <w:r w:rsidR="00E536EE" w:rsidRPr="002E5C34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metų</w:t>
      </w:r>
    </w:p>
    <w:p w14:paraId="717C82C1" w14:textId="29E1DD6D" w:rsidR="00C60DA4" w:rsidRPr="002E5C34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Pamokos </w:t>
      </w:r>
      <w:r w:rsidR="00380E38"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 tema</w:t>
      </w: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E536EE"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3024DC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Spektrai</w:t>
      </w:r>
    </w:p>
    <w:p w14:paraId="64042AD1" w14:textId="536EB2AD" w:rsidR="0002272B" w:rsidRPr="002E5C34" w:rsidRDefault="0002272B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>Mokomas dalykas:</w:t>
      </w:r>
      <w:r w:rsidR="00E536EE"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E536EE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Fizika</w:t>
      </w:r>
    </w:p>
    <w:p w14:paraId="50B12830" w14:textId="49F5526D" w:rsidR="00C60DA4" w:rsidRPr="002E5C34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Pagrindinės sąvokos: </w:t>
      </w:r>
      <w:r w:rsidR="003024DC" w:rsidRPr="002E5C34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Spinduliuotės spektras, linijinis, juostinis ir ištisinis spinduliuotės spektras, sugerties spektras, spektrinė analizė. </w:t>
      </w:r>
    </w:p>
    <w:p w14:paraId="02C91841" w14:textId="100789EC" w:rsidR="002011FE" w:rsidRPr="002E5C34" w:rsidRDefault="00380E38" w:rsidP="0002272B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>Pamokos u</w:t>
      </w:r>
      <w:r w:rsidR="00C60DA4" w:rsidRPr="002E5C34">
        <w:rPr>
          <w:rFonts w:ascii="Times New Roman" w:hAnsi="Times New Roman" w:cs="Times New Roman"/>
          <w:b/>
          <w:sz w:val="24"/>
          <w:szCs w:val="24"/>
          <w:lang w:val="lt-LT"/>
        </w:rPr>
        <w:t>ždaviniai:</w:t>
      </w:r>
      <w:r w:rsidR="00C60DA4" w:rsidRPr="002E5C3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3D04C884" w14:textId="66F28728" w:rsidR="003024DC" w:rsidRPr="002E5C34" w:rsidRDefault="003024DC" w:rsidP="002E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Cs/>
          <w:sz w:val="24"/>
          <w:szCs w:val="24"/>
          <w:lang w:val="lt-LT"/>
        </w:rPr>
        <w:t>Prisiminti šviesos sąvoką, šviesos lūžio dėsnį bei dispersijos reiškinį;</w:t>
      </w:r>
    </w:p>
    <w:p w14:paraId="0C6514EA" w14:textId="4FF9AA5F" w:rsidR="003024DC" w:rsidRPr="002E5C34" w:rsidRDefault="003024DC" w:rsidP="002E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Cs/>
          <w:sz w:val="24"/>
          <w:szCs w:val="24"/>
          <w:lang w:val="lt-LT"/>
        </w:rPr>
        <w:t>Išsiaškinti</w:t>
      </w:r>
      <w:r w:rsidR="00792FDC" w:rsidRPr="002E5C34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spektrų rūšis</w:t>
      </w:r>
      <w:r w:rsidR="00845BAE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;</w:t>
      </w:r>
    </w:p>
    <w:p w14:paraId="44624D02" w14:textId="5D26163D" w:rsidR="00845BAE" w:rsidRPr="002E5C34" w:rsidRDefault="00845BAE" w:rsidP="002E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Cs/>
          <w:sz w:val="24"/>
          <w:szCs w:val="24"/>
          <w:lang w:val="lt-LT"/>
        </w:rPr>
        <w:t>Susipažinti su spektroskopo ir spektrografo sandara ir skirtumais;</w:t>
      </w:r>
    </w:p>
    <w:p w14:paraId="77B4360C" w14:textId="78B84345" w:rsidR="00C60DA4" w:rsidRPr="002E5C34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>Ugdomi įgūdžiai</w:t>
      </w:r>
      <w:r w:rsidR="002011FE" w:rsidRPr="002E5C34">
        <w:rPr>
          <w:rFonts w:ascii="Times New Roman" w:hAnsi="Times New Roman" w:cs="Times New Roman"/>
          <w:b/>
          <w:sz w:val="24"/>
          <w:szCs w:val="24"/>
          <w:lang w:val="lt-LT"/>
        </w:rPr>
        <w:t>, kompetencijos</w:t>
      </w: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A44A46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diskusija, stebėjimas, analizė ir bendradarbiavimas</w:t>
      </w:r>
      <w:r w:rsidR="00845BAE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.</w:t>
      </w:r>
    </w:p>
    <w:p w14:paraId="1CC5AC6D" w14:textId="6027678B" w:rsidR="00C60DA4" w:rsidRPr="002E5C34" w:rsidRDefault="00C60DA4" w:rsidP="001441DF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Reikalingos priemonės: </w:t>
      </w:r>
      <w:r w:rsidR="00A44A46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VR vaizdo įrašas</w:t>
      </w:r>
      <w:r w:rsidR="00A46FEB" w:rsidRPr="002E5C34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(</w:t>
      </w:r>
      <w:hyperlink r:id="rId7" w:history="1">
        <w:r w:rsidR="001441DF" w:rsidRPr="007056C9">
          <w:rPr>
            <w:rStyle w:val="Hyperlink"/>
          </w:rPr>
          <w:t>https://eloquent-ramanujan-887aa5.netlify.app/laser-2.html</w:t>
        </w:r>
      </w:hyperlink>
      <w:r w:rsidR="001441DF" w:rsidRPr="007E38D4">
        <w:rPr>
          <w:rFonts w:ascii="Times New Roman" w:hAnsi="Times New Roman" w:cs="Times New Roman"/>
          <w:bCs/>
          <w:sz w:val="24"/>
          <w:szCs w:val="24"/>
        </w:rPr>
        <w:t>)</w:t>
      </w:r>
      <w:r w:rsidR="00A44A46" w:rsidRPr="002E5C34">
        <w:rPr>
          <w:rFonts w:ascii="Times New Roman" w:hAnsi="Times New Roman" w:cs="Times New Roman"/>
          <w:bCs/>
          <w:sz w:val="24"/>
          <w:szCs w:val="24"/>
          <w:lang w:val="lt-LT"/>
        </w:rPr>
        <w:t>, VR akiniai,</w:t>
      </w:r>
      <w:r w:rsidR="00A44A46"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A46FEB" w:rsidRPr="002E5C34">
        <w:rPr>
          <w:rFonts w:ascii="Times New Roman" w:hAnsi="Times New Roman" w:cs="Times New Roman"/>
          <w:sz w:val="24"/>
          <w:szCs w:val="24"/>
          <w:lang w:val="lt-LT"/>
        </w:rPr>
        <w:t>kompiuteris, projektorius, dalomojo medžiaga (individualiai pagal poreikį).</w:t>
      </w:r>
    </w:p>
    <w:p w14:paraId="6674A2BE" w14:textId="77777777" w:rsidR="00C60DA4" w:rsidRPr="002E5C34" w:rsidRDefault="002011FE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E5C34">
        <w:rPr>
          <w:rFonts w:ascii="Times New Roman" w:hAnsi="Times New Roman" w:cs="Times New Roman"/>
          <w:b/>
          <w:sz w:val="24"/>
          <w:szCs w:val="24"/>
          <w:lang w:val="lt-LT"/>
        </w:rPr>
        <w:t xml:space="preserve"> Pamokos planas</w:t>
      </w:r>
    </w:p>
    <w:tbl>
      <w:tblPr>
        <w:tblStyle w:val="TableGrid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992"/>
      </w:tblGrid>
      <w:tr w:rsidR="002011FE" w:rsidRPr="002E5C34" w14:paraId="5BACBE55" w14:textId="77777777" w:rsidTr="002E5C34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4485D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Etapai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aprašymas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Laikas</w:t>
            </w:r>
          </w:p>
        </w:tc>
      </w:tr>
      <w:tr w:rsidR="00C60DA4" w:rsidRPr="002E5C34" w14:paraId="6DE8F550" w14:textId="77777777" w:rsidTr="002E5C34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9A8C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Pasiruošimas      darbui pamokoje su VR akiniais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BB445" w14:textId="0789EF1E" w:rsidR="0001197C" w:rsidRPr="002E5C34" w:rsidRDefault="0001197C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Jei mokiniams pirma pamoka su VR akiniais, mokytoja supažindina su naudojimosi instrukcija.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6620D084" w:rsidR="00C60DA4" w:rsidRPr="002E5C34" w:rsidRDefault="000C0F00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Iki 5 min.</w:t>
            </w:r>
          </w:p>
        </w:tc>
      </w:tr>
      <w:tr w:rsidR="002011FE" w:rsidRPr="002E5C34" w14:paraId="00812C7E" w14:textId="77777777" w:rsidTr="002E5C34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7E338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Įžanga</w:t>
            </w:r>
          </w:p>
          <w:p w14:paraId="38749736" w14:textId="77777777" w:rsidR="00BB1664" w:rsidRPr="002E5C34" w:rsidRDefault="00BB166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780F7" w14:textId="77777777" w:rsidR="0001197C" w:rsidRPr="002E5C34" w:rsidRDefault="0001197C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Frontalios apklausos metu primename:</w:t>
            </w:r>
          </w:p>
          <w:p w14:paraId="1FDB7254" w14:textId="1919EDED" w:rsidR="0001197C" w:rsidRPr="002E5C34" w:rsidRDefault="0001197C" w:rsidP="002E5C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Šviesos </w:t>
            </w:r>
            <w:r w:rsidR="00845BAE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lūžio</w:t>
            </w: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dėsni</w:t>
            </w:r>
            <w:r w:rsidR="000C0F00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</w:t>
            </w:r>
            <w:r w:rsidR="00845BAE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;</w:t>
            </w:r>
          </w:p>
          <w:p w14:paraId="40BDB7E3" w14:textId="44C708AE" w:rsidR="0001197C" w:rsidRPr="002E5C34" w:rsidRDefault="0001197C" w:rsidP="002E5C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Š</w:t>
            </w:r>
            <w:r w:rsidR="00845BAE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viesos sąvoka ir greitis</w:t>
            </w: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;</w:t>
            </w:r>
          </w:p>
          <w:p w14:paraId="5F78E79E" w14:textId="0F2AFC9D" w:rsidR="0001197C" w:rsidRPr="002E5C34" w:rsidRDefault="00845BAE" w:rsidP="002E5C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Apibrėžti dispersijos reiškinį ir pateikti pvz.</w:t>
            </w:r>
          </w:p>
          <w:p w14:paraId="3C5A7A1B" w14:textId="050F17C7" w:rsidR="0001197C" w:rsidRPr="002E5C34" w:rsidRDefault="0001197C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Šioje pamokoje </w:t>
            </w:r>
            <w:r w:rsidR="00845BAE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gilinsimės į spektroskopų ir spektrografų sandarą, bei spektrinę analizę</w:t>
            </w: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.</w:t>
            </w:r>
          </w:p>
          <w:p w14:paraId="6BD9D179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36B73387" w:rsidR="00C60DA4" w:rsidRPr="002E5C34" w:rsidRDefault="000C0F00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min.</w:t>
            </w:r>
          </w:p>
        </w:tc>
      </w:tr>
      <w:tr w:rsidR="002011FE" w:rsidRPr="002E5C34" w14:paraId="5DCCBD58" w14:textId="77777777" w:rsidTr="002E5C34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47F57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Darbas su VR akiniais ( pradinis etapas)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639DC" w14:textId="5D2E5482" w:rsidR="00C60DA4" w:rsidRPr="002E5C34" w:rsidRDefault="000C0F00" w:rsidP="002E5C34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Mokiniai individualiai peržiūri video</w:t>
            </w:r>
            <w:r w:rsidR="00845BAE" w:rsidRPr="002E5C3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medžiagą</w:t>
            </w:r>
            <w:r w:rsidR="00DD7FC5" w:rsidRPr="002E5C3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, kurioje turi pasižymėti jei ras terminus : spektrinė analizė, spektroskopas, spektrografas, spekt</w:t>
            </w:r>
            <w:r w:rsidR="00A46FEB" w:rsidRPr="002E5C3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</w:t>
            </w:r>
            <w:r w:rsidR="00DD7FC5" w:rsidRPr="002E5C3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as, ištisinis, juostinis, linijinis, absobcinis </w:t>
            </w:r>
            <w:r w:rsidR="00845BAE" w:rsidRPr="002E5C3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: </w:t>
            </w:r>
            <w:hyperlink r:id="rId8" w:history="1">
              <w:r w:rsidR="001441DF" w:rsidRPr="007056C9">
                <w:rPr>
                  <w:rStyle w:val="Hyperlink"/>
                </w:rPr>
                <w:t>https://eloquent-ramanujan-887aa5.netlify.app/laser-2.html</w:t>
              </w:r>
            </w:hyperlink>
            <w:bookmarkStart w:id="0" w:name="_GoBack"/>
            <w:bookmarkEnd w:id="0"/>
          </w:p>
          <w:p w14:paraId="39E614D5" w14:textId="2D409EBB" w:rsidR="000C0F00" w:rsidRPr="002E5C34" w:rsidRDefault="000C0F00" w:rsidP="002E5C34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C60DA4" w:rsidRPr="002E5C34" w:rsidRDefault="00C60DA4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4ABA07DE" w14:textId="648F567A" w:rsidR="000C0F00" w:rsidRPr="002E5C34" w:rsidRDefault="00DD7FC5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10</w:t>
            </w:r>
            <w:r w:rsidR="000C0F00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min.</w:t>
            </w:r>
          </w:p>
        </w:tc>
      </w:tr>
      <w:tr w:rsidR="002011FE" w:rsidRPr="002E5C34" w14:paraId="0F3AE989" w14:textId="77777777" w:rsidTr="002E5C34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8AFD0" w14:textId="77777777" w:rsidR="00C60DA4" w:rsidRPr="002E5C34" w:rsidRDefault="002011FE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</w:t>
            </w:r>
            <w:r w:rsidR="00C60DA4"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arbas su VR akiniais</w:t>
            </w: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pagal užduotis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D860C" w14:textId="3F4D8825" w:rsidR="00C60DA4" w:rsidRPr="002E5C34" w:rsidRDefault="00DD7FC5" w:rsidP="002E5C34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Minčių lietus (aptarimas matytų VR video)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606B8BFE" w:rsidR="00C60DA4" w:rsidRPr="002E5C34" w:rsidRDefault="00DD7FC5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3</w:t>
            </w:r>
            <w:r w:rsidR="00D7492C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min.</w:t>
            </w:r>
          </w:p>
        </w:tc>
      </w:tr>
      <w:tr w:rsidR="002011FE" w:rsidRPr="002E5C34" w14:paraId="6261B476" w14:textId="77777777" w:rsidTr="002E5C34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DEBEF" w14:textId="77777777" w:rsidR="00C60DA4" w:rsidRPr="002E5C34" w:rsidRDefault="00C60DA4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Savarankiškas darbas grupėmis, apžvalga, rezultatų </w:t>
            </w:r>
            <w:r w:rsidR="002011FE"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aptarimas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6CD57" w14:textId="05CB3F80" w:rsidR="00D7492C" w:rsidRPr="002E5C34" w:rsidRDefault="00DD7FC5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Mokytojo padedami mokiniai sistemina spektrografo ir spektroskopo sandarą bei užsirašo šių preitaisų veikimo principus.</w:t>
            </w:r>
          </w:p>
          <w:p w14:paraId="1E270DDF" w14:textId="77777777" w:rsidR="00DD7FC5" w:rsidRPr="002E5C34" w:rsidRDefault="00DD7FC5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Aptariamas terminas – spektrinė analizė (medžiagos cheminės sudėties nustatymas pagal jos spektrus);</w:t>
            </w:r>
          </w:p>
          <w:p w14:paraId="1943B13D" w14:textId="77777777" w:rsidR="00DD7FC5" w:rsidRPr="002E5C34" w:rsidRDefault="00DD7FC5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Spektrų rūšys:</w:t>
            </w:r>
          </w:p>
          <w:p w14:paraId="244AF91C" w14:textId="7C2D797D" w:rsidR="008E75AE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Ištisinis spinduliavimo – skleidžia kietieji kūnai, skysčiai ir </w:t>
            </w: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lastRenderedPageBreak/>
              <w:t>pakankamai tankios dujos. (Mokiniai kartu su mokytoju aptaria spektro vaizdą (paveikslėlis žemiau))</w:t>
            </w:r>
          </w:p>
          <w:p w14:paraId="614FC101" w14:textId="5E37F8A7" w:rsidR="00DD7FC5" w:rsidRPr="002E5C34" w:rsidRDefault="00DD7FC5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03A8CB" wp14:editId="6F9B7F99">
                  <wp:extent cx="6120130" cy="7804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</w:p>
          <w:p w14:paraId="4736FCFF" w14:textId="5841C064" w:rsidR="00DD7FC5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Linijinis spinduliavimo – skleidžia nedidelio slėgio atominės dujos. . (Mokiniai kartu su mokytoju aptaria spektro vaizdą (paveikslėlis žemiau))</w:t>
            </w:r>
          </w:p>
          <w:p w14:paraId="6D7E98A3" w14:textId="39E6C270" w:rsidR="008E75AE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541F901" wp14:editId="7A9D1278">
                  <wp:extent cx="61150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ED6C2" w14:textId="77777777" w:rsidR="008E75AE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Juostinis spinduliavimo – skleidžia molekulinės dujos. (Mokiniai kartu su mokytoju aptaria spektro vaizdą (paveikslėlis žemiau))</w:t>
            </w:r>
          </w:p>
          <w:p w14:paraId="7CC7F64E" w14:textId="442A31AA" w:rsidR="008E75AE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39D878F" wp14:editId="34D0AA83">
                  <wp:extent cx="6115050" cy="771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D8DC6D" w14:textId="3C11B53D" w:rsidR="008E75AE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Sugerties arba absorbcinis spektras- skleidžia pačios įkaitintos dujos. (Mokiniai kartu su mokytoju aptaria spektro vaizdą (paveikslėlis žemiau))</w:t>
            </w:r>
          </w:p>
          <w:p w14:paraId="21F55E06" w14:textId="127F6F5B" w:rsidR="008E75AE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1E9418B" wp14:editId="4DDC2B8C">
                  <wp:extent cx="611505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F10E63" w14:textId="6C4DB93B" w:rsidR="008E75AE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4543523F" w:rsidR="00C60DA4" w:rsidRPr="002E5C34" w:rsidRDefault="00DD7FC5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lastRenderedPageBreak/>
              <w:t xml:space="preserve">15 </w:t>
            </w:r>
            <w:r w:rsidR="003B73CE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min.</w:t>
            </w:r>
          </w:p>
        </w:tc>
      </w:tr>
      <w:tr w:rsidR="002011FE" w:rsidRPr="002E5C34" w14:paraId="478CFC82" w14:textId="77777777" w:rsidTr="002E5C34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4F8B2" w14:textId="24F420FB" w:rsidR="00BB1664" w:rsidRPr="002E5C34" w:rsidRDefault="00792FDC" w:rsidP="002E5C3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lastRenderedPageBreak/>
              <w:t>Formuojamasis vertinimas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14852536" w:rsidR="00C60DA4" w:rsidRPr="002E5C34" w:rsidRDefault="008E75AE" w:rsidP="002E5C34">
            <w:pP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Mokiniai kartu su mokytoju išsiaiškina, kuris spektras jiems jau yra matytas (gamtoje, jų aplinkoje). Aptariama, kokį spektrą skleidžia gamtoje sutinkami objektai</w:t>
            </w:r>
            <w:r w:rsidR="00A46FEB" w:rsidRPr="002E5C34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 (Saulė, žvakė, laužas, elektros kibirkštis, žvakės liepsna)</w:t>
            </w:r>
            <w:r w:rsidRPr="002E5C34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. </w:t>
            </w:r>
            <w:r w:rsidR="00A46FEB" w:rsidRPr="002E5C34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Konkretizuojama, kad iš vienintelio ištisinio spektro negalima nustatyti konkrečios medžiagos sudėties.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C60DA4" w:rsidRPr="002E5C34" w:rsidRDefault="00C60DA4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12A46395" w14:textId="195DFD6F" w:rsidR="00C60DA4" w:rsidRPr="002E5C34" w:rsidRDefault="008E75AE" w:rsidP="002E5C3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7</w:t>
            </w:r>
            <w:r w:rsidR="003B73CE" w:rsidRPr="002E5C34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min.</w:t>
            </w:r>
          </w:p>
        </w:tc>
      </w:tr>
    </w:tbl>
    <w:p w14:paraId="08724EA3" w14:textId="77777777" w:rsidR="00C97D71" w:rsidRPr="002E5C34" w:rsidRDefault="00C97D71" w:rsidP="0098467B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C97D71" w:rsidRPr="002E5C34" w:rsidSect="002E5C34">
      <w:headerReference w:type="default" r:id="rId13"/>
      <w:footerReference w:type="defaul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388A7" w14:textId="77777777" w:rsidR="00B86DAB" w:rsidRDefault="00B86DAB" w:rsidP="002011FE">
      <w:pPr>
        <w:spacing w:after="0" w:line="240" w:lineRule="auto"/>
      </w:pPr>
      <w:r>
        <w:separator/>
      </w:r>
    </w:p>
  </w:endnote>
  <w:endnote w:type="continuationSeparator" w:id="0">
    <w:p w14:paraId="07BD1467" w14:textId="77777777" w:rsidR="00B86DAB" w:rsidRDefault="00B86DAB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AD2F6" w14:textId="19715F2C" w:rsidR="001441DF" w:rsidRDefault="001441DF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2D5CE624" wp14:editId="608F0B2B">
          <wp:simplePos x="0" y="0"/>
          <wp:positionH relativeFrom="column">
            <wp:posOffset>1272540</wp:posOffset>
          </wp:positionH>
          <wp:positionV relativeFrom="paragraph">
            <wp:posOffset>-228600</wp:posOffset>
          </wp:positionV>
          <wp:extent cx="3137620" cy="502920"/>
          <wp:effectExtent l="0" t="0" r="0" b="0"/>
          <wp:wrapNone/>
          <wp:docPr id="5" name="Picture 5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FA8DF" w14:textId="77777777" w:rsidR="00B86DAB" w:rsidRDefault="00B86DAB" w:rsidP="002011FE">
      <w:pPr>
        <w:spacing w:after="0" w:line="240" w:lineRule="auto"/>
      </w:pPr>
      <w:r>
        <w:separator/>
      </w:r>
    </w:p>
  </w:footnote>
  <w:footnote w:type="continuationSeparator" w:id="0">
    <w:p w14:paraId="49BBCB0C" w14:textId="77777777" w:rsidR="00B86DAB" w:rsidRDefault="00B86DAB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3B2C"/>
    <w:multiLevelType w:val="hybridMultilevel"/>
    <w:tmpl w:val="ACEED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87F6E"/>
    <w:multiLevelType w:val="hybridMultilevel"/>
    <w:tmpl w:val="965CC91E"/>
    <w:lvl w:ilvl="0" w:tplc="7BD653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197C"/>
    <w:rsid w:val="0002272B"/>
    <w:rsid w:val="000C0F00"/>
    <w:rsid w:val="001115D7"/>
    <w:rsid w:val="00115500"/>
    <w:rsid w:val="001441DF"/>
    <w:rsid w:val="002011FE"/>
    <w:rsid w:val="002E5C34"/>
    <w:rsid w:val="003024DC"/>
    <w:rsid w:val="00380E38"/>
    <w:rsid w:val="003B73CE"/>
    <w:rsid w:val="003E00C2"/>
    <w:rsid w:val="00492E3C"/>
    <w:rsid w:val="004E6B5D"/>
    <w:rsid w:val="00633740"/>
    <w:rsid w:val="006E429F"/>
    <w:rsid w:val="00792FDC"/>
    <w:rsid w:val="007B0760"/>
    <w:rsid w:val="00845BAE"/>
    <w:rsid w:val="008E75AE"/>
    <w:rsid w:val="008F3A25"/>
    <w:rsid w:val="0094770A"/>
    <w:rsid w:val="0098467B"/>
    <w:rsid w:val="00A44A46"/>
    <w:rsid w:val="00A46FEB"/>
    <w:rsid w:val="00B86DAB"/>
    <w:rsid w:val="00BB1664"/>
    <w:rsid w:val="00C45D59"/>
    <w:rsid w:val="00C60DA4"/>
    <w:rsid w:val="00C97D71"/>
    <w:rsid w:val="00D7492C"/>
    <w:rsid w:val="00D927D2"/>
    <w:rsid w:val="00DD7FC5"/>
    <w:rsid w:val="00E3057C"/>
    <w:rsid w:val="00E334C2"/>
    <w:rsid w:val="00E536EE"/>
    <w:rsid w:val="00E604BF"/>
    <w:rsid w:val="00ED0C9B"/>
    <w:rsid w:val="00F514D2"/>
    <w:rsid w:val="00F90D0B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305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F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9B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laser-2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2.html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4</cp:revision>
  <cp:lastPrinted>2021-06-10T06:35:00Z</cp:lastPrinted>
  <dcterms:created xsi:type="dcterms:W3CDTF">2021-06-10T06:36:00Z</dcterms:created>
  <dcterms:modified xsi:type="dcterms:W3CDTF">2021-10-15T12:37:00Z</dcterms:modified>
</cp:coreProperties>
</file>