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E80" w:rsidRDefault="00554E80" w:rsidP="00554E80">
      <w:pPr>
        <w:pStyle w:val="Ttulo"/>
        <w:jc w:val="center"/>
        <w:rPr>
          <w:rFonts w:ascii="Helvética" w:hAnsi="Helvética"/>
          <w:b/>
          <w:sz w:val="32"/>
          <w:szCs w:val="32"/>
        </w:rPr>
      </w:pPr>
      <w:r w:rsidRPr="00554E80">
        <w:rPr>
          <w:rFonts w:ascii="Helvética" w:hAnsi="Helvética"/>
          <w:b/>
          <w:sz w:val="32"/>
          <w:szCs w:val="32"/>
        </w:rPr>
        <w:t>O Conceito de Mercado</w:t>
      </w:r>
    </w:p>
    <w:p w:rsidR="00554E80" w:rsidRPr="00554E80" w:rsidRDefault="00554E80" w:rsidP="00554E80"/>
    <w:p w:rsidR="006072D3" w:rsidRDefault="00195219"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 xml:space="preserve">O conceito de </w:t>
      </w:r>
      <w:r w:rsidRPr="00554E80">
        <w:rPr>
          <w:rFonts w:ascii="Times New Roman" w:hAnsi="Times New Roman" w:cs="Times New Roman"/>
          <w:b/>
          <w:u w:val="single"/>
        </w:rPr>
        <w:t>mercado</w:t>
      </w:r>
      <w:r w:rsidRPr="00554E80">
        <w:rPr>
          <w:rFonts w:ascii="Times New Roman" w:hAnsi="Times New Roman" w:cs="Times New Roman"/>
        </w:rPr>
        <w:t xml:space="preserve"> continua intimamente associada a ideia de local onde se efetuam transações entre produtores e consumidores. Consideramos essa noção restritiva, pelos seguintes aspectos:</w:t>
      </w:r>
    </w:p>
    <w:p w:rsidR="006320A5" w:rsidRPr="00554E80" w:rsidRDefault="006320A5" w:rsidP="006320A5">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 xml:space="preserve">De facto, estão a surgir com grande frequência </w:t>
      </w:r>
      <w:r w:rsidRPr="006320A5">
        <w:rPr>
          <w:rFonts w:ascii="Times New Roman" w:hAnsi="Times New Roman" w:cs="Times New Roman"/>
          <w:b/>
        </w:rPr>
        <w:t>formas imateriais de mercado</w:t>
      </w:r>
      <w:bookmarkStart w:id="0" w:name="_GoBack"/>
      <w:bookmarkEnd w:id="0"/>
      <w:r w:rsidRPr="00554E80">
        <w:rPr>
          <w:rFonts w:ascii="Times New Roman" w:hAnsi="Times New Roman" w:cs="Times New Roman"/>
        </w:rPr>
        <w:t xml:space="preserve"> (...).</w:t>
      </w:r>
    </w:p>
    <w:p w:rsidR="00195219" w:rsidRPr="00554E80" w:rsidRDefault="00195219"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 xml:space="preserve">O mercado é hoje um espaço de realização de operações econômicas de </w:t>
      </w:r>
      <w:r w:rsidRPr="006320A5">
        <w:rPr>
          <w:rFonts w:ascii="Times New Roman" w:hAnsi="Times New Roman" w:cs="Times New Roman"/>
          <w:b/>
          <w:i/>
          <w:u w:val="single"/>
        </w:rPr>
        <w:t>compra</w:t>
      </w:r>
      <w:r w:rsidRPr="00554E80">
        <w:rPr>
          <w:rFonts w:ascii="Times New Roman" w:hAnsi="Times New Roman" w:cs="Times New Roman"/>
        </w:rPr>
        <w:t xml:space="preserve"> e venda que vai além dos seus contornos </w:t>
      </w:r>
      <w:r w:rsidRPr="006320A5">
        <w:rPr>
          <w:rFonts w:ascii="Times New Roman" w:hAnsi="Times New Roman" w:cs="Times New Roman"/>
          <w:b/>
        </w:rPr>
        <w:t>físicos</w:t>
      </w:r>
      <w:r w:rsidRPr="00554E80">
        <w:rPr>
          <w:rFonts w:ascii="Times New Roman" w:hAnsi="Times New Roman" w:cs="Times New Roman"/>
        </w:rPr>
        <w:t xml:space="preserve"> e mesmo </w:t>
      </w:r>
      <w:r w:rsidRPr="006320A5">
        <w:rPr>
          <w:rFonts w:ascii="Times New Roman" w:hAnsi="Times New Roman" w:cs="Times New Roman"/>
          <w:b/>
        </w:rPr>
        <w:t>temporais</w:t>
      </w:r>
      <w:r w:rsidRPr="006320A5">
        <w:rPr>
          <w:rFonts w:ascii="Times New Roman" w:hAnsi="Times New Roman" w:cs="Times New Roman"/>
        </w:rPr>
        <w:t>.</w:t>
      </w:r>
    </w:p>
    <w:p w:rsidR="00195219" w:rsidRPr="00554E80" w:rsidRDefault="00195219"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 xml:space="preserve">Essas formas de mercado lançam, mão dos meios proporcionados pela sociedade de informação, possibilitando a realização de </w:t>
      </w:r>
      <w:r w:rsidRPr="006320A5">
        <w:rPr>
          <w:rFonts w:ascii="Times New Roman" w:hAnsi="Times New Roman" w:cs="Times New Roman"/>
          <w:b/>
          <w:i/>
          <w:u w:val="single"/>
        </w:rPr>
        <w:t>compras</w:t>
      </w:r>
      <w:r w:rsidRPr="00554E80">
        <w:rPr>
          <w:rFonts w:ascii="Times New Roman" w:hAnsi="Times New Roman" w:cs="Times New Roman"/>
        </w:rPr>
        <w:t xml:space="preserve"> e vendas em casa, pela simples manutenção interativa de um ecrã de televisão ou, mais simplesmente, através de um telefonema para um número fornecido por aquele ecrã, com entrega imediata no domicílio ou pelo correio, como é o uso da chamada televisão comercial.</w:t>
      </w:r>
    </w:p>
    <w:p w:rsidR="00195219" w:rsidRPr="00554E80" w:rsidRDefault="00195219"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 xml:space="preserve">Existem operações de </w:t>
      </w:r>
      <w:r w:rsidRPr="006320A5">
        <w:rPr>
          <w:rFonts w:ascii="Times New Roman" w:hAnsi="Times New Roman" w:cs="Times New Roman"/>
          <w:b/>
          <w:i/>
          <w:u w:val="single"/>
        </w:rPr>
        <w:t>compra</w:t>
      </w:r>
      <w:r w:rsidRPr="00554E80">
        <w:rPr>
          <w:rFonts w:ascii="Times New Roman" w:hAnsi="Times New Roman" w:cs="Times New Roman"/>
        </w:rPr>
        <w:t xml:space="preserve"> e venda que se contratam hoje e se realizam apenas daqui a alguns meses (como por exemplo nos </w:t>
      </w:r>
      <w:r w:rsidRPr="006320A5">
        <w:rPr>
          <w:rFonts w:ascii="Times New Roman" w:hAnsi="Times New Roman" w:cs="Times New Roman"/>
          <w:b/>
        </w:rPr>
        <w:t>mercados de futuros</w:t>
      </w:r>
      <w:r w:rsidRPr="00554E80">
        <w:rPr>
          <w:rFonts w:ascii="Times New Roman" w:hAnsi="Times New Roman" w:cs="Times New Roman"/>
        </w:rPr>
        <w:t>, caso dos mercados de cereais nos Estados Unidos da América, ...).</w:t>
      </w:r>
    </w:p>
    <w:p w:rsidR="00195219" w:rsidRPr="00554E80" w:rsidRDefault="00B936F7"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Por outro lado,</w:t>
      </w:r>
      <w:r w:rsidR="00195219" w:rsidRPr="00554E80">
        <w:rPr>
          <w:rFonts w:ascii="Times New Roman" w:hAnsi="Times New Roman" w:cs="Times New Roman"/>
        </w:rPr>
        <w:t xml:space="preserve"> existe uma diversidade de mercados, que vai desde os mercados de produtos finais ou de consumo final aos mercados de produtos intermédios e de fatores produtivos, bem como ao mercado de trabalho ou à </w:t>
      </w:r>
      <w:r w:rsidR="00195219" w:rsidRPr="006320A5">
        <w:rPr>
          <w:rFonts w:ascii="Times New Roman" w:hAnsi="Times New Roman" w:cs="Times New Roman"/>
          <w:b/>
        </w:rPr>
        <w:t>bolsa</w:t>
      </w:r>
      <w:r w:rsidR="00195219" w:rsidRPr="00554E80">
        <w:rPr>
          <w:rFonts w:ascii="Times New Roman" w:hAnsi="Times New Roman" w:cs="Times New Roman"/>
        </w:rPr>
        <w:t xml:space="preserve"> ou </w:t>
      </w:r>
      <w:r w:rsidR="00195219" w:rsidRPr="006320A5">
        <w:rPr>
          <w:rFonts w:ascii="Times New Roman" w:hAnsi="Times New Roman" w:cs="Times New Roman"/>
          <w:b/>
        </w:rPr>
        <w:t>mercado de valores imobiliários</w:t>
      </w:r>
      <w:r w:rsidR="00195219" w:rsidRPr="00554E80">
        <w:rPr>
          <w:rFonts w:ascii="Times New Roman" w:hAnsi="Times New Roman" w:cs="Times New Roman"/>
        </w:rPr>
        <w:t xml:space="preserve">. Aos mercados </w:t>
      </w:r>
      <w:r w:rsidR="00195219" w:rsidRPr="006320A5">
        <w:rPr>
          <w:rFonts w:ascii="Times New Roman" w:hAnsi="Times New Roman" w:cs="Times New Roman"/>
          <w:b/>
        </w:rPr>
        <w:t>nacionais</w:t>
      </w:r>
      <w:r w:rsidR="00195219" w:rsidRPr="00554E80">
        <w:rPr>
          <w:rFonts w:ascii="Times New Roman" w:hAnsi="Times New Roman" w:cs="Times New Roman"/>
        </w:rPr>
        <w:t xml:space="preserve"> sobrepõe-se os</w:t>
      </w:r>
      <w:r w:rsidR="00195219" w:rsidRPr="006320A5">
        <w:rPr>
          <w:rFonts w:ascii="Times New Roman" w:hAnsi="Times New Roman" w:cs="Times New Roman"/>
        </w:rPr>
        <w:t xml:space="preserve"> </w:t>
      </w:r>
      <w:r w:rsidR="00195219" w:rsidRPr="006320A5">
        <w:rPr>
          <w:rFonts w:ascii="Times New Roman" w:hAnsi="Times New Roman" w:cs="Times New Roman"/>
          <w:b/>
        </w:rPr>
        <w:t>mercados transnacionais</w:t>
      </w:r>
      <w:r w:rsidR="00195219" w:rsidRPr="00554E80">
        <w:rPr>
          <w:rFonts w:ascii="Times New Roman" w:hAnsi="Times New Roman" w:cs="Times New Roman"/>
        </w:rPr>
        <w:t>, de natureza informal, ou de diversos a</w:t>
      </w:r>
      <w:r w:rsidRPr="00554E80">
        <w:rPr>
          <w:rFonts w:ascii="Times New Roman" w:hAnsi="Times New Roman" w:cs="Times New Roman"/>
        </w:rPr>
        <w:t>c</w:t>
      </w:r>
      <w:r w:rsidR="00195219" w:rsidRPr="00554E80">
        <w:rPr>
          <w:rFonts w:ascii="Times New Roman" w:hAnsi="Times New Roman" w:cs="Times New Roman"/>
        </w:rPr>
        <w:t>ordos de comércio livre, uniões aduaneiras ou comunidades econômicas.</w:t>
      </w:r>
    </w:p>
    <w:p w:rsidR="00195219" w:rsidRPr="00554E80" w:rsidRDefault="00195219" w:rsidP="00554E80">
      <w:pPr>
        <w:spacing w:before="120" w:after="120" w:line="360" w:lineRule="auto"/>
        <w:ind w:firstLine="708"/>
        <w:jc w:val="both"/>
        <w:rPr>
          <w:rFonts w:ascii="Times New Roman" w:hAnsi="Times New Roman" w:cs="Times New Roman"/>
        </w:rPr>
      </w:pPr>
      <w:r w:rsidRPr="00554E80">
        <w:rPr>
          <w:rFonts w:ascii="Times New Roman" w:hAnsi="Times New Roman" w:cs="Times New Roman"/>
        </w:rPr>
        <w:t>Tudo são razões para que se considere a noção de mercado como relativa e circunstancial, além de mutável no tempo.</w:t>
      </w:r>
    </w:p>
    <w:p w:rsidR="00195219" w:rsidRPr="006320A5" w:rsidRDefault="00195219" w:rsidP="00554E80">
      <w:pPr>
        <w:spacing w:before="120" w:after="120" w:line="360" w:lineRule="auto"/>
        <w:ind w:firstLine="708"/>
        <w:jc w:val="both"/>
        <w:rPr>
          <w:rFonts w:ascii="Times New Roman" w:hAnsi="Times New Roman" w:cs="Times New Roman"/>
          <w:u w:val="single"/>
        </w:rPr>
      </w:pPr>
      <w:r w:rsidRPr="00554E80">
        <w:rPr>
          <w:rFonts w:ascii="Times New Roman" w:hAnsi="Times New Roman" w:cs="Times New Roman"/>
        </w:rPr>
        <w:t>Uma coisa é certa: num mercado existe sempre intenç</w:t>
      </w:r>
      <w:r w:rsidR="00B936F7" w:rsidRPr="00554E80">
        <w:rPr>
          <w:rFonts w:ascii="Times New Roman" w:hAnsi="Times New Roman" w:cs="Times New Roman"/>
        </w:rPr>
        <w:t>õ</w:t>
      </w:r>
      <w:r w:rsidRPr="00554E80">
        <w:rPr>
          <w:rFonts w:ascii="Times New Roman" w:hAnsi="Times New Roman" w:cs="Times New Roman"/>
        </w:rPr>
        <w:t xml:space="preserve">es de </w:t>
      </w:r>
      <w:r w:rsidRPr="006320A5">
        <w:rPr>
          <w:rFonts w:ascii="Times New Roman" w:hAnsi="Times New Roman" w:cs="Times New Roman"/>
          <w:b/>
          <w:i/>
          <w:u w:val="single"/>
        </w:rPr>
        <w:t>c</w:t>
      </w:r>
      <w:r w:rsidR="00B936F7" w:rsidRPr="006320A5">
        <w:rPr>
          <w:rFonts w:ascii="Times New Roman" w:hAnsi="Times New Roman" w:cs="Times New Roman"/>
          <w:b/>
          <w:i/>
          <w:u w:val="single"/>
        </w:rPr>
        <w:t>o</w:t>
      </w:r>
      <w:r w:rsidRPr="006320A5">
        <w:rPr>
          <w:rFonts w:ascii="Times New Roman" w:hAnsi="Times New Roman" w:cs="Times New Roman"/>
          <w:b/>
          <w:i/>
          <w:u w:val="single"/>
        </w:rPr>
        <w:t>mpra</w:t>
      </w:r>
      <w:r w:rsidRPr="00554E80">
        <w:rPr>
          <w:rFonts w:ascii="Times New Roman" w:hAnsi="Times New Roman" w:cs="Times New Roman"/>
        </w:rPr>
        <w:t xml:space="preserve"> (</w:t>
      </w:r>
      <w:r w:rsidRPr="006320A5">
        <w:rPr>
          <w:rFonts w:ascii="Times New Roman" w:hAnsi="Times New Roman" w:cs="Times New Roman"/>
          <w:b/>
          <w:i/>
          <w:u w:val="single"/>
        </w:rPr>
        <w:t>compra</w:t>
      </w:r>
      <w:r w:rsidRPr="00554E80">
        <w:rPr>
          <w:rFonts w:ascii="Times New Roman" w:hAnsi="Times New Roman" w:cs="Times New Roman"/>
        </w:rPr>
        <w:t>), intenções de</w:t>
      </w:r>
      <w:r w:rsidR="0033681F" w:rsidRPr="00554E80">
        <w:rPr>
          <w:rFonts w:ascii="Times New Roman" w:hAnsi="Times New Roman" w:cs="Times New Roman"/>
        </w:rPr>
        <w:t xml:space="preserve"> venda (</w:t>
      </w:r>
      <w:r w:rsidR="0033681F" w:rsidRPr="006320A5">
        <w:rPr>
          <w:rFonts w:ascii="Times New Roman" w:hAnsi="Times New Roman" w:cs="Times New Roman"/>
          <w:b/>
        </w:rPr>
        <w:t>oferta</w:t>
      </w:r>
      <w:r w:rsidR="0033681F" w:rsidRPr="00554E80">
        <w:rPr>
          <w:rFonts w:ascii="Times New Roman" w:hAnsi="Times New Roman" w:cs="Times New Roman"/>
        </w:rPr>
        <w:t>), um preço e uma situação de equilíbrio mais ou menos estável fornecida por esse preço e pela quantidade correspondente.</w:t>
      </w:r>
    </w:p>
    <w:p w:rsidR="0033681F" w:rsidRPr="00195219" w:rsidRDefault="0033681F" w:rsidP="00554E80">
      <w:pPr>
        <w:jc w:val="right"/>
      </w:pPr>
      <w:r w:rsidRPr="00554E80">
        <w:rPr>
          <w:i/>
        </w:rPr>
        <w:t>Extraído de: Tinto, G., Introdução à Economia, 1995</w:t>
      </w:r>
      <w:r>
        <w:t>.</w:t>
      </w:r>
    </w:p>
    <w:sectPr w:rsidR="0033681F" w:rsidRPr="00195219" w:rsidSect="006320A5">
      <w:headerReference w:type="default" r:id="rId6"/>
      <w:footerReference w:type="default" r:id="rId7"/>
      <w:pgSz w:w="11906" w:h="16838"/>
      <w:pgMar w:top="1134" w:right="1418" w:bottom="1134" w:left="1701"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E68" w:rsidRDefault="00682E68" w:rsidP="00130C9D">
      <w:pPr>
        <w:spacing w:after="0" w:line="240" w:lineRule="auto"/>
      </w:pPr>
      <w:r>
        <w:separator/>
      </w:r>
    </w:p>
  </w:endnote>
  <w:endnote w:type="continuationSeparator" w:id="0">
    <w:p w:rsidR="00682E68" w:rsidRDefault="00682E68" w:rsidP="0013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ética">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C9D" w:rsidRPr="00130C9D" w:rsidRDefault="006320A5" w:rsidP="00130C9D">
    <w:pPr>
      <w:pStyle w:val="Rodap"/>
    </w:pPr>
    <w:r w:rsidRPr="006320A5">
      <w:rPr>
        <w:i/>
        <w:u w:val="single"/>
      </w:rPr>
      <w:t>Sistemas Operacionais</w:t>
    </w:r>
    <w:r w:rsidR="00130C9D">
      <w:tab/>
    </w:r>
    <w:r w:rsidR="00130C9D">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E68" w:rsidRDefault="00682E68" w:rsidP="00130C9D">
      <w:pPr>
        <w:spacing w:after="0" w:line="240" w:lineRule="auto"/>
      </w:pPr>
      <w:r>
        <w:separator/>
      </w:r>
    </w:p>
  </w:footnote>
  <w:footnote w:type="continuationSeparator" w:id="0">
    <w:p w:rsidR="00682E68" w:rsidRDefault="00682E68" w:rsidP="00130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959357"/>
      <w:docPartObj>
        <w:docPartGallery w:val="Page Numbers (Top of Page)"/>
        <w:docPartUnique/>
      </w:docPartObj>
    </w:sdtPr>
    <w:sdtContent>
      <w:p w:rsidR="00130C9D" w:rsidRPr="00130C9D" w:rsidRDefault="006320A5" w:rsidP="00130C9D">
        <w:pPr>
          <w:pStyle w:val="Rodap"/>
          <w:rPr>
            <w:i/>
            <w:u w:val="single"/>
          </w:rPr>
        </w:pPr>
        <w:r>
          <w:rPr>
            <w:u w:val="single"/>
          </w:rPr>
          <w:t>Lorenzo Oliveira Zimbres – N° 21</w:t>
        </w:r>
        <w:r w:rsidR="00130C9D">
          <w:rPr>
            <w:u w:val="single"/>
          </w:rPr>
          <w:tab/>
        </w:r>
        <w:r w:rsidR="00130C9D">
          <w:rPr>
            <w:u w:val="single"/>
          </w:rPr>
          <w:tab/>
        </w:r>
        <w:r w:rsidR="00130C9D" w:rsidRPr="00130C9D">
          <w:rPr>
            <w:i/>
            <w:u w:val="single"/>
          </w:rPr>
          <w:t>Microsoft Word</w:t>
        </w:r>
      </w:p>
    </w:sdtContent>
  </w:sdt>
  <w:p w:rsidR="00130C9D" w:rsidRDefault="00130C9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19"/>
    <w:rsid w:val="00130C9D"/>
    <w:rsid w:val="00195219"/>
    <w:rsid w:val="0033681F"/>
    <w:rsid w:val="00554E80"/>
    <w:rsid w:val="006320A5"/>
    <w:rsid w:val="00682E68"/>
    <w:rsid w:val="007204A6"/>
    <w:rsid w:val="00B936F7"/>
    <w:rsid w:val="00E671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BBACB"/>
  <w15:chartTrackingRefBased/>
  <w15:docId w15:val="{228B54C7-6BB0-40D6-8344-40D615F8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30C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0C9D"/>
  </w:style>
  <w:style w:type="paragraph" w:styleId="Rodap">
    <w:name w:val="footer"/>
    <w:basedOn w:val="Normal"/>
    <w:link w:val="RodapChar"/>
    <w:uiPriority w:val="99"/>
    <w:unhideWhenUsed/>
    <w:rsid w:val="00130C9D"/>
    <w:pPr>
      <w:tabs>
        <w:tab w:val="center" w:pos="4252"/>
        <w:tab w:val="right" w:pos="8504"/>
      </w:tabs>
      <w:spacing w:after="0" w:line="240" w:lineRule="auto"/>
    </w:pPr>
  </w:style>
  <w:style w:type="character" w:customStyle="1" w:styleId="RodapChar">
    <w:name w:val="Rodapé Char"/>
    <w:basedOn w:val="Fontepargpadro"/>
    <w:link w:val="Rodap"/>
    <w:uiPriority w:val="99"/>
    <w:rsid w:val="00130C9D"/>
  </w:style>
  <w:style w:type="paragraph" w:styleId="Ttulo">
    <w:name w:val="Title"/>
    <w:basedOn w:val="Normal"/>
    <w:next w:val="Normal"/>
    <w:link w:val="TtuloChar"/>
    <w:uiPriority w:val="10"/>
    <w:qFormat/>
    <w:rsid w:val="00554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4E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291</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2023-04-27T18:03:00Z</dcterms:created>
  <dcterms:modified xsi:type="dcterms:W3CDTF">2023-04-27T19:09:00Z</dcterms:modified>
</cp:coreProperties>
</file>