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26" w:rsidRPr="004E5A32" w:rsidRDefault="00DB3EBC">
      <w:pPr>
        <w:rPr>
          <w:b/>
          <w:color w:val="000000"/>
          <w:sz w:val="23"/>
          <w:szCs w:val="23"/>
          <w:shd w:val="clear" w:color="auto" w:fill="FFFFFF"/>
        </w:rPr>
      </w:pPr>
      <w:r w:rsidRPr="004E5A32">
        <w:rPr>
          <w:rStyle w:val="s2"/>
          <w:b/>
          <w:color w:val="000000"/>
          <w:sz w:val="23"/>
          <w:szCs w:val="23"/>
          <w:shd w:val="clear" w:color="auto" w:fill="FFFFFF"/>
        </w:rPr>
        <w:t>30.​ </w:t>
      </w:r>
      <w:r w:rsidRPr="004E5A32">
        <w:rPr>
          <w:b/>
          <w:color w:val="000000"/>
          <w:sz w:val="23"/>
          <w:szCs w:val="23"/>
          <w:shd w:val="clear" w:color="auto" w:fill="FFFFFF"/>
        </w:rPr>
        <w:t>Диаграммы DFD. Назначение. Основные элементы диаграмм.</w:t>
      </w:r>
    </w:p>
    <w:p w:rsidR="00DB3EBC" w:rsidRDefault="00DB3EBC">
      <w:r>
        <w:rPr>
          <w:noProof/>
          <w:lang w:eastAsia="ru-RU"/>
        </w:rPr>
        <w:drawing>
          <wp:inline distT="0" distB="0" distL="0" distR="0">
            <wp:extent cx="5940425" cy="3331899"/>
            <wp:effectExtent l="19050" t="0" r="3175" b="0"/>
            <wp:docPr id="1" name="Рисунок 1" descr="http://vernikov.ru/images/stories/model-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ernikov.ru/images/stories/model-3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EBC" w:rsidRDefault="00DB3EBC">
      <w:r>
        <w:rPr>
          <w:lang w:val="en-US"/>
        </w:rPr>
        <w:t>DFD</w:t>
      </w:r>
      <w:r w:rsidRPr="00DB3EBC">
        <w:t xml:space="preserve"> (</w:t>
      </w:r>
      <w:r>
        <w:rPr>
          <w:lang w:val="en-US"/>
        </w:rPr>
        <w:t>Data</w:t>
      </w:r>
      <w:r w:rsidRPr="00DB3EBC">
        <w:t xml:space="preserve"> </w:t>
      </w:r>
      <w:r>
        <w:rPr>
          <w:lang w:val="en-US"/>
        </w:rPr>
        <w:t>Flow</w:t>
      </w:r>
      <w:r w:rsidRPr="00DB3EBC">
        <w:t xml:space="preserve"> </w:t>
      </w:r>
      <w:r>
        <w:rPr>
          <w:lang w:val="en-US"/>
        </w:rPr>
        <w:t>Diagram</w:t>
      </w:r>
      <w:r w:rsidRPr="00DB3EBC">
        <w:t xml:space="preserve">) </w:t>
      </w:r>
      <w:r>
        <w:t>– диаграмма потоков данных</w:t>
      </w:r>
    </w:p>
    <w:p w:rsidR="008A18AB" w:rsidRDefault="008A18AB" w:rsidP="008A18AB">
      <w:r>
        <w:t>Диаграммы потоков данных (DFD) - это способ представления процессов обработки информации. Подобно IDEF0, DFD представляет систему как сеть процессов, связа</w:t>
      </w:r>
      <w:bookmarkStart w:id="0" w:name="_GoBack"/>
      <w:bookmarkEnd w:id="0"/>
      <w:r>
        <w:t>нных между собой с помощью стрелок.</w:t>
      </w:r>
    </w:p>
    <w:p w:rsidR="008A18AB" w:rsidRDefault="008A18AB" w:rsidP="008A18AB">
      <w:r>
        <w:t xml:space="preserve"> Стрелки DFD (потоки данных) показывают, как объекты (включая и данные) перемещаются от одной функции к другой. Это представление потока данных обеспечивает отражение в модели DFD таких физических характеристик системы, как движение объектов, хранение объектов, распространение объектов.</w:t>
      </w:r>
    </w:p>
    <w:p w:rsidR="008A18AB" w:rsidRDefault="008A18AB" w:rsidP="008A18AB">
      <w:r>
        <w:t xml:space="preserve">Диаграммы DFD обеспечивают удобный способ описания передаваемой </w:t>
      </w:r>
      <w:proofErr w:type="gramStart"/>
      <w:r>
        <w:t>информации</w:t>
      </w:r>
      <w:proofErr w:type="gramEnd"/>
      <w:r>
        <w:t xml:space="preserve"> как между частями моделируемой системы, так и между системой и внешним миром. Это качество определяет область применения DFD - они используются для создания моделей информационного обмена организации, например, модели документооборота. Также DFD широко применяется при построении корпоративных информационных систем.</w:t>
      </w:r>
    </w:p>
    <w:p w:rsidR="008A18AB" w:rsidRDefault="008A18AB" w:rsidP="008A18AB">
      <w:r w:rsidRPr="008A18AB">
        <w:t xml:space="preserve">Диаграммы верхних уровней иерархии (контекстные диаграммы) определяют основные процессы или подсистемы организации с внешними входами и выходами. Они детализируются при помощи диаграмм нижнего уровня. Такая декомпозиция продолжается, создавая многоуровневую иерархию диаграмм, до тех пор, пока не </w:t>
      </w:r>
      <w:proofErr w:type="gramStart"/>
      <w:r w:rsidRPr="008A18AB">
        <w:t>будет</w:t>
      </w:r>
      <w:proofErr w:type="gramEnd"/>
      <w:r w:rsidRPr="008A18AB">
        <w:t xml:space="preserve"> достигнут такой уровень декомпозиции, на котором процессы становятся элементарными подсистемам или процессам и детализировать их далее нецелесообразно.</w:t>
      </w:r>
    </w:p>
    <w:p w:rsidR="008A18AB" w:rsidRDefault="008A18AB" w:rsidP="008A18AB">
      <w:r>
        <w:t xml:space="preserve">основными компонентами диаграмм потоков данных являются: </w:t>
      </w:r>
    </w:p>
    <w:p w:rsidR="008A18AB" w:rsidRDefault="008A18AB" w:rsidP="008A18AB">
      <w:pPr>
        <w:pStyle w:val="a5"/>
        <w:numPr>
          <w:ilvl w:val="0"/>
          <w:numId w:val="1"/>
        </w:numPr>
      </w:pPr>
      <w:r>
        <w:t xml:space="preserve">внешние сущности; </w:t>
      </w:r>
    </w:p>
    <w:p w:rsidR="008A18AB" w:rsidRDefault="008A18AB" w:rsidP="008A18AB">
      <w:pPr>
        <w:pStyle w:val="a5"/>
        <w:numPr>
          <w:ilvl w:val="0"/>
          <w:numId w:val="1"/>
        </w:numPr>
      </w:pPr>
      <w:r>
        <w:t xml:space="preserve">подсистемы; </w:t>
      </w:r>
    </w:p>
    <w:p w:rsidR="008A18AB" w:rsidRDefault="008A18AB" w:rsidP="008A18AB">
      <w:pPr>
        <w:pStyle w:val="a5"/>
        <w:numPr>
          <w:ilvl w:val="0"/>
          <w:numId w:val="1"/>
        </w:numPr>
      </w:pPr>
      <w:r>
        <w:t xml:space="preserve">процессы; </w:t>
      </w:r>
    </w:p>
    <w:p w:rsidR="008A18AB" w:rsidRDefault="008A18AB" w:rsidP="008A18AB">
      <w:pPr>
        <w:pStyle w:val="a5"/>
        <w:numPr>
          <w:ilvl w:val="0"/>
          <w:numId w:val="1"/>
        </w:numPr>
      </w:pPr>
      <w:r>
        <w:lastRenderedPageBreak/>
        <w:t xml:space="preserve">накопители данных; </w:t>
      </w:r>
    </w:p>
    <w:p w:rsidR="008A18AB" w:rsidRDefault="008A18AB" w:rsidP="008A18AB">
      <w:pPr>
        <w:pStyle w:val="a5"/>
        <w:numPr>
          <w:ilvl w:val="0"/>
          <w:numId w:val="1"/>
        </w:numPr>
      </w:pPr>
      <w:r>
        <w:t>потоки данных.</w:t>
      </w:r>
    </w:p>
    <w:p w:rsidR="008A18AB" w:rsidRDefault="008A18AB" w:rsidP="008A18AB"/>
    <w:p w:rsidR="008A18AB" w:rsidRDefault="008A18AB" w:rsidP="008A18AB">
      <w:r w:rsidRPr="008A18AB">
        <w:rPr>
          <w:b/>
        </w:rPr>
        <w:t>Внешняя сущность</w:t>
      </w:r>
      <w:r>
        <w:t xml:space="preserve"> представляет собой материальный предмет или физическое лицо, представляющее собой источник или приемник информации, например, заказчики, персонал, поставщики, клиенты, склад. Определение некоторого объекта или системы в качестве внешней сущности указывает на то, что она находится за пределами границ анализируемой системы. В процессе анализа некоторые внешние сущности могут быть перенесены внутрь диаграммы анализируемой организации, если это необходимо, или, наоборот, часть процессов организации может быть вынесена за пределы диаграммы и представлена как внешняя сущность. </w:t>
      </w:r>
    </w:p>
    <w:p w:rsidR="008A18AB" w:rsidRDefault="008A18AB" w:rsidP="008A18AB">
      <w:r>
        <w:t xml:space="preserve">Внешняя сущность обозначается квадратом (рис. 4.12), расположенным как бы "над" диаграммой и бросающим на нее тень, для того, чтобы можно было выделить этот символ среди других обозначений: </w:t>
      </w:r>
    </w:p>
    <w:p w:rsidR="008A18AB" w:rsidRDefault="008A18AB" w:rsidP="008A18AB"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238250" cy="876300"/>
            <wp:effectExtent l="19050" t="0" r="0" b="0"/>
            <wp:docPr id="20" name="Рисунок 20" descr="http://www.md-management.ru/articles/images/26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md-management.ru/articles/images/26-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F8" w:rsidRPr="00593FF8" w:rsidRDefault="00593FF8" w:rsidP="00593FF8">
      <w:pPr>
        <w:rPr>
          <w:b/>
        </w:rPr>
      </w:pPr>
      <w:r>
        <w:rPr>
          <w:b/>
        </w:rPr>
        <w:t>Подсистемы</w:t>
      </w:r>
    </w:p>
    <w:p w:rsidR="00593FF8" w:rsidRDefault="00593FF8" w:rsidP="00593FF8">
      <w:r>
        <w:t xml:space="preserve">При построении модели сложной организации она может быть представлена в самом общем виде на так называемой контекстной диаграмме в виде одной системы как единого целого, либо может быть декомпозирована на ряд </w:t>
      </w:r>
      <w:r w:rsidRPr="00593FF8">
        <w:t>подсистем</w:t>
      </w:r>
      <w:r>
        <w:t xml:space="preserve">. </w:t>
      </w:r>
    </w:p>
    <w:p w:rsidR="00593FF8" w:rsidRPr="00593FF8" w:rsidRDefault="00593FF8" w:rsidP="00593FF8">
      <w:r>
        <w:t>Подсистема на контекстной диаграмме изображается согласно представлению</w:t>
      </w:r>
      <w:r w:rsidRPr="00593FF8">
        <w:t>:</w:t>
      </w:r>
    </w:p>
    <w:p w:rsidR="00593FF8" w:rsidRDefault="00593FF8" w:rsidP="00593FF8">
      <w:r>
        <w:t xml:space="preserve"> </w:t>
      </w: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62350" cy="1133475"/>
            <wp:effectExtent l="0" t="0" r="0" b="0"/>
            <wp:docPr id="28" name="Рисунок 28" descr="http://www.md-management.ru/articles/images/26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md-management.ru/articles/images/26-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F8" w:rsidRDefault="00593FF8" w:rsidP="00593FF8">
      <w:r w:rsidRPr="00593FF8">
        <w:rPr>
          <w:b/>
        </w:rPr>
        <w:t>Процесс</w:t>
      </w:r>
      <w:r>
        <w:t xml:space="preserve"> представляет собой преобразование входных потоков данных в выходные в соответствии с определенным алгоритмом. Физически процесс может быть реализован различными способами: это может быть подразделение организации (отдел), выполняющее обработку входных документов и выпуск отчетов, программа, аппаратно реализованное логическое устройство и т.д. </w:t>
      </w:r>
    </w:p>
    <w:p w:rsidR="00593FF8" w:rsidRPr="004E5A32" w:rsidRDefault="00593FF8" w:rsidP="00593FF8">
      <w:r>
        <w:t>Процесс на диаграмме потоков данных изображается следующим образом</w:t>
      </w:r>
      <w:r w:rsidRPr="00593FF8">
        <w:t>:</w:t>
      </w:r>
    </w:p>
    <w:p w:rsidR="00593FF8" w:rsidRPr="00593FF8" w:rsidRDefault="00593FF8" w:rsidP="00593FF8">
      <w:pPr>
        <w:rPr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524250" cy="838200"/>
            <wp:effectExtent l="0" t="0" r="0" b="0"/>
            <wp:docPr id="36" name="Рисунок 36" descr="http://www.md-management.ru/articles/images/26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md-management.ru/articles/images/26-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F8" w:rsidRDefault="00593FF8" w:rsidP="00593FF8">
      <w:r>
        <w:lastRenderedPageBreak/>
        <w:t xml:space="preserve">Номер процесса служит для его идентификации. В поле имени вводится наименование процесса в виде предложения с активным недвусмысленным глаголом в неопределенной форме (вычислить, рассчитать, проверить, определить, создать, получить), за которым следуют существительные в винительном падеже, например: "Ввести сведения о клиентах"; "Выдать информацию о текущих расходах"; "Проверить кредитоспособность клиента". Использование таких глаголов, как "обработать", "модернизировать" или "отредактировать" означает, как правило, недостаточно глубокое понимание данного процесса и требует дальнейшего анализа. </w:t>
      </w:r>
    </w:p>
    <w:p w:rsidR="00593FF8" w:rsidRPr="004E5A32" w:rsidRDefault="00593FF8" w:rsidP="00593FF8">
      <w:r>
        <w:t>Информация в поле физической реализации показывает, какое подразделение организации, программа или аппаратное устройство выполняет данный процесс.</w:t>
      </w:r>
    </w:p>
    <w:p w:rsidR="00593FF8" w:rsidRPr="00593FF8" w:rsidRDefault="00593FF8" w:rsidP="00593FF8">
      <w:r w:rsidRPr="00593FF8">
        <w:rPr>
          <w:b/>
        </w:rPr>
        <w:t>Накопитель данных</w:t>
      </w:r>
      <w:r>
        <w:t xml:space="preserve"> представляет собой абстрактное устройство для хранения информации, которую можно в любой момент поместить в накопитель и через некоторое время извлечь, причем способы помещения и извлечения могут быть любыми. Накопитель данных может быть реализован физически в виде микрофиши, ящика в картотеке, таблицы в оперативной памяти, файла на магнитном носителе и т.д. </w:t>
      </w:r>
    </w:p>
    <w:p w:rsidR="00593FF8" w:rsidRPr="004E5A32" w:rsidRDefault="00593FF8" w:rsidP="00593FF8">
      <w:r>
        <w:t>Накопитель данных на диаграмме потоков данных изображается</w:t>
      </w:r>
      <w:r w:rsidRPr="00593FF8">
        <w:t xml:space="preserve"> </w:t>
      </w:r>
      <w:r>
        <w:t>следующим образом</w:t>
      </w:r>
      <w:r w:rsidRPr="00593FF8">
        <w:t>:</w:t>
      </w:r>
    </w:p>
    <w:p w:rsidR="00593FF8" w:rsidRPr="00593FF8" w:rsidRDefault="00593FF8" w:rsidP="00593FF8">
      <w:pPr>
        <w:rPr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1752600" cy="276225"/>
            <wp:effectExtent l="19050" t="0" r="0" b="0"/>
            <wp:docPr id="44" name="Рисунок 44" descr="http://www.md-management.ru/articles/images/26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md-management.ru/articles/images/26-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F8" w:rsidRPr="004E5A32" w:rsidRDefault="00593FF8" w:rsidP="00593FF8">
      <w:r>
        <w:t xml:space="preserve">Накопитель данных идентифицируется буквой "D" и произвольным числом. Имя накопителя выбирается из соображения наибольшей информативности для проектировщика. Накопитель данных в общем случае является прообразом будущей базы </w:t>
      </w:r>
      <w:proofErr w:type="gramStart"/>
      <w:r>
        <w:t>данных</w:t>
      </w:r>
      <w:proofErr w:type="gramEnd"/>
      <w:r>
        <w:t xml:space="preserve"> и описание хранящихся в нем данных должно быть увязано с информационной моделью.</w:t>
      </w:r>
    </w:p>
    <w:p w:rsidR="00593FF8" w:rsidRPr="00593FF8" w:rsidRDefault="00593FF8" w:rsidP="00593FF8">
      <w:r w:rsidRPr="00593FF8">
        <w:rPr>
          <w:b/>
        </w:rPr>
        <w:t>Поток данных</w:t>
      </w:r>
      <w:r w:rsidRPr="00593FF8">
        <w:t xml:space="preserve"> определяет информацию, передаваемую через некоторое соединение от источника к приемнику. Поток данных на диаграмме изображается линией, оканчивающейся стрелкой, которая показывает направление потока</w:t>
      </w:r>
    </w:p>
    <w:p w:rsidR="00593FF8" w:rsidRPr="004E5A32" w:rsidRDefault="00593FF8" w:rsidP="00593FF8">
      <w:r w:rsidRPr="004E5A32">
        <w:t xml:space="preserve">Каждый поток данных имеет имя, отражающее его содержание. </w:t>
      </w:r>
    </w:p>
    <w:p w:rsidR="00593FF8" w:rsidRDefault="00593FF8" w:rsidP="00593FF8">
      <w:pPr>
        <w:rPr>
          <w:lang w:val="en-US"/>
        </w:rPr>
      </w:pPr>
      <w:r>
        <w:rPr>
          <w:rFonts w:ascii="Arial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81425" cy="1295400"/>
            <wp:effectExtent l="19050" t="0" r="9525" b="0"/>
            <wp:docPr id="57" name="Рисунок 57" descr="http://www.md-management.ru/articles/images/26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md-management.ru/articles/images/26-5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F8" w:rsidRDefault="00593FF8" w:rsidP="00593FF8">
      <w:pPr>
        <w:rPr>
          <w:lang w:val="en-US"/>
        </w:rPr>
      </w:pPr>
    </w:p>
    <w:p w:rsidR="00593FF8" w:rsidRPr="00593FF8" w:rsidRDefault="00593FF8" w:rsidP="00593FF8">
      <w:r>
        <w:t>Доп. Ссылки</w:t>
      </w:r>
      <w:r w:rsidRPr="00593FF8">
        <w:t>:</w:t>
      </w:r>
    </w:p>
    <w:p w:rsidR="00593FF8" w:rsidRPr="00593FF8" w:rsidRDefault="00593FF8" w:rsidP="00593FF8">
      <w:r w:rsidRPr="00593FF8">
        <w:t xml:space="preserve"> </w:t>
      </w:r>
      <w:hyperlink r:id="rId12" w:history="1">
        <w:r w:rsidRPr="003825E1">
          <w:rPr>
            <w:rStyle w:val="a6"/>
            <w:lang w:val="en-US"/>
          </w:rPr>
          <w:t>http</w:t>
        </w:r>
        <w:r w:rsidRPr="003825E1">
          <w:rPr>
            <w:rStyle w:val="a6"/>
          </w:rPr>
          <w:t>://</w:t>
        </w:r>
        <w:r w:rsidRPr="003825E1">
          <w:rPr>
            <w:rStyle w:val="a6"/>
            <w:lang w:val="en-US"/>
          </w:rPr>
          <w:t>www</w:t>
        </w:r>
        <w:r w:rsidRPr="003825E1">
          <w:rPr>
            <w:rStyle w:val="a6"/>
          </w:rPr>
          <w:t>.</w:t>
        </w:r>
        <w:proofErr w:type="spellStart"/>
        <w:r w:rsidRPr="003825E1">
          <w:rPr>
            <w:rStyle w:val="a6"/>
            <w:lang w:val="en-US"/>
          </w:rPr>
          <w:t>kgau</w:t>
        </w:r>
        <w:proofErr w:type="spellEnd"/>
        <w:r w:rsidRPr="003825E1">
          <w:rPr>
            <w:rStyle w:val="a6"/>
          </w:rPr>
          <w:t>.</w:t>
        </w:r>
        <w:proofErr w:type="spellStart"/>
        <w:r w:rsidRPr="003825E1">
          <w:rPr>
            <w:rStyle w:val="a6"/>
            <w:lang w:val="en-US"/>
          </w:rPr>
          <w:t>ru</w:t>
        </w:r>
        <w:proofErr w:type="spellEnd"/>
        <w:r w:rsidRPr="003825E1">
          <w:rPr>
            <w:rStyle w:val="a6"/>
          </w:rPr>
          <w:t>/</w:t>
        </w:r>
        <w:proofErr w:type="spellStart"/>
        <w:r w:rsidRPr="003825E1">
          <w:rPr>
            <w:rStyle w:val="a6"/>
            <w:lang w:val="en-US"/>
          </w:rPr>
          <w:t>istiki</w:t>
        </w:r>
        <w:proofErr w:type="spellEnd"/>
        <w:r w:rsidRPr="003825E1">
          <w:rPr>
            <w:rStyle w:val="a6"/>
          </w:rPr>
          <w:t>/</w:t>
        </w:r>
        <w:proofErr w:type="spellStart"/>
        <w:r w:rsidRPr="003825E1">
          <w:rPr>
            <w:rStyle w:val="a6"/>
            <w:lang w:val="en-US"/>
          </w:rPr>
          <w:t>umk</w:t>
        </w:r>
        <w:proofErr w:type="spellEnd"/>
        <w:r w:rsidRPr="003825E1">
          <w:rPr>
            <w:rStyle w:val="a6"/>
          </w:rPr>
          <w:t>/</w:t>
        </w:r>
        <w:proofErr w:type="spellStart"/>
        <w:r w:rsidRPr="003825E1">
          <w:rPr>
            <w:rStyle w:val="a6"/>
            <w:lang w:val="en-US"/>
          </w:rPr>
          <w:t>mbp</w:t>
        </w:r>
        <w:proofErr w:type="spellEnd"/>
        <w:r w:rsidRPr="003825E1">
          <w:rPr>
            <w:rStyle w:val="a6"/>
          </w:rPr>
          <w:t>/</w:t>
        </w:r>
        <w:proofErr w:type="spellStart"/>
        <w:r w:rsidRPr="003825E1">
          <w:rPr>
            <w:rStyle w:val="a6"/>
            <w:lang w:val="en-US"/>
          </w:rPr>
          <w:t>ch</w:t>
        </w:r>
        <w:proofErr w:type="spellEnd"/>
        <w:r w:rsidRPr="003825E1">
          <w:rPr>
            <w:rStyle w:val="a6"/>
          </w:rPr>
          <w:t>13.</w:t>
        </w:r>
        <w:r w:rsidRPr="003825E1">
          <w:rPr>
            <w:rStyle w:val="a6"/>
            <w:lang w:val="en-US"/>
          </w:rPr>
          <w:t>html</w:t>
        </w:r>
      </w:hyperlink>
      <w:r w:rsidRPr="00593FF8">
        <w:t xml:space="preserve"> - </w:t>
      </w:r>
      <w:r>
        <w:t>альтернативные определения элементов диаграмм</w:t>
      </w:r>
    </w:p>
    <w:sectPr w:rsidR="00593FF8" w:rsidRPr="00593FF8" w:rsidSect="00250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C20E0"/>
    <w:multiLevelType w:val="hybridMultilevel"/>
    <w:tmpl w:val="C7CEB9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B3EBC"/>
    <w:rsid w:val="00250F26"/>
    <w:rsid w:val="00426A45"/>
    <w:rsid w:val="004E5A32"/>
    <w:rsid w:val="00593FF8"/>
    <w:rsid w:val="008A18AB"/>
    <w:rsid w:val="00DB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F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2">
    <w:name w:val="s2"/>
    <w:basedOn w:val="a0"/>
    <w:rsid w:val="00DB3EBC"/>
  </w:style>
  <w:style w:type="paragraph" w:styleId="a3">
    <w:name w:val="Balloon Text"/>
    <w:basedOn w:val="a"/>
    <w:link w:val="a4"/>
    <w:uiPriority w:val="99"/>
    <w:semiHidden/>
    <w:unhideWhenUsed/>
    <w:rsid w:val="00DB3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B3E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A18A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593F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www.kgau.ru/istiki/umk/mbp/ch1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Lorien</cp:lastModifiedBy>
  <cp:revision>2</cp:revision>
  <dcterms:created xsi:type="dcterms:W3CDTF">2014-03-23T06:35:00Z</dcterms:created>
  <dcterms:modified xsi:type="dcterms:W3CDTF">2014-03-23T12:43:00Z</dcterms:modified>
</cp:coreProperties>
</file>