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B57"/>
          <w:sz w:val="40"/>
          <w:szCs w:val="40"/>
        </w:rPr>
        <w:t xml:space="preserve">Angela Reinhold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Independent AI Safety Researcher  ·  Founder, Lorien's Library LLC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lorienslibrary@gmail.com  ·  ORCID 0009-0005-5803-8401  ·  github.com/LoriensLibrary  ·  lorienslibrary.netlify.app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AI safety researcher and full-stack engineer building provenance-aware persistent memory for human–AI interaction. Author of eleven DOI-registered preprints; designer and maintainer of CAMA, an open-source memory architecture with 380 tests in CI and a live operational deployment. Ships verifiable work: every research claim is linked to its proof and its scope boundary.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EXPERIENCE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Independent Researcher</w:t>
      </w:r>
      <w:r>
        <w:rPr>
          <w:rFonts w:ascii="Calibri" w:cs="Calibri" w:eastAsia="Calibri" w:hAnsi="Calibri"/>
          <w:sz w:val="21"/>
          <w:szCs w:val="21"/>
        </w:rPr>
        <w:t xml:space="preserve"> — Lorien's Library LLC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 Jan 2024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CAMA (Circular Associative Memory Architecture): </w:t>
      </w:r>
      <w:r>
        <w:rPr>
          <w:rFonts w:ascii="Calibri" w:cs="Calibri" w:eastAsia="Calibri" w:hAnsi="Calibri"/>
          <w:sz w:val="21"/>
          <w:szCs w:val="21"/>
        </w:rPr>
        <w:t xml:space="preserve">open-source provenance-aware persistent-memory system — Python MCP server (34 tools), public HTTP API, and SDK. Schema-enforced separation of user-authored teachings from AI-generated provisional inferences; 380 tests in CI (Python 3.10–3.12); 18-row threat model; 27/27 safety benchmarks passing against a live 53,000-memory corpus; retrieval latency p50 43 ms / p99 61 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Research program: </w:t>
      </w:r>
      <w:r>
        <w:rPr>
          <w:rFonts w:ascii="Calibri" w:cs="Calibri" w:eastAsia="Calibri" w:hAnsi="Calibri"/>
          <w:sz w:val="21"/>
          <w:szCs w:val="21"/>
        </w:rPr>
        <w:t xml:space="preserve">11 DOI-registered preprints on memory-as-safety-infrastructure, continuity burden, and applied domains (healthcare, K-12 education, long-duration spaceflight, veteran care); published aggregate dataset on HuggingFace from a 66,380-message longitudinal corpus.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Telos · for Kalos: </w:t>
      </w:r>
      <w:r>
        <w:rPr>
          <w:rFonts w:ascii="Calibri" w:cs="Calibri" w:eastAsia="Calibri" w:hAnsi="Calibri"/>
          <w:sz w:val="21"/>
          <w:szCs w:val="21"/>
        </w:rPr>
        <w:t xml:space="preserve">live-deployed React 19 + TypeScript health-tech prototype with serverless Claude API integration and end-to-end provenance trace; 42 tests across 6 suites in CI (telos-kalos.vercel.app).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Companion: </w:t>
      </w:r>
      <w:r>
        <w:rPr>
          <w:rFonts w:ascii="Calibri" w:cs="Calibri" w:eastAsia="Calibri" w:hAnsi="Calibri"/>
          <w:sz w:val="21"/>
          <w:szCs w:val="21"/>
        </w:rPr>
        <w:t xml:space="preserve">K-12 education design prototype applying CAMA principles with COPPA-aware consent design and Socratic tutoring constraints.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SELECTED PUBLICATIONS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Memory as Safety Infrastructure: Evaluating Provenance-Aware Persistent Memory Architectures for Stateful LLM Systems.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doi:10.5281/zenodo.19244253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Continuity Burden in Longitudinal Human-AI Interaction: An Empirical Case Study.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doi:10.5281/zenodo.19226509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Circular Associative Memory Architecture: A Framework for Emotionally-Keyed AI Memory Systems.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doi:10.5281/zenodo.19051834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Full list of 11 preprints: orcid.org/0009-0005-5803-8401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EDUCATION &amp; CERTIFICATIONS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B.S. Computer Science (AI concentration) — Full Sail University (in progress)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Model Context Protocol (MCP) certification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/ research: </w:t>
      </w:r>
      <w:r>
        <w:rPr>
          <w:rFonts w:ascii="Calibri" w:cs="Calibri" w:eastAsia="Calibri" w:hAnsi="Calibri"/>
          <w:sz w:val="21"/>
          <w:szCs w:val="21"/>
        </w:rPr>
        <w:t xml:space="preserve">persistent-memory architectures, provenance-aware data modeling, AI safety failure modes, semantic embeddings, prompt design, benchmark design, threat modeling, Anthropic SDK, Claude Code, MCP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Engineering: </w:t>
      </w:r>
      <w:r>
        <w:rPr>
          <w:rFonts w:ascii="Calibri" w:cs="Calibri" w:eastAsia="Calibri" w:hAnsi="Calibri"/>
          <w:sz w:val="21"/>
          <w:szCs w:val="21"/>
        </w:rPr>
        <w:t xml:space="preserve">Python, TypeScript (strict), JavaScript, React 19, React Router, Node.js, Vite, Tailwind CSS 4, REST API design, SQL (SQLite, PostgreSQL), JSONL pipelines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Quality &amp; delivery: </w:t>
      </w:r>
      <w:r>
        <w:rPr>
          <w:rFonts w:ascii="Calibri" w:cs="Calibri" w:eastAsia="Calibri" w:hAnsi="Calibri"/>
          <w:sz w:val="21"/>
          <w:szCs w:val="21"/>
        </w:rPr>
        <w:t xml:space="preserve">GitHub Actions CI/CD, unit &amp; integration testing (pytest, Vitest, React Testing Library), ESLint, Vercel deploys, AI-assisted code review, synthetic data modeling, health-tech privacy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2026-08-17T02:23:10.181Z</dcterms:created>
  <dcterms:modified xsi:type="dcterms:W3CDTF">2026-08-17T02:23:10.181Z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