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Sujet :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greenwashing et fairwashing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Conseil pour rechercher des informations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Bibliothèque dans l’ent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Supernova : Mots clée de recherche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Ou ressource en ligne : Toutes les disiplines puis dans cairn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Page 2 : cyberlibris (Manuel DCG pour la comptable), regarder le sommaire du manuel et chercher où il y a du vocabulaire(à tester sur plusieurs manuels si on est pas satisfait du résultat).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1ère def avec cairn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Trouver une deuxième def plus compréhensible et abordable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