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04358F1F"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Loris Pilotto;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B83A42"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152B3519"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A good supply chain is thus mandatory for the companies 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9AEBBC8"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productors 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1346A347"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r w:rsidRPr="00FD518F">
        <w:rPr>
          <w:rFonts w:ascii="Times New Roman" w:eastAsiaTheme="minorEastAsia" w:hAnsi="Times New Roman" w:cs="Times New Roman"/>
          <w:color w:val="000000" w:themeColor="text1"/>
          <w:sz w:val="24"/>
          <w:szCs w:val="24"/>
          <w:highlight w:val="lightGray"/>
          <w:lang w:val="en-US"/>
        </w:rPr>
        <w:t>PILOTTO</w:t>
      </w:r>
      <w:r w:rsidR="00FA7D58">
        <w:rPr>
          <w:rFonts w:ascii="Times New Roman" w:eastAsiaTheme="minorEastAsia" w:hAnsi="Times New Roman" w:cs="Times New Roman"/>
          <w:color w:val="000000" w:themeColor="text1"/>
          <w:sz w:val="24"/>
          <w:szCs w:val="24"/>
          <w:highlight w:val="lightGray"/>
          <w:lang w:val="en-US"/>
        </w:rPr>
        <w:t>-</w:t>
      </w:r>
      <w:r w:rsidRPr="00FD518F">
        <w:rPr>
          <w:rFonts w:ascii="Times New Roman" w:eastAsiaTheme="minorEastAsia" w:hAnsi="Times New Roman" w:cs="Times New Roman"/>
          <w:color w:val="000000" w:themeColor="text1"/>
          <w:sz w:val="24"/>
          <w:szCs w:val="24"/>
          <w:highlight w:val="lightGray"/>
          <w:lang w:val="en-US"/>
        </w:rPr>
        <w:t>Loris.xlsx</w:t>
      </w:r>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9"/>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480A4720"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282211">
        <w:rPr>
          <w:rFonts w:ascii="Times New Roman" w:eastAsiaTheme="minorEastAsia" w:hAnsi="Times New Roman" w:cs="Times New Roman"/>
          <w:color w:val="000000" w:themeColor="text1"/>
          <w:sz w:val="24"/>
          <w:szCs w:val="24"/>
          <w:lang w:val="en-US"/>
        </w:rPr>
        <w:t xml:space="preserve"> and V</w:t>
      </w:r>
      <w:r w:rsidR="00282211" w:rsidRPr="00187932">
        <w:rPr>
          <w:rFonts w:ascii="Times New Roman" w:eastAsiaTheme="minorEastAsia" w:hAnsi="Times New Roman" w:cs="Times New Roman"/>
          <w:color w:val="000000" w:themeColor="text1"/>
          <w:sz w:val="24"/>
          <w:szCs w:val="24"/>
          <w:vertAlign w:val="subscript"/>
          <w:lang w:val="en-US"/>
        </w:rPr>
        <w:t>t</w:t>
      </w:r>
      <w:r w:rsidR="00282211">
        <w:rPr>
          <w:rFonts w:ascii="Times New Roman" w:eastAsiaTheme="minorEastAsia" w:hAnsi="Times New Roman" w:cs="Times New Roman"/>
          <w:color w:val="000000" w:themeColor="text1"/>
          <w:sz w:val="24"/>
          <w:szCs w:val="24"/>
          <w:lang w:val="en-US"/>
        </w:rPr>
        <w:t xml:space="preserve"> = {6’000, 8’000, 10’000}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652C9D" w:rsidRDefault="00691264" w:rsidP="00691264">
      <w:pPr>
        <w:jc w:val="center"/>
        <w:rPr>
          <w:rFonts w:ascii="Times New Roman" w:eastAsiaTheme="minorEastAsia" w:hAnsi="Times New Roman" w:cs="Times New Roman"/>
          <w:b/>
          <w:bCs/>
          <w:color w:val="4472C4" w:themeColor="accent1"/>
          <w:sz w:val="20"/>
          <w:szCs w:val="20"/>
          <w:lang w:val="en-US"/>
        </w:rPr>
      </w:pPr>
    </w:p>
    <w:p w14:paraId="4F5D15A0" w14:textId="3EF405C3" w:rsidR="00187932" w:rsidRDefault="006375FA" w:rsidP="006375FA">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47D507FC" w14:textId="6FA48A09" w:rsidR="006375FA"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p>
    <w:p w14:paraId="7E13CCCF" w14:textId="58A526B8" w:rsidR="007F77EB" w:rsidRDefault="007F77EB" w:rsidP="007F77EB">
      <w:pPr>
        <w:rPr>
          <w:rFonts w:ascii="Times New Roman" w:eastAsiaTheme="minorEastAsia" w:hAnsi="Times New Roman" w:cs="Times New Roman"/>
          <w:color w:val="000000" w:themeColor="text1"/>
          <w:sz w:val="24"/>
          <w:szCs w:val="24"/>
          <w:lang w:val="en-US"/>
        </w:rPr>
      </w:pPr>
    </w:p>
    <w:p w14:paraId="361B6CCA" w14:textId="14AEAD01" w:rsidR="007F77EB" w:rsidRDefault="007F77EB" w:rsidP="007F77EB">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Reduce the cost of box b to C</w:t>
      </w:r>
      <w:r w:rsidRPr="007F77EB">
        <w:rPr>
          <w:rFonts w:ascii="Times New Roman" w:eastAsiaTheme="minorEastAsia" w:hAnsi="Times New Roman" w:cs="Times New Roman"/>
          <w:color w:val="000000" w:themeColor="text1"/>
          <w:sz w:val="24"/>
          <w:szCs w:val="24"/>
          <w:vertAlign w:val="subscript"/>
          <w:lang w:val="en-US"/>
        </w:rPr>
        <w:t>b</w:t>
      </w:r>
      <w:r>
        <w:rPr>
          <w:rFonts w:ascii="Times New Roman" w:eastAsiaTheme="minorEastAsia" w:hAnsi="Times New Roman" w:cs="Times New Roman"/>
          <w:color w:val="000000" w:themeColor="text1"/>
          <w:sz w:val="24"/>
          <w:szCs w:val="24"/>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5C62A763"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is still solvable with Excel </w:t>
      </w:r>
      <w:r w:rsidR="00B37465">
        <w:rPr>
          <w:rFonts w:ascii="Times New Roman" w:eastAsiaTheme="minorEastAsia" w:hAnsi="Times New Roman" w:cs="Times New Roman"/>
          <w:color w:val="000000" w:themeColor="text1"/>
          <w:sz w:val="24"/>
          <w:szCs w:val="24"/>
          <w:lang w:val="en-US"/>
        </w:rPr>
        <w:t>solver,</w:t>
      </w:r>
      <w:r>
        <w:rPr>
          <w:rFonts w:ascii="Times New Roman" w:eastAsiaTheme="minorEastAsia" w:hAnsi="Times New Roman" w:cs="Times New Roman"/>
          <w:color w:val="000000" w:themeColor="text1"/>
          <w:sz w:val="24"/>
          <w:szCs w:val="24"/>
          <w:lang w:val="en-US"/>
        </w:rPr>
        <w:t xml:space="preserve"> but a nonlinear solving method </w:t>
      </w:r>
      <w:r w:rsidR="00E34E40">
        <w:rPr>
          <w:rFonts w:ascii="Times New Roman" w:eastAsiaTheme="minorEastAsia" w:hAnsi="Times New Roman" w:cs="Times New Roman"/>
          <w:color w:val="000000" w:themeColor="text1"/>
          <w:sz w:val="24"/>
          <w:szCs w:val="24"/>
          <w:lang w:val="en-US"/>
        </w:rPr>
        <w:t xml:space="preserve">(like ‘GRG non-linear’) </w:t>
      </w:r>
      <w:r>
        <w:rPr>
          <w:rFonts w:ascii="Times New Roman" w:eastAsiaTheme="minorEastAsia" w:hAnsi="Times New Roman" w:cs="Times New Roman"/>
          <w:color w:val="000000" w:themeColor="text1"/>
          <w:sz w:val="24"/>
          <w:szCs w:val="24"/>
          <w:lang w:val="en-US"/>
        </w:rPr>
        <w:t>need</w:t>
      </w:r>
      <w:r w:rsidR="00E34E40">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to be selected.</w:t>
      </w:r>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Here we consider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p>
    <w:p w14:paraId="3C629FD9" w14:textId="330ED9E2" w:rsidR="00652C9D" w:rsidRDefault="00652C9D" w:rsidP="00652C9D">
      <w:pPr>
        <w:pStyle w:val="Paragraphedeliste"/>
        <w:spacing w:line="276" w:lineRule="auto"/>
        <w:rPr>
          <w:rFonts w:ascii="Times New Roman" w:eastAsiaTheme="minorEastAsia" w:hAnsi="Times New Roman" w:cs="Times New Roman"/>
          <w:color w:val="000000" w:themeColor="text1"/>
          <w:sz w:val="24"/>
          <w:szCs w:val="24"/>
          <w:lang w:val="en-US"/>
        </w:rPr>
      </w:pPr>
    </w:p>
    <w:p w14:paraId="5BC984D9" w14:textId="77777777" w:rsidR="000671C7" w:rsidRDefault="000671C7" w:rsidP="00652C9D">
      <w:pPr>
        <w:pStyle w:val="Paragraphedeliste"/>
        <w:spacing w:line="276" w:lineRule="auto"/>
        <w:rPr>
          <w:rFonts w:ascii="Times New Roman" w:eastAsiaTheme="minorEastAsia" w:hAnsi="Times New Roman" w:cs="Times New Roman"/>
          <w:color w:val="000000" w:themeColor="text1"/>
          <w:sz w:val="24"/>
          <w:szCs w:val="24"/>
          <w:lang w:val="en-US"/>
        </w:rPr>
      </w:pPr>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6D5C2F">
        <w:rPr>
          <w:rFonts w:ascii="Times New Roman" w:hAnsi="Times New Roman" w:cs="Times New Roman"/>
        </w:rPr>
        <w:t xml:space="preserve">In </w:t>
      </w:r>
      <w:proofErr w:type="spellStart"/>
      <w:r w:rsidR="001C3989" w:rsidRPr="006D5C2F">
        <w:rPr>
          <w:rFonts w:ascii="Times New Roman" w:hAnsi="Times New Roman" w:cs="Times New Roman"/>
          <w:i/>
          <w:iCs/>
        </w:rPr>
        <w:t>Wikipedia</w:t>
      </w:r>
      <w:proofErr w:type="spellEnd"/>
      <w:r w:rsidR="001C3989" w:rsidRPr="006D5C2F">
        <w:rPr>
          <w:rFonts w:ascii="Times New Roman" w:hAnsi="Times New Roman" w:cs="Times New Roman"/>
        </w:rPr>
        <w:t xml:space="preserve">, 6 </w:t>
      </w:r>
      <w:r w:rsidR="00325F04">
        <w:rPr>
          <w:rFonts w:ascii="Times New Roman" w:hAnsi="Times New Roman" w:cs="Times New Roman"/>
        </w:rPr>
        <w:t>Ap</w:t>
      </w:r>
      <w:r w:rsidR="001C3989" w:rsidRPr="006D5C2F">
        <w:rPr>
          <w:rFonts w:ascii="Times New Roman" w:hAnsi="Times New Roman" w:cs="Times New Roman"/>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bookmarkStart w:id="0" w:name="_GoBack"/>
      <w:bookmarkEnd w:id="0"/>
    </w:p>
    <w:sectPr w:rsidR="00B37465" w:rsidRPr="00B37465" w:rsidSect="00B304D1">
      <w:type w:val="continuous"/>
      <w:pgSz w:w="11906" w:h="16838"/>
      <w:pgMar w:top="851" w:right="907" w:bottom="113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17215" w14:textId="77777777" w:rsidR="00B83A42" w:rsidRDefault="00B83A42" w:rsidP="00F85BB7">
      <w:pPr>
        <w:spacing w:after="0" w:line="240" w:lineRule="auto"/>
      </w:pPr>
      <w:r>
        <w:separator/>
      </w:r>
    </w:p>
  </w:endnote>
  <w:endnote w:type="continuationSeparator" w:id="0">
    <w:p w14:paraId="637FE6B7" w14:textId="77777777" w:rsidR="00B83A42" w:rsidRDefault="00B83A42"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6C39D156" w14:textId="0B906D03" w:rsidR="000671C7" w:rsidRDefault="000671C7">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0DF3BD8F" w14:textId="77777777" w:rsidR="000671C7" w:rsidRDefault="000671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EBF8B" w14:textId="77777777" w:rsidR="00B83A42" w:rsidRDefault="00B83A42" w:rsidP="00F85BB7">
      <w:pPr>
        <w:spacing w:after="0" w:line="240" w:lineRule="auto"/>
      </w:pPr>
      <w:r>
        <w:separator/>
      </w:r>
    </w:p>
  </w:footnote>
  <w:footnote w:type="continuationSeparator" w:id="0">
    <w:p w14:paraId="19FE020C" w14:textId="77777777" w:rsidR="00B83A42" w:rsidRDefault="00B83A42"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E194E"/>
    <w:rsid w:val="000E1BAD"/>
    <w:rsid w:val="000F1297"/>
    <w:rsid w:val="000F18FD"/>
    <w:rsid w:val="00107AA3"/>
    <w:rsid w:val="00116AC5"/>
    <w:rsid w:val="00187932"/>
    <w:rsid w:val="001B3872"/>
    <w:rsid w:val="001B68DB"/>
    <w:rsid w:val="001C3989"/>
    <w:rsid w:val="001D3D79"/>
    <w:rsid w:val="002108E3"/>
    <w:rsid w:val="00250104"/>
    <w:rsid w:val="00256276"/>
    <w:rsid w:val="0027032E"/>
    <w:rsid w:val="00277760"/>
    <w:rsid w:val="00282211"/>
    <w:rsid w:val="002911AE"/>
    <w:rsid w:val="002D287C"/>
    <w:rsid w:val="003200F3"/>
    <w:rsid w:val="00325F04"/>
    <w:rsid w:val="0038742B"/>
    <w:rsid w:val="00396616"/>
    <w:rsid w:val="003E6DFE"/>
    <w:rsid w:val="0040713D"/>
    <w:rsid w:val="00440C9C"/>
    <w:rsid w:val="00447ACE"/>
    <w:rsid w:val="00477A71"/>
    <w:rsid w:val="00485965"/>
    <w:rsid w:val="004A3669"/>
    <w:rsid w:val="00545AD5"/>
    <w:rsid w:val="00570658"/>
    <w:rsid w:val="00597418"/>
    <w:rsid w:val="005B6888"/>
    <w:rsid w:val="005C4530"/>
    <w:rsid w:val="005E1D28"/>
    <w:rsid w:val="006375FA"/>
    <w:rsid w:val="006423A8"/>
    <w:rsid w:val="00642700"/>
    <w:rsid w:val="00652C9D"/>
    <w:rsid w:val="00654FF7"/>
    <w:rsid w:val="00665408"/>
    <w:rsid w:val="00691264"/>
    <w:rsid w:val="006C766F"/>
    <w:rsid w:val="006D58EE"/>
    <w:rsid w:val="006D5C2F"/>
    <w:rsid w:val="00713ACE"/>
    <w:rsid w:val="00731BAE"/>
    <w:rsid w:val="007413D3"/>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F3FA4"/>
    <w:rsid w:val="00906B33"/>
    <w:rsid w:val="00910623"/>
    <w:rsid w:val="009549A5"/>
    <w:rsid w:val="009714C5"/>
    <w:rsid w:val="009B6D27"/>
    <w:rsid w:val="009C006C"/>
    <w:rsid w:val="009C2307"/>
    <w:rsid w:val="009E7F96"/>
    <w:rsid w:val="00A174D6"/>
    <w:rsid w:val="00A44F83"/>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1310A"/>
    <w:rsid w:val="00C26273"/>
    <w:rsid w:val="00CC5CB0"/>
    <w:rsid w:val="00CC5D9C"/>
    <w:rsid w:val="00CD4BFF"/>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64E98"/>
    <w:rsid w:val="00F85BB7"/>
    <w:rsid w:val="00FA1879"/>
    <w:rsid w:val="00FA7D58"/>
    <w:rsid w:val="00FB11F0"/>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TotalTime>
  <Pages>6</Pages>
  <Words>1138</Words>
  <Characters>6262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45</cp:revision>
  <cp:lastPrinted>2020-04-13T22:29:00Z</cp:lastPrinted>
  <dcterms:created xsi:type="dcterms:W3CDTF">2020-04-12T18:11:00Z</dcterms:created>
  <dcterms:modified xsi:type="dcterms:W3CDTF">2020-04-16T15:54:00Z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