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398561A" w:rsidR="00FE7991" w:rsidRDefault="00FE7991" w:rsidP="00FE7991">
      <w:r>
        <w:rPr>
          <w:rFonts w:hint="eastAsia"/>
        </w:rPr>
        <w:t>Bean</w:t>
      </w:r>
      <w:proofErr w:type="gramStart"/>
      <w:r>
        <w:rPr>
          <w:rFonts w:hint="eastAsia"/>
        </w:rPr>
        <w:t>的热更采用</w:t>
      </w:r>
      <w:proofErr w:type="gramEnd"/>
      <w:r>
        <w:rPr>
          <w:rFonts w:hint="eastAsia"/>
        </w:rPr>
        <w:t>基于字节码（如，sprint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pPr>
        <w:rPr>
          <w:rFonts w:hint="eastAsia"/>
        </w:rPr>
      </w:pPr>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lastRenderedPageBreak/>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F2639"/>
    <w:rsid w:val="007F34CF"/>
    <w:rsid w:val="007F6AEE"/>
    <w:rsid w:val="008030B5"/>
    <w:rsid w:val="0080684D"/>
    <w:rsid w:val="00813665"/>
    <w:rsid w:val="0081676B"/>
    <w:rsid w:val="00816B21"/>
    <w:rsid w:val="00820D2B"/>
    <w:rsid w:val="00820DC8"/>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657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78</Pages>
  <Words>11127</Words>
  <Characters>63426</Characters>
  <Application>Microsoft Office Word</Application>
  <DocSecurity>0</DocSecurity>
  <Lines>528</Lines>
  <Paragraphs>148</Paragraphs>
  <ScaleCrop>false</ScaleCrop>
  <Company/>
  <LinksUpToDate>false</LinksUpToDate>
  <CharactersWithSpaces>74405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711</cp:revision>
  <dcterms:created xsi:type="dcterms:W3CDTF">2022-01-06T13:39:00Z</dcterms:created>
  <dcterms:modified xsi:type="dcterms:W3CDTF">2023-08-15T07:32:00Z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